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63067" w14:textId="2851E093" w:rsidR="00457418" w:rsidRPr="006F2E97" w:rsidRDefault="00457418" w:rsidP="00457418">
      <w:pPr>
        <w:spacing w:before="100" w:beforeAutospacing="1" w:after="100" w:afterAutospacing="1" w:line="240" w:lineRule="auto"/>
        <w:outlineLvl w:val="2"/>
        <w:rPr>
          <w:rFonts w:ascii="Arial" w:eastAsia="Times New Roman" w:hAnsi="Arial" w:cs="Arial"/>
          <w:b/>
          <w:bCs/>
          <w:sz w:val="24"/>
          <w:szCs w:val="24"/>
          <w:lang w:eastAsia="es-CO"/>
        </w:rPr>
      </w:pPr>
      <w:r w:rsidRPr="006F2E97">
        <w:rPr>
          <w:rFonts w:ascii="Arial" w:eastAsia="Times New Roman" w:hAnsi="Arial" w:cs="Arial"/>
          <w:b/>
          <w:bCs/>
          <w:sz w:val="24"/>
          <w:szCs w:val="24"/>
          <w:highlight w:val="cyan"/>
          <w:lang w:eastAsia="es-CO"/>
        </w:rPr>
        <w:t>Test material curso SGSSS</w:t>
      </w:r>
    </w:p>
    <w:p w14:paraId="7ED4A3A4" w14:textId="77777777" w:rsidR="006F2E97" w:rsidRPr="006F2E97" w:rsidRDefault="006F2E97" w:rsidP="006F2E97">
      <w:p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 xml:space="preserve">En este guion encontrarás una combinación de ejercicios diseñados para la evaluación: algunos corresponden a </w:t>
      </w:r>
      <w:r w:rsidRPr="006F2E97">
        <w:rPr>
          <w:rFonts w:ascii="Arial" w:eastAsia="Times New Roman" w:hAnsi="Arial" w:cs="Arial"/>
          <w:b/>
          <w:bCs/>
          <w:sz w:val="24"/>
          <w:szCs w:val="24"/>
          <w:lang w:eastAsia="es-CO"/>
        </w:rPr>
        <w:t>preguntas de Verdadero o Falso</w:t>
      </w:r>
      <w:r w:rsidRPr="006F2E97">
        <w:rPr>
          <w:rFonts w:ascii="Arial" w:eastAsia="Times New Roman" w:hAnsi="Arial" w:cs="Arial"/>
          <w:sz w:val="24"/>
          <w:szCs w:val="24"/>
          <w:lang w:eastAsia="es-CO"/>
        </w:rPr>
        <w:t xml:space="preserve"> y otros a </w:t>
      </w:r>
      <w:r w:rsidRPr="006F2E97">
        <w:rPr>
          <w:rFonts w:ascii="Arial" w:eastAsia="Times New Roman" w:hAnsi="Arial" w:cs="Arial"/>
          <w:b/>
          <w:bCs/>
          <w:sz w:val="24"/>
          <w:szCs w:val="24"/>
          <w:lang w:eastAsia="es-CO"/>
        </w:rPr>
        <w:t>preguntas de selección múltiple con respuesta única</w:t>
      </w:r>
      <w:r w:rsidRPr="006F2E97">
        <w:rPr>
          <w:rFonts w:ascii="Arial" w:eastAsia="Times New Roman" w:hAnsi="Arial" w:cs="Arial"/>
          <w:sz w:val="24"/>
          <w:szCs w:val="24"/>
          <w:lang w:eastAsia="es-CO"/>
        </w:rPr>
        <w:t>.</w:t>
      </w:r>
    </w:p>
    <w:p w14:paraId="3E96D618" w14:textId="77777777" w:rsidR="006F2E97" w:rsidRPr="006F2E97" w:rsidRDefault="006F2E97" w:rsidP="006F2E97">
      <w:p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Para facilitar la lectura y el trabajo de quienes revisan o adaptan este material:</w:t>
      </w:r>
    </w:p>
    <w:p w14:paraId="3BA038F3" w14:textId="77777777" w:rsidR="006F2E97" w:rsidRPr="006F2E97" w:rsidRDefault="006F2E97" w:rsidP="006F2E97">
      <w:pPr>
        <w:numPr>
          <w:ilvl w:val="0"/>
          <w:numId w:val="3"/>
        </w:num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El enunciado corresponde a lo que verá el estudiante en la plataforma.</w:t>
      </w:r>
    </w:p>
    <w:p w14:paraId="0CB5A124" w14:textId="77777777" w:rsidR="006F2E97" w:rsidRPr="006F2E97" w:rsidRDefault="006F2E97" w:rsidP="006F2E97">
      <w:pPr>
        <w:numPr>
          <w:ilvl w:val="0"/>
          <w:numId w:val="3"/>
        </w:num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 xml:space="preserve">La </w:t>
      </w:r>
      <w:r w:rsidRPr="006F2E97">
        <w:rPr>
          <w:rFonts w:ascii="Arial" w:eastAsia="Times New Roman" w:hAnsi="Arial" w:cs="Arial"/>
          <w:b/>
          <w:bCs/>
          <w:sz w:val="24"/>
          <w:szCs w:val="24"/>
          <w:lang w:eastAsia="es-CO"/>
        </w:rPr>
        <w:t>respuesta correcta está resaltada en amarillo</w:t>
      </w:r>
      <w:r w:rsidRPr="006F2E97">
        <w:rPr>
          <w:rFonts w:ascii="Arial" w:eastAsia="Times New Roman" w:hAnsi="Arial" w:cs="Arial"/>
          <w:sz w:val="24"/>
          <w:szCs w:val="24"/>
          <w:lang w:eastAsia="es-CO"/>
        </w:rPr>
        <w:t>, de manera que puedas identificarla rápidamente.</w:t>
      </w:r>
    </w:p>
    <w:p w14:paraId="2EF393E8" w14:textId="77777777" w:rsidR="006F2E97" w:rsidRPr="006F2E97" w:rsidRDefault="006F2E97" w:rsidP="006F2E97">
      <w:pPr>
        <w:numPr>
          <w:ilvl w:val="0"/>
          <w:numId w:val="3"/>
        </w:num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Este formato se repite en todos los cursos, con el fin de mantener una estructura clara, uniforme y fácil de implementar.</w:t>
      </w:r>
    </w:p>
    <w:p w14:paraId="517DFD1A" w14:textId="77777777" w:rsidR="006F2E97" w:rsidRPr="006F2E97" w:rsidRDefault="006F2E97" w:rsidP="006F2E97">
      <w:p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De esta forma tendrás a la mano un guion práctico, organizado y listo para su uso en los diferentes entornos virtuales.</w:t>
      </w:r>
    </w:p>
    <w:p w14:paraId="68213DF1" w14:textId="77777777" w:rsidR="006F2E97" w:rsidRPr="00457418" w:rsidRDefault="006F2E97" w:rsidP="00457418">
      <w:pPr>
        <w:spacing w:before="100" w:beforeAutospacing="1" w:after="100" w:afterAutospacing="1" w:line="240" w:lineRule="auto"/>
        <w:outlineLvl w:val="2"/>
        <w:rPr>
          <w:rFonts w:ascii="Arial" w:eastAsia="Times New Roman" w:hAnsi="Arial" w:cs="Arial"/>
          <w:b/>
          <w:bCs/>
          <w:sz w:val="24"/>
          <w:szCs w:val="24"/>
          <w:lang w:eastAsia="es-CO"/>
        </w:rPr>
      </w:pPr>
    </w:p>
    <w:p w14:paraId="0E9BE82B" w14:textId="77777777" w:rsidR="00457418" w:rsidRPr="00457418" w:rsidRDefault="00457418" w:rsidP="00457418">
      <w:pPr>
        <w:spacing w:before="100" w:beforeAutospacing="1" w:after="100" w:afterAutospacing="1" w:line="240" w:lineRule="auto"/>
        <w:outlineLvl w:val="3"/>
        <w:rPr>
          <w:rFonts w:ascii="Arial" w:eastAsia="Times New Roman" w:hAnsi="Arial" w:cs="Arial"/>
          <w:b/>
          <w:bCs/>
          <w:sz w:val="24"/>
          <w:szCs w:val="24"/>
          <w:lang w:eastAsia="es-CO"/>
        </w:rPr>
      </w:pPr>
      <w:r w:rsidRPr="00457418">
        <w:rPr>
          <w:rFonts w:ascii="Arial" w:eastAsia="Times New Roman" w:hAnsi="Arial" w:cs="Arial"/>
          <w:b/>
          <w:bCs/>
          <w:sz w:val="24"/>
          <w:szCs w:val="24"/>
          <w:highlight w:val="cyan"/>
          <w:lang w:eastAsia="es-CO"/>
        </w:rPr>
        <w:t>Preguntas de Falso y Verdadero</w:t>
      </w:r>
    </w:p>
    <w:p w14:paraId="0E26654F"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Según el material, los principios del Sistema General de Seguridad Social en Salud (SGSSS) en Colombia incluyen la universalidad, la equidad, la solidaridad y la eficiencia. Esta afirmación es:</w:t>
      </w:r>
    </w:p>
    <w:p w14:paraId="72093733"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Verdadero.</w:t>
      </w:r>
    </w:p>
    <w:p w14:paraId="6697A5DF"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documento indica que los pilares del SGSSS son la Universalidad, la Equidad, la Solidaridad y la Eficiencia.</w:t>
      </w:r>
    </w:p>
    <w:p w14:paraId="62C35013"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El principal objetivo de la Ley 100 de 1993 fue fragmentar el sistema de salud para reducir la cobertura a la población con ingresos estables. Esta afirmación es:</w:t>
      </w:r>
    </w:p>
    <w:p w14:paraId="79E3D09A"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Falso.</w:t>
      </w:r>
    </w:p>
    <w:p w14:paraId="33C68CC5"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La Ley 100 de 1993 buscó un sistema que garantizara la equidad y la cobertura, ampliando el acceso a millones de personas que antes no lo tenían.</w:t>
      </w:r>
    </w:p>
    <w:p w14:paraId="63133FE6"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La Ley 1751 de 2015 es conocida por haber reconocido la salud como un derecho fundamental en Colombia. Esta afirmación es:</w:t>
      </w:r>
    </w:p>
    <w:p w14:paraId="74874EB1"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Verdadero.</w:t>
      </w:r>
    </w:p>
    <w:p w14:paraId="05E2CAF9"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material menciona que la Ley Estatutaria 1751 de 2015 reconoce la salud como un derecho fundamental.</w:t>
      </w:r>
    </w:p>
    <w:p w14:paraId="689170DF"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b/>
          <w:bCs/>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Un trabajador independiente con capacidad de pago se afiliaría al Régimen Subsidiado del SGSSS. Esta afirmación es:</w:t>
      </w:r>
    </w:p>
    <w:p w14:paraId="2EA4009E"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Falso.</w:t>
      </w:r>
    </w:p>
    <w:p w14:paraId="64B86C90"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Régimen Subsidiado está financiado por el Estado y es para la población en condiciones de vulnerabilidad económica, mientras que el Régimen Contributivo es para trabajadores formales e independientes con capacidad de pago.</w:t>
      </w:r>
    </w:p>
    <w:p w14:paraId="1229AEE0"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lastRenderedPageBreak/>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El Plan de Beneficios en Salud (PBS) en Colombia cubre únicamente los medicamentos esenciales, dejando por fuera los procedimientos quirúrgicos y las tecnologías en salud. Esta afirmación es:</w:t>
      </w:r>
    </w:p>
    <w:p w14:paraId="642683B1"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Falso.</w:t>
      </w:r>
    </w:p>
    <w:p w14:paraId="3496FF9C"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PBS no solo cubre medicamentos esenciales, sino también servicios, procedimientos y tecnologías en salud.</w:t>
      </w:r>
    </w:p>
    <w:p w14:paraId="1FD8C323"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b/>
          <w:bCs/>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La Administradora de los Recursos del Sistema General de Seguridad Social en Salud (ADRES) es la entidad encargada de la prevención de accidentes laborales. Esta afirmación es:</w:t>
      </w:r>
    </w:p>
    <w:p w14:paraId="59C2E9C8"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Falso.</w:t>
      </w:r>
    </w:p>
    <w:p w14:paraId="258F9638"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La ADRES administra los recursos financieros del sistema, mientras que las Administradoras de Riesgos Laborales (ARL) son las encargadas de la prevención, atención y compensación de accidentes de trabajo.</w:t>
      </w:r>
    </w:p>
    <w:p w14:paraId="10829FCA"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La Ley 1562 de 2012 se enfoca en la prevención y ampliación de coberturas en seguridad y salud en el trabajo. Esta afirmación es:</w:t>
      </w:r>
    </w:p>
    <w:p w14:paraId="7E38B9C2"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Verdadero.</w:t>
      </w:r>
    </w:p>
    <w:p w14:paraId="613B3C37"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material indica que esta ley reforzó la prevención y ampliación de coberturas en seguridad y salud en el trabajo.</w:t>
      </w:r>
    </w:p>
    <w:p w14:paraId="3881E3D2"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El Sistema de Gestión de Seguridad y Salud en el Trabajo (SG-SST) tiene como único objetivo reducir los costos de la empresa por incapacidades laborales. Esta afirmación es:</w:t>
      </w:r>
    </w:p>
    <w:p w14:paraId="6A0DC0F5"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Falso.</w:t>
      </w:r>
    </w:p>
    <w:p w14:paraId="2CB076C2"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documento indica que el SG-SST busca proteger la vida y bienestar de los trabajadores, prevenir accidentes y enfermedades laborales, lo que, como consecuencia, también reduce costos.</w:t>
      </w:r>
    </w:p>
    <w:p w14:paraId="08C8BEB5"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Las Entidades Promotoras de Salud (EPS) son las encargadas de la prestación directa de servicios médicos, como cirugías y consultas. Esta afirmación es:</w:t>
      </w:r>
    </w:p>
    <w:p w14:paraId="1848CB25"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Falso.</w:t>
      </w:r>
    </w:p>
    <w:p w14:paraId="3BA6166B"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Las EPS se encargan de la afiliación y el recaudo, mientras que las Instituciones Prestadoras de Servicios de Salud (IPS) son los hospitales y clínicas que prestan los servicios médicos.</w:t>
      </w:r>
    </w:p>
    <w:p w14:paraId="6DB6E7C0" w14:textId="77777777" w:rsidR="00457418" w:rsidRPr="00457418" w:rsidRDefault="00457418" w:rsidP="00457418">
      <w:pPr>
        <w:numPr>
          <w:ilvl w:val="0"/>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El debate en la Unidad 1 sobre las ventajas y desventajas del SGSSS actual tiene como una de sus ventajas la diversidad de prestadores, ya que los usuarios pueden elegir entre opciones públicas y privadas. Esta afirmación es:</w:t>
      </w:r>
    </w:p>
    <w:p w14:paraId="1CE5ABA3"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highlight w:val="yellow"/>
          <w:lang w:eastAsia="es-CO"/>
        </w:rPr>
      </w:pPr>
      <w:r w:rsidRPr="00457418">
        <w:rPr>
          <w:rFonts w:ascii="Arial" w:eastAsia="Times New Roman" w:hAnsi="Arial" w:cs="Arial"/>
          <w:b/>
          <w:bCs/>
          <w:sz w:val="24"/>
          <w:szCs w:val="24"/>
          <w:highlight w:val="yellow"/>
          <w:lang w:eastAsia="es-CO"/>
        </w:rPr>
        <w:t>Respuesta:</w:t>
      </w:r>
      <w:r w:rsidRPr="00457418">
        <w:rPr>
          <w:rFonts w:ascii="Arial" w:eastAsia="Times New Roman" w:hAnsi="Arial" w:cs="Arial"/>
          <w:sz w:val="24"/>
          <w:szCs w:val="24"/>
          <w:highlight w:val="yellow"/>
          <w:lang w:eastAsia="es-CO"/>
        </w:rPr>
        <w:t xml:space="preserve"> Verdadero.</w:t>
      </w:r>
    </w:p>
    <w:p w14:paraId="31F63B7F" w14:textId="77777777" w:rsidR="00457418" w:rsidRPr="00457418" w:rsidRDefault="00457418" w:rsidP="00457418">
      <w:pPr>
        <w:numPr>
          <w:ilvl w:val="1"/>
          <w:numId w:val="1"/>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material menciona la "diversidad de prestadores" como una de las ventajas del modelo actual, permitiendo a los usuarios elegir entre opciones públicas y privadas.</w:t>
      </w:r>
    </w:p>
    <w:p w14:paraId="4E554237" w14:textId="77777777" w:rsidR="00457418" w:rsidRPr="00457418" w:rsidRDefault="006F2E97" w:rsidP="00457418">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10435086">
          <v:rect id="_x0000_i1025" style="width:0;height:1.5pt" o:hralign="center" o:hrstd="t" o:hr="t" fillcolor="#a0a0a0" stroked="f"/>
        </w:pict>
      </w:r>
    </w:p>
    <w:p w14:paraId="37DA11F8" w14:textId="77777777" w:rsidR="00457418" w:rsidRPr="00457418" w:rsidRDefault="00457418" w:rsidP="00457418">
      <w:pPr>
        <w:spacing w:before="100" w:beforeAutospacing="1" w:after="100" w:afterAutospacing="1" w:line="240" w:lineRule="auto"/>
        <w:outlineLvl w:val="3"/>
        <w:rPr>
          <w:rFonts w:ascii="Arial" w:eastAsia="Times New Roman" w:hAnsi="Arial" w:cs="Arial"/>
          <w:b/>
          <w:bCs/>
          <w:sz w:val="24"/>
          <w:szCs w:val="24"/>
          <w:lang w:eastAsia="es-CO"/>
        </w:rPr>
      </w:pPr>
      <w:r w:rsidRPr="00457418">
        <w:rPr>
          <w:rFonts w:ascii="Arial" w:eastAsia="Times New Roman" w:hAnsi="Arial" w:cs="Arial"/>
          <w:b/>
          <w:bCs/>
          <w:sz w:val="24"/>
          <w:szCs w:val="24"/>
          <w:highlight w:val="cyan"/>
          <w:lang w:eastAsia="es-CO"/>
        </w:rPr>
        <w:lastRenderedPageBreak/>
        <w:t>Preguntas de Selección Múltiple</w:t>
      </w:r>
    </w:p>
    <w:p w14:paraId="165F1A6F"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 xml:space="preserve">Pregunta: En el SGSSS, ¿qué entidad es la responsable de administrar y distribuir los recursos financieros para garantizar la sostenibilidad del sistema? </w:t>
      </w:r>
    </w:p>
    <w:p w14:paraId="7D34CACC"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La Superintendencia Nacional de Salud. </w:t>
      </w:r>
    </w:p>
    <w:p w14:paraId="6BB25AE6"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Las Entidades Promotoras de Salud (EPS). </w:t>
      </w:r>
    </w:p>
    <w:p w14:paraId="6584AC24"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c) Las Instituciones Prestadoras de Servicios de Salud (IPS). </w:t>
      </w:r>
    </w:p>
    <w:p w14:paraId="43F036B4" w14:textId="34561587"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d) </w:t>
      </w:r>
      <w:r w:rsidRPr="00457418">
        <w:rPr>
          <w:rFonts w:ascii="Arial" w:eastAsia="Times New Roman" w:hAnsi="Arial" w:cs="Arial"/>
          <w:b/>
          <w:bCs/>
          <w:sz w:val="24"/>
          <w:szCs w:val="24"/>
          <w:highlight w:val="yellow"/>
          <w:lang w:eastAsia="es-CO"/>
        </w:rPr>
        <w:t>La Administradora de los Recursos del Sistema General de Seguridad Social en Salud (ADRES).</w:t>
      </w:r>
    </w:p>
    <w:p w14:paraId="716F6889" w14:textId="2DCCC196"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La ADRES es la entidad que administra y distribuye los recursos del sistema y centraliza la gestión de los pagos.</w:t>
      </w:r>
    </w:p>
    <w:p w14:paraId="232B6F89"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666D5C3C"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¿Cuál de los siguientes actores del SGSSS se encarga principalmente de la prevención, atención y compensación de los accidentes laborales y enfermedades profesionales?</w:t>
      </w:r>
      <w:r w:rsidRPr="00457418">
        <w:rPr>
          <w:rFonts w:ascii="Arial" w:eastAsia="Times New Roman" w:hAnsi="Arial" w:cs="Arial"/>
          <w:sz w:val="24"/>
          <w:szCs w:val="24"/>
          <w:lang w:eastAsia="es-CO"/>
        </w:rPr>
        <w:t xml:space="preserve"> </w:t>
      </w:r>
    </w:p>
    <w:p w14:paraId="7F70D73C"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El Ministerio de Salud. b) La Superintendencia Nacional de Salud. </w:t>
      </w:r>
    </w:p>
    <w:p w14:paraId="7A5D25FC"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c) </w:t>
      </w:r>
      <w:r w:rsidRPr="00457418">
        <w:rPr>
          <w:rFonts w:ascii="Arial" w:eastAsia="Times New Roman" w:hAnsi="Arial" w:cs="Arial"/>
          <w:b/>
          <w:bCs/>
          <w:sz w:val="24"/>
          <w:szCs w:val="24"/>
          <w:highlight w:val="yellow"/>
          <w:lang w:eastAsia="es-CO"/>
        </w:rPr>
        <w:t>Las Administradoras de Riesgos Laborales (ARL).</w:t>
      </w:r>
      <w:r w:rsidRPr="00457418">
        <w:rPr>
          <w:rFonts w:ascii="Arial" w:eastAsia="Times New Roman" w:hAnsi="Arial" w:cs="Arial"/>
          <w:sz w:val="24"/>
          <w:szCs w:val="24"/>
          <w:lang w:eastAsia="es-CO"/>
        </w:rPr>
        <w:t xml:space="preserve"> </w:t>
      </w:r>
    </w:p>
    <w:p w14:paraId="5A0A451B" w14:textId="26FE06F1"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Las Entidades Promotoras de Salud (EPS).</w:t>
      </w:r>
    </w:p>
    <w:p w14:paraId="570A0808" w14:textId="62873DF7"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Las ARL son las encargadas de la prevención, atención y compensación de riesgos laborales, como se describe en la Unidad 3.</w:t>
      </w:r>
    </w:p>
    <w:p w14:paraId="79610BA9" w14:textId="77777777" w:rsidR="00BD33CB" w:rsidRPr="00457418" w:rsidRDefault="00BD33CB" w:rsidP="00BD33CB">
      <w:pPr>
        <w:spacing w:before="100" w:beforeAutospacing="1" w:after="100" w:afterAutospacing="1" w:line="240" w:lineRule="auto"/>
        <w:rPr>
          <w:rFonts w:ascii="Arial" w:eastAsia="Times New Roman" w:hAnsi="Arial" w:cs="Arial"/>
          <w:sz w:val="24"/>
          <w:szCs w:val="24"/>
          <w:lang w:eastAsia="es-CO"/>
        </w:rPr>
      </w:pPr>
    </w:p>
    <w:p w14:paraId="45E48E4B"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¿Qué documento legal estableció por primera vez la salud como un derecho fundamental en Colombia?</w:t>
      </w:r>
      <w:r w:rsidRPr="00457418">
        <w:rPr>
          <w:rFonts w:ascii="Arial" w:eastAsia="Times New Roman" w:hAnsi="Arial" w:cs="Arial"/>
          <w:sz w:val="24"/>
          <w:szCs w:val="24"/>
          <w:lang w:eastAsia="es-CO"/>
        </w:rPr>
        <w:t xml:space="preserve"> </w:t>
      </w:r>
    </w:p>
    <w:p w14:paraId="16362EA6"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La Ley 100 de 1993. </w:t>
      </w:r>
    </w:p>
    <w:p w14:paraId="5006399A"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b) </w:t>
      </w:r>
      <w:r w:rsidRPr="00457418">
        <w:rPr>
          <w:rFonts w:ascii="Arial" w:eastAsia="Times New Roman" w:hAnsi="Arial" w:cs="Arial"/>
          <w:b/>
          <w:bCs/>
          <w:sz w:val="24"/>
          <w:szCs w:val="24"/>
          <w:highlight w:val="yellow"/>
          <w:lang w:eastAsia="es-CO"/>
        </w:rPr>
        <w:t>La Ley Estatutaria 1751 de 2015.</w:t>
      </w:r>
      <w:r w:rsidRPr="00457418">
        <w:rPr>
          <w:rFonts w:ascii="Arial" w:eastAsia="Times New Roman" w:hAnsi="Arial" w:cs="Arial"/>
          <w:sz w:val="24"/>
          <w:szCs w:val="24"/>
          <w:lang w:eastAsia="es-CO"/>
        </w:rPr>
        <w:t xml:space="preserve"> </w:t>
      </w:r>
    </w:p>
    <w:p w14:paraId="40078E92"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c) El Decreto 1072 de 2015. </w:t>
      </w:r>
    </w:p>
    <w:p w14:paraId="36E2F1F9" w14:textId="19DCA08A"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La Ley 1438 de 2011.</w:t>
      </w:r>
    </w:p>
    <w:p w14:paraId="3B69B9D8" w14:textId="7CF558F8"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lastRenderedPageBreak/>
        <w:t>Justificación:</w:t>
      </w:r>
      <w:r w:rsidRPr="00457418">
        <w:rPr>
          <w:rFonts w:ascii="Arial" w:eastAsia="Times New Roman" w:hAnsi="Arial" w:cs="Arial"/>
          <w:sz w:val="24"/>
          <w:szCs w:val="24"/>
          <w:lang w:eastAsia="es-CO"/>
        </w:rPr>
        <w:t xml:space="preserve"> El documento establece claramente que la Ley 1751 de 2015 reconoce la salud como un derecho fundamental.</w:t>
      </w:r>
    </w:p>
    <w:p w14:paraId="6B630B71" w14:textId="77777777" w:rsidR="00BD33CB" w:rsidRPr="00457418" w:rsidRDefault="00BD33CB" w:rsidP="00BD33CB">
      <w:pPr>
        <w:spacing w:before="100" w:beforeAutospacing="1" w:after="100" w:afterAutospacing="1" w:line="240" w:lineRule="auto"/>
        <w:ind w:left="1080"/>
        <w:rPr>
          <w:rFonts w:ascii="Arial" w:eastAsia="Times New Roman" w:hAnsi="Arial" w:cs="Arial"/>
          <w:sz w:val="24"/>
          <w:szCs w:val="24"/>
          <w:lang w:eastAsia="es-CO"/>
        </w:rPr>
      </w:pPr>
    </w:p>
    <w:p w14:paraId="07D22DB7"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Según el material, un militar en servicio activo recibe atención médica en hospitales de las Fuerzas Militares. ¿A qué régimen de afiliación del SGSSS pertenece?</w:t>
      </w:r>
      <w:r w:rsidRPr="00457418">
        <w:rPr>
          <w:rFonts w:ascii="Arial" w:eastAsia="Times New Roman" w:hAnsi="Arial" w:cs="Arial"/>
          <w:sz w:val="24"/>
          <w:szCs w:val="24"/>
          <w:lang w:eastAsia="es-CO"/>
        </w:rPr>
        <w:t xml:space="preserve"> </w:t>
      </w:r>
    </w:p>
    <w:p w14:paraId="4DCE557F"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Régimen contributivo. </w:t>
      </w:r>
    </w:p>
    <w:p w14:paraId="098F8FBE"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Régimen subsidiado. </w:t>
      </w:r>
    </w:p>
    <w:p w14:paraId="4748A7C1"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c) Régimen especial. </w:t>
      </w:r>
    </w:p>
    <w:p w14:paraId="620B6BE2" w14:textId="638A2F62"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d) </w:t>
      </w:r>
      <w:r w:rsidRPr="00457418">
        <w:rPr>
          <w:rFonts w:ascii="Arial" w:eastAsia="Times New Roman" w:hAnsi="Arial" w:cs="Arial"/>
          <w:b/>
          <w:bCs/>
          <w:sz w:val="24"/>
          <w:szCs w:val="24"/>
          <w:highlight w:val="yellow"/>
          <w:lang w:eastAsia="es-CO"/>
        </w:rPr>
        <w:t>Régimen de excepción.</w:t>
      </w:r>
    </w:p>
    <w:p w14:paraId="6B36A3D3" w14:textId="49587932"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material diferencia los "Regímenes especiales y excepciones," e incluye a los militares y la fuerza pública en un régimen exclusivo y de excepción.</w:t>
      </w:r>
    </w:p>
    <w:p w14:paraId="622E4416"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510C86AB" w14:textId="4702C73E" w:rsidR="00BD33CB" w:rsidRPr="00BD33CB" w:rsidRDefault="00457418" w:rsidP="00457418">
      <w:pPr>
        <w:numPr>
          <w:ilvl w:val="0"/>
          <w:numId w:val="2"/>
        </w:numPr>
        <w:spacing w:before="100" w:beforeAutospacing="1" w:after="100" w:afterAutospacing="1" w:line="240" w:lineRule="auto"/>
        <w:rPr>
          <w:rFonts w:ascii="Arial" w:eastAsia="Times New Roman" w:hAnsi="Arial" w:cs="Arial"/>
          <w:b/>
          <w:bCs/>
          <w:sz w:val="24"/>
          <w:szCs w:val="24"/>
          <w:lang w:eastAsia="es-CO"/>
        </w:rPr>
      </w:pPr>
      <w:r w:rsidRPr="00457418">
        <w:rPr>
          <w:rFonts w:ascii="Arial" w:eastAsia="Times New Roman" w:hAnsi="Arial" w:cs="Arial"/>
          <w:b/>
          <w:bCs/>
          <w:sz w:val="24"/>
          <w:szCs w:val="24"/>
          <w:lang w:eastAsia="es-CO"/>
        </w:rPr>
        <w:t>Pregunta: El análisis de caso en la Unidad 2 sobre el acceso a servicios de salud en zonas rurales, como La Guajira, destaca la importancia de qué estrategia para superar las barreras geográficas y de acceso</w:t>
      </w:r>
    </w:p>
    <w:p w14:paraId="0CF8769B"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a) </w:t>
      </w:r>
      <w:r w:rsidRPr="00457418">
        <w:rPr>
          <w:rFonts w:ascii="Arial" w:eastAsia="Times New Roman" w:hAnsi="Arial" w:cs="Arial"/>
          <w:b/>
          <w:bCs/>
          <w:sz w:val="24"/>
          <w:szCs w:val="24"/>
          <w:highlight w:val="yellow"/>
          <w:lang w:eastAsia="es-CO"/>
        </w:rPr>
        <w:t>La implementación de programas de telemedicina.</w:t>
      </w:r>
      <w:r w:rsidRPr="00457418">
        <w:rPr>
          <w:rFonts w:ascii="Arial" w:eastAsia="Times New Roman" w:hAnsi="Arial" w:cs="Arial"/>
          <w:sz w:val="24"/>
          <w:szCs w:val="24"/>
          <w:lang w:eastAsia="es-CO"/>
        </w:rPr>
        <w:t xml:space="preserve"> </w:t>
      </w:r>
    </w:p>
    <w:p w14:paraId="77C90AF6"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La construcción de nuevos hospitales de alta complejidad. </w:t>
      </w:r>
    </w:p>
    <w:p w14:paraId="4F4C3830"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c) La eliminación de las EPS. </w:t>
      </w:r>
    </w:p>
    <w:p w14:paraId="2A37D6FB" w14:textId="76B66BA3"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El aumento de los costos de los servicios.</w:t>
      </w:r>
    </w:p>
    <w:p w14:paraId="3B3F2271" w14:textId="3A145989"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material sugiere como solución a las barreras en zonas rurales, entre otras, la implementación de programas de telemedicina para garantizar el acceso.</w:t>
      </w:r>
    </w:p>
    <w:p w14:paraId="39BBBD47"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60E6E9A0"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¿Qué tipo de información puedes obtener al consultar bases de datos oficiales como las del Ministerio de Salud o la ADRES, según la Unidad 1?</w:t>
      </w:r>
      <w:r w:rsidRPr="00457418">
        <w:rPr>
          <w:rFonts w:ascii="Arial" w:eastAsia="Times New Roman" w:hAnsi="Arial" w:cs="Arial"/>
          <w:sz w:val="24"/>
          <w:szCs w:val="24"/>
          <w:lang w:eastAsia="es-CO"/>
        </w:rPr>
        <w:t xml:space="preserve"> </w:t>
      </w:r>
    </w:p>
    <w:p w14:paraId="587DC7A3"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lastRenderedPageBreak/>
        <w:t xml:space="preserve">a) Historias clínicas personales de los pacientes. </w:t>
      </w:r>
    </w:p>
    <w:p w14:paraId="53620BA2"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Precios de los medicamentos en el mercado. </w:t>
      </w:r>
    </w:p>
    <w:p w14:paraId="0880A65B"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c) </w:t>
      </w:r>
      <w:r w:rsidRPr="00457418">
        <w:rPr>
          <w:rFonts w:ascii="Arial" w:eastAsia="Times New Roman" w:hAnsi="Arial" w:cs="Arial"/>
          <w:b/>
          <w:bCs/>
          <w:sz w:val="24"/>
          <w:szCs w:val="24"/>
          <w:highlight w:val="yellow"/>
          <w:lang w:eastAsia="es-CO"/>
        </w:rPr>
        <w:t>Datos, cifras y documentos clave sobre la normatividad y el sistema.</w:t>
      </w:r>
      <w:r w:rsidRPr="00457418">
        <w:rPr>
          <w:rFonts w:ascii="Arial" w:eastAsia="Times New Roman" w:hAnsi="Arial" w:cs="Arial"/>
          <w:sz w:val="24"/>
          <w:szCs w:val="24"/>
          <w:lang w:eastAsia="es-CO"/>
        </w:rPr>
        <w:t xml:space="preserve"> </w:t>
      </w:r>
    </w:p>
    <w:p w14:paraId="001918EE" w14:textId="73651918"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Planes de seguro de salud privados.</w:t>
      </w:r>
    </w:p>
    <w:p w14:paraId="5DDE07B3" w14:textId="4A7AB59E"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documento indica que se pueden consultar "datos, cifras y documentos clave que respaldan tus análisis y decisiones" al usar fuentes oficiales como el Ministerio de Salud y la ADRES.</w:t>
      </w:r>
    </w:p>
    <w:p w14:paraId="60964FF4"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13FFE882"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El caso de estudio de la empresa constructora que mejoró su seguridad laboral y redujo sus accidentes demuestra que invertir en seguridad también es una forma de:</w:t>
      </w:r>
      <w:r w:rsidRPr="00457418">
        <w:rPr>
          <w:rFonts w:ascii="Arial" w:eastAsia="Times New Roman" w:hAnsi="Arial" w:cs="Arial"/>
          <w:sz w:val="24"/>
          <w:szCs w:val="24"/>
          <w:lang w:eastAsia="es-CO"/>
        </w:rPr>
        <w:t xml:space="preserve"> </w:t>
      </w:r>
    </w:p>
    <w:p w14:paraId="7AEC8601"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Reducir únicamente la siniestralidad. </w:t>
      </w:r>
    </w:p>
    <w:p w14:paraId="7D730464"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b) </w:t>
      </w:r>
      <w:r w:rsidRPr="00457418">
        <w:rPr>
          <w:rFonts w:ascii="Arial" w:eastAsia="Times New Roman" w:hAnsi="Arial" w:cs="Arial"/>
          <w:b/>
          <w:bCs/>
          <w:sz w:val="24"/>
          <w:szCs w:val="24"/>
          <w:highlight w:val="yellow"/>
          <w:lang w:eastAsia="es-CO"/>
        </w:rPr>
        <w:t>Mejorar la productividad y el éxito de la empresa.</w:t>
      </w:r>
      <w:r w:rsidRPr="00457418">
        <w:rPr>
          <w:rFonts w:ascii="Arial" w:eastAsia="Times New Roman" w:hAnsi="Arial" w:cs="Arial"/>
          <w:sz w:val="24"/>
          <w:szCs w:val="24"/>
          <w:lang w:eastAsia="es-CO"/>
        </w:rPr>
        <w:t xml:space="preserve"> </w:t>
      </w:r>
    </w:p>
    <w:p w14:paraId="7EE21B26"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c) Reducir únicamente la accidentalidad. </w:t>
      </w:r>
    </w:p>
    <w:p w14:paraId="29DA426F" w14:textId="407C62AB"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Aumentar la rotación de personal.</w:t>
      </w:r>
    </w:p>
    <w:p w14:paraId="35336CB9" w14:textId="0F8C2BE4"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ejemplo muestra que al reducir los accidentes, la empresa "aumentó la productividad" y mejoró su "crecimiento y éxito</w:t>
      </w:r>
      <w:r w:rsidR="00BD33CB">
        <w:rPr>
          <w:rFonts w:ascii="Arial" w:eastAsia="Times New Roman" w:hAnsi="Arial" w:cs="Arial"/>
          <w:sz w:val="24"/>
          <w:szCs w:val="24"/>
          <w:lang w:eastAsia="es-CO"/>
        </w:rPr>
        <w:t>.</w:t>
      </w:r>
      <w:r w:rsidRPr="00457418">
        <w:rPr>
          <w:rFonts w:ascii="Arial" w:eastAsia="Times New Roman" w:hAnsi="Arial" w:cs="Arial"/>
          <w:sz w:val="24"/>
          <w:szCs w:val="24"/>
          <w:lang w:eastAsia="es-CO"/>
        </w:rPr>
        <w:t>"</w:t>
      </w:r>
    </w:p>
    <w:p w14:paraId="6B048CAC"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38836C9E" w14:textId="77777777" w:rsidR="00BD33CB" w:rsidRPr="005A1630" w:rsidRDefault="00457418" w:rsidP="00457418">
      <w:pPr>
        <w:numPr>
          <w:ilvl w:val="0"/>
          <w:numId w:val="2"/>
        </w:numPr>
        <w:spacing w:before="100" w:beforeAutospacing="1" w:after="100" w:afterAutospacing="1" w:line="240" w:lineRule="auto"/>
        <w:rPr>
          <w:rFonts w:ascii="Arial" w:eastAsia="Times New Roman" w:hAnsi="Arial" w:cs="Arial"/>
          <w:b/>
          <w:bCs/>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 xml:space="preserve">¿Cuál de los siguientes es un ejemplo de factor de riesgo laboral mencionado en el material? </w:t>
      </w:r>
    </w:p>
    <w:p w14:paraId="5BD83DC6"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La distancia de la casa al trabajo. </w:t>
      </w:r>
    </w:p>
    <w:p w14:paraId="0E84A93C"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El número de horas de descanso. </w:t>
      </w:r>
    </w:p>
    <w:p w14:paraId="163543BD"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c) </w:t>
      </w:r>
      <w:r w:rsidRPr="00457418">
        <w:rPr>
          <w:rFonts w:ascii="Arial" w:eastAsia="Times New Roman" w:hAnsi="Arial" w:cs="Arial"/>
          <w:b/>
          <w:bCs/>
          <w:sz w:val="24"/>
          <w:szCs w:val="24"/>
          <w:highlight w:val="yellow"/>
          <w:lang w:eastAsia="es-CO"/>
        </w:rPr>
        <w:t>El manejo de residuos biológicos en un hospital.</w:t>
      </w:r>
      <w:r w:rsidRPr="00457418">
        <w:rPr>
          <w:rFonts w:ascii="Arial" w:eastAsia="Times New Roman" w:hAnsi="Arial" w:cs="Arial"/>
          <w:sz w:val="24"/>
          <w:szCs w:val="24"/>
          <w:lang w:eastAsia="es-CO"/>
        </w:rPr>
        <w:t xml:space="preserve"> </w:t>
      </w:r>
    </w:p>
    <w:p w14:paraId="10DECB3A" w14:textId="125D092A"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El clima laboral.</w:t>
      </w:r>
    </w:p>
    <w:p w14:paraId="4E2737A0" w14:textId="147454F9"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material cita el "manejo de residuos biológicos" como un riesgo laboral en un hospital de alta complejidad.</w:t>
      </w:r>
    </w:p>
    <w:p w14:paraId="4DEC877C"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25913F2F" w14:textId="77777777" w:rsidR="00BD33CB" w:rsidRPr="005A1630" w:rsidRDefault="00457418" w:rsidP="00457418">
      <w:pPr>
        <w:numPr>
          <w:ilvl w:val="0"/>
          <w:numId w:val="2"/>
        </w:numPr>
        <w:spacing w:before="100" w:beforeAutospacing="1" w:after="100" w:afterAutospacing="1" w:line="240" w:lineRule="auto"/>
        <w:rPr>
          <w:rFonts w:ascii="Arial" w:eastAsia="Times New Roman" w:hAnsi="Arial" w:cs="Arial"/>
          <w:b/>
          <w:bCs/>
          <w:sz w:val="24"/>
          <w:szCs w:val="24"/>
          <w:lang w:eastAsia="es-CO"/>
        </w:rPr>
      </w:pPr>
      <w:r w:rsidRPr="00457418">
        <w:rPr>
          <w:rFonts w:ascii="Arial" w:eastAsia="Times New Roman" w:hAnsi="Arial" w:cs="Arial"/>
          <w:b/>
          <w:bCs/>
          <w:sz w:val="24"/>
          <w:szCs w:val="24"/>
          <w:lang w:eastAsia="es-CO"/>
        </w:rPr>
        <w:t>Pregunta:</w:t>
      </w:r>
      <w:r w:rsidRPr="00457418">
        <w:rPr>
          <w:rFonts w:ascii="Arial" w:eastAsia="Times New Roman" w:hAnsi="Arial" w:cs="Arial"/>
          <w:sz w:val="24"/>
          <w:szCs w:val="24"/>
          <w:lang w:eastAsia="es-CO"/>
        </w:rPr>
        <w:t xml:space="preserve"> </w:t>
      </w:r>
      <w:r w:rsidRPr="00457418">
        <w:rPr>
          <w:rFonts w:ascii="Arial" w:eastAsia="Times New Roman" w:hAnsi="Arial" w:cs="Arial"/>
          <w:b/>
          <w:bCs/>
          <w:sz w:val="24"/>
          <w:szCs w:val="24"/>
          <w:lang w:eastAsia="es-CO"/>
        </w:rPr>
        <w:t xml:space="preserve">El debate propuesto en la Unidad 1 sobre el modelo actual del SGSSS busca que los estudiantes: </w:t>
      </w:r>
    </w:p>
    <w:p w14:paraId="1EBB659B"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Comparen el sistema colombiano con el de otros países. </w:t>
      </w:r>
    </w:p>
    <w:p w14:paraId="270CFDA9"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Se limiten a memorizar las ventajas y desventajas. </w:t>
      </w:r>
    </w:p>
    <w:p w14:paraId="236786F3"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c) </w:t>
      </w:r>
      <w:r w:rsidRPr="00457418">
        <w:rPr>
          <w:rFonts w:ascii="Arial" w:eastAsia="Times New Roman" w:hAnsi="Arial" w:cs="Arial"/>
          <w:b/>
          <w:bCs/>
          <w:sz w:val="24"/>
          <w:szCs w:val="24"/>
          <w:highlight w:val="yellow"/>
          <w:lang w:eastAsia="es-CO"/>
        </w:rPr>
        <w:t>Desarrollen un pensamiento crítico basado en argumentos fundamentados.</w:t>
      </w:r>
      <w:r w:rsidRPr="00457418">
        <w:rPr>
          <w:rFonts w:ascii="Arial" w:eastAsia="Times New Roman" w:hAnsi="Arial" w:cs="Arial"/>
          <w:sz w:val="24"/>
          <w:szCs w:val="24"/>
          <w:lang w:eastAsia="es-CO"/>
        </w:rPr>
        <w:t xml:space="preserve"> </w:t>
      </w:r>
    </w:p>
    <w:p w14:paraId="518DE0DF" w14:textId="386C0779"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d) Busquen la solución a todos los problemas del sistema.</w:t>
      </w:r>
    </w:p>
    <w:p w14:paraId="4AF8AC7E" w14:textId="193EDDFE" w:rsid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objetivo del debate es "fomentar un pensamiento crítico" y que los participantes preparen "argumentos basados en datos, leyes y experiencias reales</w:t>
      </w:r>
      <w:r w:rsidR="00BD33CB">
        <w:rPr>
          <w:rFonts w:ascii="Arial" w:eastAsia="Times New Roman" w:hAnsi="Arial" w:cs="Arial"/>
          <w:sz w:val="24"/>
          <w:szCs w:val="24"/>
          <w:lang w:eastAsia="es-CO"/>
        </w:rPr>
        <w:t>.</w:t>
      </w:r>
      <w:r w:rsidRPr="00457418">
        <w:rPr>
          <w:rFonts w:ascii="Arial" w:eastAsia="Times New Roman" w:hAnsi="Arial" w:cs="Arial"/>
          <w:sz w:val="24"/>
          <w:szCs w:val="24"/>
          <w:lang w:eastAsia="es-CO"/>
        </w:rPr>
        <w:t>"</w:t>
      </w:r>
    </w:p>
    <w:p w14:paraId="1BD71E23" w14:textId="77777777" w:rsidR="00BD33CB" w:rsidRPr="00457418" w:rsidRDefault="00BD33CB" w:rsidP="00BD33CB">
      <w:pPr>
        <w:spacing w:before="100" w:beforeAutospacing="1" w:after="100" w:afterAutospacing="1" w:line="240" w:lineRule="auto"/>
        <w:ind w:left="1440"/>
        <w:rPr>
          <w:rFonts w:ascii="Arial" w:eastAsia="Times New Roman" w:hAnsi="Arial" w:cs="Arial"/>
          <w:sz w:val="24"/>
          <w:szCs w:val="24"/>
          <w:lang w:eastAsia="es-CO"/>
        </w:rPr>
      </w:pPr>
    </w:p>
    <w:p w14:paraId="29274642" w14:textId="77777777" w:rsidR="00BD33CB" w:rsidRDefault="00457418" w:rsidP="00457418">
      <w:pPr>
        <w:numPr>
          <w:ilvl w:val="0"/>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 xml:space="preserve">Pregunta: ¿Cuál de los siguientes actores del SGSSS es un ente de control? </w:t>
      </w:r>
    </w:p>
    <w:p w14:paraId="5ACA250E"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a) La ADRES. </w:t>
      </w:r>
    </w:p>
    <w:p w14:paraId="48BD6AD4"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b) La ARL. </w:t>
      </w:r>
    </w:p>
    <w:p w14:paraId="25FC0A46" w14:textId="77777777" w:rsidR="00BD33CB"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c) La IPS. </w:t>
      </w:r>
    </w:p>
    <w:p w14:paraId="40FE43AD" w14:textId="25B82F51" w:rsidR="00457418" w:rsidRPr="00457418" w:rsidRDefault="00457418" w:rsidP="00BD33CB">
      <w:pPr>
        <w:spacing w:before="100" w:beforeAutospacing="1" w:after="100" w:afterAutospacing="1" w:line="240" w:lineRule="auto"/>
        <w:ind w:left="720"/>
        <w:rPr>
          <w:rFonts w:ascii="Arial" w:eastAsia="Times New Roman" w:hAnsi="Arial" w:cs="Arial"/>
          <w:sz w:val="24"/>
          <w:szCs w:val="24"/>
          <w:lang w:eastAsia="es-CO"/>
        </w:rPr>
      </w:pPr>
      <w:r w:rsidRPr="00457418">
        <w:rPr>
          <w:rFonts w:ascii="Arial" w:eastAsia="Times New Roman" w:hAnsi="Arial" w:cs="Arial"/>
          <w:sz w:val="24"/>
          <w:szCs w:val="24"/>
          <w:highlight w:val="yellow"/>
          <w:lang w:eastAsia="es-CO"/>
        </w:rPr>
        <w:t xml:space="preserve">d) </w:t>
      </w:r>
      <w:r w:rsidRPr="00457418">
        <w:rPr>
          <w:rFonts w:ascii="Arial" w:eastAsia="Times New Roman" w:hAnsi="Arial" w:cs="Arial"/>
          <w:b/>
          <w:bCs/>
          <w:sz w:val="24"/>
          <w:szCs w:val="24"/>
          <w:highlight w:val="yellow"/>
          <w:lang w:eastAsia="es-CO"/>
        </w:rPr>
        <w:t>La Superintendencia Nacional de Salud.</w:t>
      </w:r>
    </w:p>
    <w:p w14:paraId="75771EE2" w14:textId="77777777" w:rsidR="00457418" w:rsidRPr="00457418" w:rsidRDefault="00457418" w:rsidP="00457418">
      <w:pPr>
        <w:numPr>
          <w:ilvl w:val="1"/>
          <w:numId w:val="2"/>
        </w:num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Justificación:</w:t>
      </w:r>
      <w:r w:rsidRPr="00457418">
        <w:rPr>
          <w:rFonts w:ascii="Arial" w:eastAsia="Times New Roman" w:hAnsi="Arial" w:cs="Arial"/>
          <w:sz w:val="24"/>
          <w:szCs w:val="24"/>
          <w:lang w:eastAsia="es-CO"/>
        </w:rPr>
        <w:t xml:space="preserve"> El documento menciona a la Superintendencia Nacional de Salud como un "ente de control" encargado de la vigilancia de las EPS e IPS.</w:t>
      </w:r>
    </w:p>
    <w:p w14:paraId="75E8B88A" w14:textId="77777777" w:rsidR="00457418" w:rsidRPr="00457418" w:rsidRDefault="006F2E97" w:rsidP="00457418">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0174E5F2">
          <v:rect id="_x0000_i1026" style="width:0;height:1.5pt" o:hralign="center" o:hrstd="t" o:hr="t" fillcolor="#a0a0a0" stroked="f"/>
        </w:pict>
      </w:r>
    </w:p>
    <w:p w14:paraId="7BFC6A75" w14:textId="21F77999" w:rsidR="00457418" w:rsidRDefault="00457418" w:rsidP="00457418">
      <w:pPr>
        <w:spacing w:before="100" w:beforeAutospacing="1" w:after="100" w:afterAutospacing="1" w:line="240" w:lineRule="auto"/>
        <w:outlineLvl w:val="2"/>
        <w:rPr>
          <w:rFonts w:ascii="Arial" w:eastAsia="Times New Roman" w:hAnsi="Arial" w:cs="Arial"/>
          <w:b/>
          <w:bCs/>
          <w:sz w:val="24"/>
          <w:szCs w:val="24"/>
          <w:lang w:eastAsia="es-CO"/>
        </w:rPr>
      </w:pPr>
      <w:r w:rsidRPr="00457418">
        <w:rPr>
          <w:rFonts w:ascii="Arial" w:eastAsia="Times New Roman" w:hAnsi="Arial" w:cs="Arial"/>
          <w:b/>
          <w:bCs/>
          <w:sz w:val="24"/>
          <w:szCs w:val="24"/>
          <w:highlight w:val="cyan"/>
          <w:lang w:eastAsia="es-CO"/>
        </w:rPr>
        <w:t>Propuestas de foros de debate</w:t>
      </w:r>
    </w:p>
    <w:p w14:paraId="1AFFF8E9" w14:textId="77777777" w:rsidR="006F2E97" w:rsidRPr="006F2E97" w:rsidRDefault="006F2E97" w:rsidP="006F2E97">
      <w:p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 xml:space="preserve">En este espacio encontrarás diferentes </w:t>
      </w:r>
      <w:r w:rsidRPr="006F2E97">
        <w:rPr>
          <w:rFonts w:ascii="Arial" w:eastAsia="Times New Roman" w:hAnsi="Arial" w:cs="Arial"/>
          <w:b/>
          <w:bCs/>
          <w:sz w:val="24"/>
          <w:szCs w:val="24"/>
          <w:lang w:eastAsia="es-CO"/>
        </w:rPr>
        <w:t>foros de discusión</w:t>
      </w:r>
      <w:r w:rsidRPr="006F2E97">
        <w:rPr>
          <w:rFonts w:ascii="Arial" w:eastAsia="Times New Roman" w:hAnsi="Arial" w:cs="Arial"/>
          <w:sz w:val="24"/>
          <w:szCs w:val="24"/>
          <w:lang w:eastAsia="es-CO"/>
        </w:rPr>
        <w:t xml:space="preserve"> diseñados para invitar a la reflexión, el análisis y el intercambio de ideas entre los participantes.</w:t>
      </w:r>
    </w:p>
    <w:p w14:paraId="68FCB645" w14:textId="77777777" w:rsidR="006F2E97" w:rsidRPr="006F2E97" w:rsidRDefault="006F2E97" w:rsidP="006F2E97">
      <w:p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 xml:space="preserve">Cada foro plantea un </w:t>
      </w:r>
      <w:r w:rsidRPr="006F2E97">
        <w:rPr>
          <w:rFonts w:ascii="Arial" w:eastAsia="Times New Roman" w:hAnsi="Arial" w:cs="Arial"/>
          <w:b/>
          <w:bCs/>
          <w:sz w:val="24"/>
          <w:szCs w:val="24"/>
          <w:lang w:eastAsia="es-CO"/>
        </w:rPr>
        <w:t>tema central</w:t>
      </w:r>
      <w:r w:rsidRPr="006F2E97">
        <w:rPr>
          <w:rFonts w:ascii="Arial" w:eastAsia="Times New Roman" w:hAnsi="Arial" w:cs="Arial"/>
          <w:sz w:val="24"/>
          <w:szCs w:val="24"/>
          <w:lang w:eastAsia="es-CO"/>
        </w:rPr>
        <w:t xml:space="preserve">, acompañado de una breve explicación para contextualizar y una </w:t>
      </w:r>
      <w:r w:rsidRPr="006F2E97">
        <w:rPr>
          <w:rFonts w:ascii="Arial" w:eastAsia="Times New Roman" w:hAnsi="Arial" w:cs="Arial"/>
          <w:b/>
          <w:bCs/>
          <w:sz w:val="24"/>
          <w:szCs w:val="24"/>
          <w:lang w:eastAsia="es-CO"/>
        </w:rPr>
        <w:t>pregunta orientadora</w:t>
      </w:r>
      <w:r w:rsidRPr="006F2E97">
        <w:rPr>
          <w:rFonts w:ascii="Arial" w:eastAsia="Times New Roman" w:hAnsi="Arial" w:cs="Arial"/>
          <w:sz w:val="24"/>
          <w:szCs w:val="24"/>
          <w:lang w:eastAsia="es-CO"/>
        </w:rPr>
        <w:t xml:space="preserve"> que guiará el debate. La idea es que los estudiantes puedan:</w:t>
      </w:r>
    </w:p>
    <w:p w14:paraId="41E954AD" w14:textId="77777777" w:rsidR="006F2E97" w:rsidRPr="006F2E97" w:rsidRDefault="006F2E97" w:rsidP="006F2E97">
      <w:pPr>
        <w:numPr>
          <w:ilvl w:val="0"/>
          <w:numId w:val="4"/>
        </w:num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lastRenderedPageBreak/>
        <w:t>Conectar los conceptos estudiados con ejemplos concretos.</w:t>
      </w:r>
    </w:p>
    <w:p w14:paraId="2F6241FF" w14:textId="77777777" w:rsidR="006F2E97" w:rsidRPr="006F2E97" w:rsidRDefault="006F2E97" w:rsidP="006F2E97">
      <w:pPr>
        <w:numPr>
          <w:ilvl w:val="0"/>
          <w:numId w:val="4"/>
        </w:num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Argumentar sus posturas de manera crítica y fundamentada.</w:t>
      </w:r>
    </w:p>
    <w:p w14:paraId="678AA29C" w14:textId="77777777" w:rsidR="006F2E97" w:rsidRPr="006F2E97" w:rsidRDefault="006F2E97" w:rsidP="006F2E97">
      <w:pPr>
        <w:numPr>
          <w:ilvl w:val="0"/>
          <w:numId w:val="4"/>
        </w:num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Escuchar otras perspectivas y enriquecer el diálogo académico.</w:t>
      </w:r>
    </w:p>
    <w:p w14:paraId="4C8D25BE" w14:textId="77777777" w:rsidR="006F2E97" w:rsidRPr="006F2E97" w:rsidRDefault="006F2E97" w:rsidP="006F2E97">
      <w:pPr>
        <w:spacing w:before="100" w:beforeAutospacing="1" w:after="100" w:afterAutospacing="1" w:line="240" w:lineRule="auto"/>
        <w:rPr>
          <w:rFonts w:ascii="Arial" w:eastAsia="Times New Roman" w:hAnsi="Arial" w:cs="Arial"/>
          <w:sz w:val="24"/>
          <w:szCs w:val="24"/>
          <w:lang w:eastAsia="es-CO"/>
        </w:rPr>
      </w:pPr>
      <w:r w:rsidRPr="006F2E97">
        <w:rPr>
          <w:rFonts w:ascii="Arial" w:eastAsia="Times New Roman" w:hAnsi="Arial" w:cs="Arial"/>
          <w:sz w:val="24"/>
          <w:szCs w:val="24"/>
          <w:lang w:eastAsia="es-CO"/>
        </w:rPr>
        <w:t xml:space="preserve">Recuerda que las intervenciones en los foros no buscan respuestas únicas o definitivas, sino abrir la puerta a la </w:t>
      </w:r>
      <w:r w:rsidRPr="006F2E97">
        <w:rPr>
          <w:rFonts w:ascii="Arial" w:eastAsia="Times New Roman" w:hAnsi="Arial" w:cs="Arial"/>
          <w:b/>
          <w:bCs/>
          <w:sz w:val="24"/>
          <w:szCs w:val="24"/>
          <w:lang w:eastAsia="es-CO"/>
        </w:rPr>
        <w:t>construcción colectiva de conocimiento</w:t>
      </w:r>
      <w:r w:rsidRPr="006F2E97">
        <w:rPr>
          <w:rFonts w:ascii="Arial" w:eastAsia="Times New Roman" w:hAnsi="Arial" w:cs="Arial"/>
          <w:sz w:val="24"/>
          <w:szCs w:val="24"/>
          <w:lang w:eastAsia="es-CO"/>
        </w:rPr>
        <w:t xml:space="preserve"> a través de la diversidad de opiniones.</w:t>
      </w:r>
    </w:p>
    <w:p w14:paraId="2E00A831" w14:textId="77777777" w:rsidR="006F2E97" w:rsidRPr="00457418" w:rsidRDefault="006F2E97" w:rsidP="00457418">
      <w:pPr>
        <w:spacing w:before="100" w:beforeAutospacing="1" w:after="100" w:afterAutospacing="1" w:line="240" w:lineRule="auto"/>
        <w:outlineLvl w:val="2"/>
        <w:rPr>
          <w:rFonts w:ascii="Arial" w:eastAsia="Times New Roman" w:hAnsi="Arial" w:cs="Arial"/>
          <w:b/>
          <w:bCs/>
          <w:sz w:val="24"/>
          <w:szCs w:val="24"/>
          <w:lang w:eastAsia="es-CO"/>
        </w:rPr>
      </w:pPr>
    </w:p>
    <w:p w14:paraId="1D8D131A" w14:textId="77777777" w:rsidR="00457418" w:rsidRPr="00457418" w:rsidRDefault="00457418" w:rsidP="00457418">
      <w:pPr>
        <w:spacing w:before="100" w:beforeAutospacing="1" w:after="100" w:afterAutospacing="1" w:line="240" w:lineRule="auto"/>
        <w:outlineLvl w:val="3"/>
        <w:rPr>
          <w:rFonts w:ascii="Arial" w:eastAsia="Times New Roman" w:hAnsi="Arial" w:cs="Arial"/>
          <w:b/>
          <w:bCs/>
          <w:sz w:val="24"/>
          <w:szCs w:val="24"/>
          <w:lang w:eastAsia="es-CO"/>
        </w:rPr>
      </w:pPr>
      <w:r w:rsidRPr="00457418">
        <w:rPr>
          <w:rFonts w:ascii="Arial" w:eastAsia="Times New Roman" w:hAnsi="Arial" w:cs="Arial"/>
          <w:b/>
          <w:bCs/>
          <w:sz w:val="24"/>
          <w:szCs w:val="24"/>
          <w:highlight w:val="yellow"/>
          <w:lang w:eastAsia="es-CO"/>
        </w:rPr>
        <w:t>Propuesta 1: La reforma a la salud: ¿Avance o retroceso?</w:t>
      </w:r>
    </w:p>
    <w:p w14:paraId="48228504"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Contexto del caso:</w:t>
      </w:r>
    </w:p>
    <w:p w14:paraId="6F55C99C"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sz w:val="24"/>
          <w:szCs w:val="24"/>
          <w:lang w:eastAsia="es-CO"/>
        </w:rPr>
        <w:t>El gobierno colombiano ha propuesto una reforma que busca transformar el SGSSS, con uno de sus puntos más polémicos siendo la eliminación de las Entidades Promotoras de Salud (EPS). El material del curso presenta argumentos tanto a favor (mejor control del gasto, reducción de burocracia) como en contra (riesgo de caos administrativo, capacidad limitada del Estado) de esta medida.</w:t>
      </w:r>
    </w:p>
    <w:p w14:paraId="492459BC"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 para el debate:</w:t>
      </w:r>
    </w:p>
    <w:p w14:paraId="67DB521B" w14:textId="576CA577" w:rsidR="00BD33CB"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sz w:val="24"/>
          <w:szCs w:val="24"/>
          <w:lang w:eastAsia="es-CO"/>
        </w:rPr>
        <w:t>Con base en la Ley 100 de 1993, la Ley Estatutaria 1751 y las problemáticas actuales del sistema, ¿estás de acuerdo con la propuesta de eliminar las EPS? Argumenta tu postura basándote en un principio del SGSSS (universalidad, equidad o eficiencia) y explica qué impacto tendría tu decisión en la atención de los ciudadanos en los regímenes contributivo y subsidiado.</w:t>
      </w:r>
    </w:p>
    <w:p w14:paraId="18A5123A" w14:textId="77777777" w:rsidR="00BD33CB" w:rsidRPr="00457418" w:rsidRDefault="00BD33CB" w:rsidP="00457418">
      <w:pPr>
        <w:spacing w:before="100" w:beforeAutospacing="1" w:after="100" w:afterAutospacing="1" w:line="240" w:lineRule="auto"/>
        <w:rPr>
          <w:rFonts w:ascii="Arial" w:eastAsia="Times New Roman" w:hAnsi="Arial" w:cs="Arial"/>
          <w:sz w:val="24"/>
          <w:szCs w:val="24"/>
          <w:lang w:eastAsia="es-CO"/>
        </w:rPr>
      </w:pPr>
    </w:p>
    <w:p w14:paraId="3C32C755" w14:textId="77777777" w:rsidR="00457418" w:rsidRPr="00457418" w:rsidRDefault="00457418" w:rsidP="00457418">
      <w:pPr>
        <w:spacing w:before="100" w:beforeAutospacing="1" w:after="100" w:afterAutospacing="1" w:line="240" w:lineRule="auto"/>
        <w:outlineLvl w:val="3"/>
        <w:rPr>
          <w:rFonts w:ascii="Arial" w:eastAsia="Times New Roman" w:hAnsi="Arial" w:cs="Arial"/>
          <w:b/>
          <w:bCs/>
          <w:sz w:val="24"/>
          <w:szCs w:val="24"/>
          <w:lang w:eastAsia="es-CO"/>
        </w:rPr>
      </w:pPr>
      <w:r w:rsidRPr="00457418">
        <w:rPr>
          <w:rFonts w:ascii="Arial" w:eastAsia="Times New Roman" w:hAnsi="Arial" w:cs="Arial"/>
          <w:b/>
          <w:bCs/>
          <w:sz w:val="24"/>
          <w:szCs w:val="24"/>
          <w:highlight w:val="yellow"/>
          <w:lang w:eastAsia="es-CO"/>
        </w:rPr>
        <w:t>Propuesta 2: Seguridad laboral y el trabajador informal</w:t>
      </w:r>
    </w:p>
    <w:p w14:paraId="0315E206"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Contexto del caso:</w:t>
      </w:r>
    </w:p>
    <w:p w14:paraId="798CA0FF"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sz w:val="24"/>
          <w:szCs w:val="24"/>
          <w:lang w:eastAsia="es-CO"/>
        </w:rPr>
        <w:t>El Sistema de Riesgos Laborales en Colombia, según el material, establece derechos y deberes para empleadores y trabajadores. Sin embargo, se reconoce que los trabajadores informales —que no tienen un contrato fijo— enfrentan barreras para acceder a los servicios y la protección de las Administradoras de Riesgos Laborales (ARL).</w:t>
      </w:r>
    </w:p>
    <w:p w14:paraId="230945E9"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b/>
          <w:bCs/>
          <w:sz w:val="24"/>
          <w:szCs w:val="24"/>
          <w:lang w:eastAsia="es-CO"/>
        </w:rPr>
        <w:t>Pregunta para el debate:</w:t>
      </w:r>
    </w:p>
    <w:p w14:paraId="35CBBC02" w14:textId="77777777" w:rsidR="00457418" w:rsidRPr="00457418" w:rsidRDefault="00457418" w:rsidP="00457418">
      <w:pPr>
        <w:spacing w:before="100" w:beforeAutospacing="1" w:after="100" w:afterAutospacing="1" w:line="240" w:lineRule="auto"/>
        <w:rPr>
          <w:rFonts w:ascii="Arial" w:eastAsia="Times New Roman" w:hAnsi="Arial" w:cs="Arial"/>
          <w:sz w:val="24"/>
          <w:szCs w:val="24"/>
          <w:lang w:eastAsia="es-CO"/>
        </w:rPr>
      </w:pPr>
      <w:r w:rsidRPr="00457418">
        <w:rPr>
          <w:rFonts w:ascii="Arial" w:eastAsia="Times New Roman" w:hAnsi="Arial" w:cs="Arial"/>
          <w:sz w:val="24"/>
          <w:szCs w:val="24"/>
          <w:lang w:eastAsia="es-CO"/>
        </w:rPr>
        <w:t xml:space="preserve">Si el objetivo del SGSSS es la universalidad, ¿cómo se puede garantizar que la protección en materia de seguridad y salud en el trabajo llegue de manera efectiva a la población de trabajadores informales? Propón al menos dos estrategias </w:t>
      </w:r>
      <w:r w:rsidRPr="00457418">
        <w:rPr>
          <w:rFonts w:ascii="Arial" w:eastAsia="Times New Roman" w:hAnsi="Arial" w:cs="Arial"/>
          <w:sz w:val="24"/>
          <w:szCs w:val="24"/>
          <w:lang w:eastAsia="es-CO"/>
        </w:rPr>
        <w:lastRenderedPageBreak/>
        <w:t>concretas, considerando la sostenibilidad financiera del sistema, y discute los desafíos que estas propuestas enfrentarían.</w:t>
      </w:r>
    </w:p>
    <w:p w14:paraId="420E461A" w14:textId="77777777" w:rsidR="00CF2D85" w:rsidRDefault="00CF2D85"/>
    <w:sectPr w:rsidR="00CF2D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C6099"/>
    <w:multiLevelType w:val="multilevel"/>
    <w:tmpl w:val="3FE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91D69"/>
    <w:multiLevelType w:val="multilevel"/>
    <w:tmpl w:val="F35A8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C777D4"/>
    <w:multiLevelType w:val="multilevel"/>
    <w:tmpl w:val="A93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B4192"/>
    <w:multiLevelType w:val="multilevel"/>
    <w:tmpl w:val="8D7A2DE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3C"/>
    <w:rsid w:val="00457418"/>
    <w:rsid w:val="005A1630"/>
    <w:rsid w:val="006546F3"/>
    <w:rsid w:val="006F2E97"/>
    <w:rsid w:val="00A30B3C"/>
    <w:rsid w:val="00B67A5E"/>
    <w:rsid w:val="00BD33CB"/>
    <w:rsid w:val="00CF2D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0390BB"/>
  <w15:chartTrackingRefBased/>
  <w15:docId w15:val="{BB188B93-CB13-4E4A-A227-E33CFD82B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5741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457418"/>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57418"/>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457418"/>
    <w:rPr>
      <w:rFonts w:ascii="Times New Roman" w:eastAsia="Times New Roman" w:hAnsi="Times New Roman" w:cs="Times New Roman"/>
      <w:b/>
      <w:bCs/>
      <w:sz w:val="24"/>
      <w:szCs w:val="24"/>
      <w:lang w:eastAsia="es-CO"/>
    </w:rPr>
  </w:style>
  <w:style w:type="paragraph" w:styleId="NormalWeb">
    <w:name w:val="Normal (Web)"/>
    <w:basedOn w:val="Normal"/>
    <w:uiPriority w:val="99"/>
    <w:semiHidden/>
    <w:unhideWhenUsed/>
    <w:rsid w:val="0045741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itation-94">
    <w:name w:val="citation-94"/>
    <w:basedOn w:val="Fuentedeprrafopredeter"/>
    <w:rsid w:val="00457418"/>
  </w:style>
  <w:style w:type="character" w:customStyle="1" w:styleId="citation-93">
    <w:name w:val="citation-93"/>
    <w:basedOn w:val="Fuentedeprrafopredeter"/>
    <w:rsid w:val="00457418"/>
  </w:style>
  <w:style w:type="character" w:customStyle="1" w:styleId="citation-92">
    <w:name w:val="citation-92"/>
    <w:basedOn w:val="Fuentedeprrafopredeter"/>
    <w:rsid w:val="00457418"/>
  </w:style>
  <w:style w:type="character" w:customStyle="1" w:styleId="citation-91">
    <w:name w:val="citation-91"/>
    <w:basedOn w:val="Fuentedeprrafopredeter"/>
    <w:rsid w:val="00457418"/>
  </w:style>
  <w:style w:type="character" w:customStyle="1" w:styleId="citation-90">
    <w:name w:val="citation-90"/>
    <w:basedOn w:val="Fuentedeprrafopredeter"/>
    <w:rsid w:val="00457418"/>
  </w:style>
  <w:style w:type="character" w:customStyle="1" w:styleId="citation-89">
    <w:name w:val="citation-89"/>
    <w:basedOn w:val="Fuentedeprrafopredeter"/>
    <w:rsid w:val="00457418"/>
  </w:style>
  <w:style w:type="character" w:customStyle="1" w:styleId="citation-88">
    <w:name w:val="citation-88"/>
    <w:basedOn w:val="Fuentedeprrafopredeter"/>
    <w:rsid w:val="00457418"/>
  </w:style>
  <w:style w:type="character" w:customStyle="1" w:styleId="citation-87">
    <w:name w:val="citation-87"/>
    <w:basedOn w:val="Fuentedeprrafopredeter"/>
    <w:rsid w:val="00457418"/>
  </w:style>
  <w:style w:type="character" w:customStyle="1" w:styleId="citation-86">
    <w:name w:val="citation-86"/>
    <w:basedOn w:val="Fuentedeprrafopredeter"/>
    <w:rsid w:val="00457418"/>
  </w:style>
  <w:style w:type="character" w:customStyle="1" w:styleId="citation-85">
    <w:name w:val="citation-85"/>
    <w:basedOn w:val="Fuentedeprrafopredeter"/>
    <w:rsid w:val="00457418"/>
  </w:style>
  <w:style w:type="character" w:customStyle="1" w:styleId="citation-84">
    <w:name w:val="citation-84"/>
    <w:basedOn w:val="Fuentedeprrafopredeter"/>
    <w:rsid w:val="00457418"/>
  </w:style>
  <w:style w:type="character" w:customStyle="1" w:styleId="citation-83">
    <w:name w:val="citation-83"/>
    <w:basedOn w:val="Fuentedeprrafopredeter"/>
    <w:rsid w:val="00457418"/>
  </w:style>
  <w:style w:type="character" w:customStyle="1" w:styleId="citation-82">
    <w:name w:val="citation-82"/>
    <w:basedOn w:val="Fuentedeprrafopredeter"/>
    <w:rsid w:val="00457418"/>
  </w:style>
  <w:style w:type="character" w:customStyle="1" w:styleId="citation-81">
    <w:name w:val="citation-81"/>
    <w:basedOn w:val="Fuentedeprrafopredeter"/>
    <w:rsid w:val="00457418"/>
  </w:style>
  <w:style w:type="character" w:customStyle="1" w:styleId="citation-80">
    <w:name w:val="citation-80"/>
    <w:basedOn w:val="Fuentedeprrafopredeter"/>
    <w:rsid w:val="00457418"/>
  </w:style>
  <w:style w:type="character" w:customStyle="1" w:styleId="citation-79">
    <w:name w:val="citation-79"/>
    <w:basedOn w:val="Fuentedeprrafopredeter"/>
    <w:rsid w:val="00457418"/>
  </w:style>
  <w:style w:type="character" w:customStyle="1" w:styleId="citation-78">
    <w:name w:val="citation-78"/>
    <w:basedOn w:val="Fuentedeprrafopredeter"/>
    <w:rsid w:val="00457418"/>
  </w:style>
  <w:style w:type="character" w:customStyle="1" w:styleId="citation-77">
    <w:name w:val="citation-77"/>
    <w:basedOn w:val="Fuentedeprrafopredeter"/>
    <w:rsid w:val="00457418"/>
  </w:style>
  <w:style w:type="character" w:customStyle="1" w:styleId="citation-76">
    <w:name w:val="citation-76"/>
    <w:basedOn w:val="Fuentedeprrafopredeter"/>
    <w:rsid w:val="00457418"/>
  </w:style>
  <w:style w:type="character" w:customStyle="1" w:styleId="citation-75">
    <w:name w:val="citation-75"/>
    <w:basedOn w:val="Fuentedeprrafopredeter"/>
    <w:rsid w:val="00457418"/>
  </w:style>
  <w:style w:type="character" w:customStyle="1" w:styleId="citation-74">
    <w:name w:val="citation-74"/>
    <w:basedOn w:val="Fuentedeprrafopredeter"/>
    <w:rsid w:val="00457418"/>
  </w:style>
  <w:style w:type="character" w:customStyle="1" w:styleId="citation-73">
    <w:name w:val="citation-73"/>
    <w:basedOn w:val="Fuentedeprrafopredeter"/>
    <w:rsid w:val="00457418"/>
  </w:style>
  <w:style w:type="character" w:customStyle="1" w:styleId="citation-72">
    <w:name w:val="citation-72"/>
    <w:basedOn w:val="Fuentedeprrafopredeter"/>
    <w:rsid w:val="00457418"/>
  </w:style>
  <w:style w:type="character" w:customStyle="1" w:styleId="citation-71">
    <w:name w:val="citation-71"/>
    <w:basedOn w:val="Fuentedeprrafopredeter"/>
    <w:rsid w:val="00457418"/>
  </w:style>
  <w:style w:type="character" w:styleId="Textoennegrita">
    <w:name w:val="Strong"/>
    <w:basedOn w:val="Fuentedeprrafopredeter"/>
    <w:uiPriority w:val="22"/>
    <w:qFormat/>
    <w:rsid w:val="006F2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331534">
      <w:bodyDiv w:val="1"/>
      <w:marLeft w:val="0"/>
      <w:marRight w:val="0"/>
      <w:marTop w:val="0"/>
      <w:marBottom w:val="0"/>
      <w:divBdr>
        <w:top w:val="none" w:sz="0" w:space="0" w:color="auto"/>
        <w:left w:val="none" w:sz="0" w:space="0" w:color="auto"/>
        <w:bottom w:val="none" w:sz="0" w:space="0" w:color="auto"/>
        <w:right w:val="none" w:sz="0" w:space="0" w:color="auto"/>
      </w:divBdr>
    </w:div>
    <w:div w:id="894661542">
      <w:bodyDiv w:val="1"/>
      <w:marLeft w:val="0"/>
      <w:marRight w:val="0"/>
      <w:marTop w:val="0"/>
      <w:marBottom w:val="0"/>
      <w:divBdr>
        <w:top w:val="none" w:sz="0" w:space="0" w:color="auto"/>
        <w:left w:val="none" w:sz="0" w:space="0" w:color="auto"/>
        <w:bottom w:val="none" w:sz="0" w:space="0" w:color="auto"/>
        <w:right w:val="none" w:sz="0" w:space="0" w:color="auto"/>
      </w:divBdr>
    </w:div>
    <w:div w:id="101314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1762</Words>
  <Characters>9696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MARQUEZ QUINTERO</dc:creator>
  <cp:keywords/>
  <dc:description/>
  <cp:lastModifiedBy>ALEJANDRA MARQUEZ QUINTERO</cp:lastModifiedBy>
  <cp:revision>3</cp:revision>
  <dcterms:created xsi:type="dcterms:W3CDTF">2025-09-19T15:43:00Z</dcterms:created>
  <dcterms:modified xsi:type="dcterms:W3CDTF">2025-09-24T16:33:00Z</dcterms:modified>
</cp:coreProperties>
</file>