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1B2A55"/>
          <w:sz w:val="64"/>
          <w:szCs w:val="64"/>
        </w:rPr>
        <w:t xml:space="preserve">CAMPSYNC</w:t>
      </w:r>
    </w:p>
    <w:p>
      <w:pPr>
        <w:spacing w:after="300"/>
        <w:jc w:val="center"/>
      </w:pPr>
      <w:r>
        <w:rPr>
          <w:i/>
          <w:iCs/>
          <w:color w:val="595959"/>
          <w:sz w:val="22"/>
          <w:szCs w:val="22"/>
        </w:rPr>
        <w:t xml:space="preserve">Remember · Understand · Act · Evolve</w:t>
      </w:r>
    </w:p>
    <w:p>
      <w:pPr>
        <w:spacing w:after="100" w:before="400"/>
        <w:jc w:val="center"/>
      </w:pPr>
      <w:r>
        <w:rPr>
          <w:b/>
          <w:bCs/>
          <w:color w:val="0F1C3D"/>
          <w:sz w:val="40"/>
          <w:szCs w:val="40"/>
        </w:rPr>
        <w:t xml:space="preserve">MONGODB DATA ARCHITECTURE</w:t>
      </w:r>
    </w:p>
    <w:p>
      <w:pPr>
        <w:spacing w:after="600"/>
        <w:jc w:val="center"/>
      </w:pPr>
      <w:r>
        <w:rPr>
          <w:color w:val="595959"/>
          <w:sz w:val="24"/>
          <w:szCs w:val="24"/>
        </w:rPr>
        <w:t xml:space="preserve">Detailed Design Document — Core Data Store</w:t>
      </w:r>
    </w:p>
    <w:p>
      <w:pPr>
        <w:spacing w:before="1200"/>
        <w:jc w:val="center"/>
      </w:pPr>
      <w:r>
        <w:rPr>
          <w:color w:val="595959"/>
          <w:sz w:val="20"/>
          <w:szCs w:val="20"/>
        </w:rPr>
        <w:t xml:space="preserve">Document Version 2.0</w:t>
      </w:r>
    </w:p>
    <w:p>
      <w:pPr>
        <w:jc w:val="center"/>
      </w:pPr>
      <w:r>
        <w:rPr>
          <w:color w:val="595959"/>
          <w:sz w:val="18"/>
          <w:szCs w:val="18"/>
        </w:rPr>
        <w:t xml:space="preserve">All 13 Core Platform Modules Fully Detailed</w:t>
      </w:r>
    </w:p>
    <w:p>
      <w:r>
        <w:br w:type="page"/>
      </w:r>
    </w:p>
    <w:p>
      <w:pPr>
        <w:pStyle w:val="Heading1"/>
        <w:pBdr>
          <w:bottom w:val="single" w:color="1B2A55" w:sz="12" w:space="4"/>
        </w:pBdr>
        <w:spacing w:after="200" w:before="400"/>
      </w:pPr>
      <w:r>
        <w:rPr>
          <w:b/>
          <w:bCs/>
          <w:color w:val="1B2A55"/>
          <w:sz w:val="30"/>
          <w:szCs w:val="30"/>
        </w:rPr>
        <w:t xml:space="preserve">1. Introduction &amp; Purpose</w:t>
      </w:r>
    </w:p>
    <w:p>
      <w:pPr>
        <w:spacing w:after="140" w:line="276"/>
      </w:pPr>
      <w:r>
        <w:rPr>
          <w:color w:val="222222"/>
          <w:sz w:val="21"/>
          <w:szCs w:val="21"/>
        </w:rPr>
        <w:t xml:space="preserve">This document defines the MongoDB data architecture for the CampSync platform's Core Data Store, as shown in the Core Components Architecture diagram. MongoDB is the Primary Operational Database of record for all 13 core platform modules — Academic Management, Examination Management, Learning Management (LMS), Finance &amp; Accounts, Human Resource Management, Library Management, Hostel Management, Placement Management, Transport Management, Facilities Management, Alumni Management, Admin Manager, and Communication &amp; Announcement.</w:t>
      </w:r>
    </w:p>
    <w:p>
      <w:pPr>
        <w:spacing w:after="140" w:line="276"/>
      </w:pPr>
      <w:r>
        <w:rPr>
          <w:color w:val="222222"/>
          <w:sz w:val="21"/>
          <w:szCs w:val="21"/>
        </w:rPr>
        <w:t xml:space="preserve">MongoDB sits alongside — not instead of — Redis (cache/session), Elasticsearch (search &amp; indexing), a Vector Database (AI/embeddings), and S3-compatible Object Storage (documents/media), each of which is fed from MongoDB via change streams and the platform Event Bus (Kafka), consistent with the Shared Services &amp; Intelligence Layer and Data &amp; Integration Layer shown in the source architecture.</w:t>
      </w:r>
    </w:p>
    <w:p>
      <w:pPr>
        <w:pStyle w:val="Heading2"/>
        <w:spacing w:after="150" w:before="300"/>
      </w:pPr>
      <w:r>
        <w:rPr>
          <w:b/>
          <w:bCs/>
          <w:color w:val="0F1C3D"/>
          <w:sz w:val="24"/>
          <w:szCs w:val="24"/>
        </w:rPr>
        <w:t xml:space="preserve">1.1 Scope</w:t>
      </w:r>
    </w:p>
    <w:p>
      <w:pPr>
        <w:pStyle w:val="ListParagraph"/>
        <w:numPr>
          <w:ilvl w:val="0"/>
          <w:numId w:val="2"/>
        </w:numPr>
        <w:spacing w:after="60"/>
      </w:pPr>
      <w:r>
        <w:rPr>
          <w:color w:val="222222"/>
          <w:sz w:val="21"/>
          <w:szCs w:val="21"/>
        </w:rPr>
        <w:t xml:space="preserve">Full field-level schema detail (collections, indexes, embedding/referencing decisions, design rationale) for all 13 core platform modules — extended in this v2.0 revision from the four priority modules covered in v1.0 (Academic Management, Examination Management, Finance &amp; Accounts, Admin Manager) to the remaining nine (LMS, HR, Library, Hostel, Placement, Transport, Facilities, Alumni, Communication &amp; Announcement).</w:t>
      </w:r>
    </w:p>
    <w:p>
      <w:pPr>
        <w:pStyle w:val="ListParagraph"/>
        <w:numPr>
          <w:ilvl w:val="0"/>
          <w:numId w:val="2"/>
        </w:numPr>
        <w:spacing w:after="60"/>
      </w:pPr>
      <w:r>
        <w:rPr>
          <w:color w:val="222222"/>
          <w:sz w:val="21"/>
          <w:szCs w:val="21"/>
        </w:rPr>
        <w:t xml:space="preserve">Cluster-wide cross-cutting concerns — sharding, replication, transactions, integration with Redis/Elasticsearch/Vector DB/Object Storage, backup &amp; security — documented once and applied uniformly across all modules rather than repeated per module.</w:t>
      </w:r>
    </w:p>
    <w:p>
      <w:pPr>
        <w:pStyle w:val="ListParagraph"/>
        <w:numPr>
          <w:ilvl w:val="0"/>
          <w:numId w:val="2"/>
        </w:numPr>
        <w:spacing w:after="60"/>
      </w:pPr>
      <w:r>
        <w:rPr>
          <w:color w:val="222222"/>
          <w:sz w:val="21"/>
          <w:szCs w:val="21"/>
        </w:rPr>
        <w:t xml:space="preserve">Cluster topology, sharding &amp; replication strategy, indexing conventions, multi-tenancy model, transaction patterns, and integration with Redis / Elasticsearch / Vector DB / Object Storage / Event Bus.</w:t>
      </w:r>
    </w:p>
    <w:p>
      <w:pPr>
        <w:pStyle w:val="Heading2"/>
        <w:spacing w:after="150" w:before="300"/>
      </w:pPr>
      <w:r>
        <w:rPr>
          <w:b/>
          <w:bCs/>
          <w:color w:val="0F1C3D"/>
          <w:sz w:val="24"/>
          <w:szCs w:val="24"/>
        </w:rPr>
        <w:t xml:space="preserve">1.2 Design Principles</w:t>
      </w:r>
    </w:p>
    <w:p>
      <w:pPr>
        <w:pStyle w:val="ListParagraph"/>
        <w:numPr>
          <w:ilvl w:val="0"/>
          <w:numId w:val="2"/>
        </w:numPr>
        <w:spacing w:after="60"/>
      </w:pPr>
      <w:r>
        <w:rPr>
          <w:color w:val="222222"/>
          <w:sz w:val="21"/>
          <w:szCs w:val="21"/>
        </w:rPr>
        <w:t xml:space="preserve">Module-aligned collections — each of the 13 modules owns a bounded set of collections; no module reaches directly into another module's collection (cross-module reads go through the module's service API or the Shared Services layer).</w:t>
      </w:r>
    </w:p>
    <w:p>
      <w:pPr>
        <w:pStyle w:val="ListParagraph"/>
        <w:numPr>
          <w:ilvl w:val="0"/>
          <w:numId w:val="2"/>
        </w:numPr>
        <w:spacing w:after="60"/>
      </w:pPr>
      <w:r>
        <w:rPr>
          <w:color w:val="222222"/>
          <w:sz w:val="21"/>
          <w:szCs w:val="21"/>
        </w:rPr>
        <w:t xml:space="preserve">Reference over duplication for high-churn entities (e.g. a student's fee balance is looked up, not copied), embedding for data that is always read/written together and rarely grows unbounded (e.g. an exam result's marks breakdown).</w:t>
      </w:r>
    </w:p>
    <w:p>
      <w:pPr>
        <w:pStyle w:val="ListParagraph"/>
        <w:numPr>
          <w:ilvl w:val="0"/>
          <w:numId w:val="2"/>
        </w:numPr>
        <w:spacing w:after="60"/>
      </w:pPr>
      <w:r>
        <w:rPr>
          <w:color w:val="222222"/>
          <w:sz w:val="21"/>
          <w:szCs w:val="21"/>
        </w:rPr>
        <w:t xml:space="preserve">Multi-tenant by design — every collection carries an institution_id (tenant) as the leading field of its primary compound index and, where sharded, as part of the shard key.</w:t>
      </w:r>
    </w:p>
    <w:p>
      <w:pPr>
        <w:pStyle w:val="ListParagraph"/>
        <w:numPr>
          <w:ilvl w:val="0"/>
          <w:numId w:val="2"/>
        </w:numPr>
        <w:spacing w:after="60"/>
      </w:pPr>
      <w:r>
        <w:rPr>
          <w:color w:val="222222"/>
          <w:sz w:val="21"/>
          <w:szCs w:val="21"/>
        </w:rPr>
        <w:t xml:space="preserve">Schema-on-write validation using MongoDB $jsonSchema validators per collection, versioned alongside the application's migration scripts.</w:t>
      </w:r>
    </w:p>
    <w:p>
      <w:pPr>
        <w:pStyle w:val="ListParagraph"/>
        <w:numPr>
          <w:ilvl w:val="0"/>
          <w:numId w:val="2"/>
        </w:numPr>
        <w:spacing w:after="60"/>
      </w:pPr>
      <w:r>
        <w:rPr>
          <w:color w:val="222222"/>
          <w:sz w:val="21"/>
          <w:szCs w:val="21"/>
        </w:rPr>
        <w:t xml:space="preserve">Event-sourced side effects — cross-module consequences (notifications, audit, analytics, search sync) are never written inline by the originating module; they are published to Kafka via change streams and consumed asynchronously.</w:t>
      </w:r>
    </w:p>
    <w:p>
      <w:pPr>
        <w:pStyle w:val="ListParagraph"/>
        <w:numPr>
          <w:ilvl w:val="0"/>
          <w:numId w:val="2"/>
        </w:numPr>
        <w:spacing w:after="60"/>
      </w:pPr>
      <w:r>
        <w:rPr>
          <w:color w:val="222222"/>
          <w:sz w:val="21"/>
          <w:szCs w:val="21"/>
        </w:rPr>
        <w:t xml:space="preserve">Soft-delete &amp; audit-first — operational collections use status/is_deleted flags rather than hard deletes; the Admin Manager's audit_logs collection is append-only and immutable.</w:t>
      </w:r>
    </w:p>
    <w:p>
      <w:r>
        <w:br w:type="page"/>
      </w:r>
    </w:p>
    <w:p>
      <w:pPr>
        <w:pStyle w:val="Heading1"/>
        <w:pBdr>
          <w:bottom w:val="single" w:color="1B2A55" w:sz="12" w:space="4"/>
        </w:pBdr>
        <w:spacing w:after="200" w:before="400"/>
      </w:pPr>
      <w:r>
        <w:rPr>
          <w:b/>
          <w:bCs/>
          <w:color w:val="1B2A55"/>
          <w:sz w:val="30"/>
          <w:szCs w:val="30"/>
        </w:rPr>
        <w:t xml:space="preserve">2. Multi-Tenancy &amp; Database Topology</w:t>
      </w:r>
    </w:p>
    <w:p>
      <w:pPr>
        <w:spacing w:after="140" w:line="276"/>
      </w:pPr>
      <w:r>
        <w:rPr>
          <w:color w:val="222222"/>
          <w:sz w:val="21"/>
          <w:szCs w:val="21"/>
        </w:rPr>
        <w:t xml:space="preserve">CampSync serves multiple institutions (colleges/universities) from a shared platform. A hybrid tenancy model is used:</w:t>
      </w:r>
    </w:p>
    <w:p>
      <w:pPr>
        <w:pStyle w:val="Heading2"/>
        <w:spacing w:after="150" w:before="300"/>
      </w:pPr>
      <w:r>
        <w:rPr>
          <w:b/>
          <w:bCs/>
          <w:color w:val="0F1C3D"/>
          <w:sz w:val="24"/>
          <w:szCs w:val="24"/>
        </w:rPr>
        <w:t xml:space="preserve">2.1 Tenancy Model</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800"/>
      </w:tblGrid>
      <w:tr>
        <w:trPr>
          <w:tblHeader/>
        </w:trPr>
        <w:tc>
          <w:tcPr>
            <w:tcW w:type="dxa" w:w="2000"/>
            <w:shd w:fill="1B2A55" w:val="clear"/>
            <w:tcMar>
              <w:top w:type="dxa" w:w="60"/>
              <w:left w:type="dxa" w:w="90"/>
              <w:bottom w:type="dxa" w:w="60"/>
              <w:right w:type="dxa" w:w="90"/>
            </w:tcMar>
            <w:vAlign w:val="center"/>
          </w:tcPr>
          <w:p>
            <w:pPr>
              <w:jc w:val="left"/>
            </w:pPr>
            <w:r>
              <w:rPr>
                <w:b/>
                <w:bCs/>
                <w:color w:val="FFFFFF"/>
                <w:sz w:val="19"/>
                <w:szCs w:val="19"/>
              </w:rPr>
              <w:t xml:space="preserve">Tenant Tier</w:t>
            </w:r>
          </w:p>
        </w:tc>
        <w:tc>
          <w:tcPr>
            <w:tcW w:type="dxa" w:w="3600"/>
            <w:shd w:fill="1B2A55" w:val="clear"/>
            <w:tcMar>
              <w:top w:type="dxa" w:w="60"/>
              <w:left w:type="dxa" w:w="90"/>
              <w:bottom w:type="dxa" w:w="60"/>
              <w:right w:type="dxa" w:w="90"/>
            </w:tcMar>
            <w:vAlign w:val="center"/>
          </w:tcPr>
          <w:p>
            <w:pPr>
              <w:jc w:val="left"/>
            </w:pPr>
            <w:r>
              <w:rPr>
                <w:b/>
                <w:bCs/>
                <w:color w:val="FFFFFF"/>
                <w:sz w:val="19"/>
                <w:szCs w:val="19"/>
              </w:rPr>
              <w:t xml:space="preserve">Isolation Approach</w:t>
            </w:r>
          </w:p>
        </w:tc>
        <w:tc>
          <w:tcPr>
            <w:tcW w:type="dxa" w:w="3800"/>
            <w:shd w:fill="1B2A55" w:val="clear"/>
            <w:tcMar>
              <w:top w:type="dxa" w:w="60"/>
              <w:left w:type="dxa" w:w="90"/>
              <w:bottom w:type="dxa" w:w="60"/>
              <w:right w:type="dxa" w:w="90"/>
            </w:tcMar>
            <w:vAlign w:val="center"/>
          </w:tcPr>
          <w:p>
            <w:pPr>
              <w:jc w:val="left"/>
            </w:pPr>
            <w:r>
              <w:rPr>
                <w:b/>
                <w:bCs/>
                <w:color w:val="FFFFFF"/>
                <w:sz w:val="19"/>
                <w:szCs w:val="19"/>
              </w:rPr>
              <w:t xml:space="preserve">Rationale</w:t>
            </w:r>
          </w:p>
        </w:tc>
      </w:tr>
      <w:tr>
        <w:tc>
          <w:tcPr>
            <w:tcW w:type="dxa" w:w="2000"/>
            <w:tcMar>
              <w:top w:type="dxa" w:w="60"/>
              <w:left w:type="dxa" w:w="90"/>
              <w:bottom w:type="dxa" w:w="60"/>
              <w:right w:type="dxa" w:w="90"/>
            </w:tcMar>
            <w:vAlign w:val="center"/>
          </w:tcPr>
          <w:p>
            <w:pPr>
              <w:jc w:val="left"/>
            </w:pPr>
            <w:r>
              <w:rPr>
                <w:b w:val="false"/>
                <w:bCs w:val="false"/>
                <w:color w:val="222222"/>
                <w:sz w:val="19"/>
                <w:szCs w:val="19"/>
              </w:rPr>
              <w:t xml:space="preserve">Standard institutions</w:t>
            </w:r>
          </w:p>
        </w:tc>
        <w:tc>
          <w:tcPr>
            <w:tcW w:type="dxa" w:w="3600"/>
            <w:tcMar>
              <w:top w:type="dxa" w:w="60"/>
              <w:left w:type="dxa" w:w="90"/>
              <w:bottom w:type="dxa" w:w="60"/>
              <w:right w:type="dxa" w:w="90"/>
            </w:tcMar>
            <w:vAlign w:val="center"/>
          </w:tcPr>
          <w:p>
            <w:pPr>
              <w:jc w:val="left"/>
            </w:pPr>
            <w:r>
              <w:rPr>
                <w:b w:val="false"/>
                <w:bCs w:val="false"/>
                <w:color w:val="222222"/>
                <w:sz w:val="19"/>
                <w:szCs w:val="19"/>
              </w:rPr>
              <w:t xml:space="preserve">Shared cluster, shared database, institution_id field on every document + tenant-aware compound indexes</w:t>
            </w:r>
          </w:p>
        </w:tc>
        <w:tc>
          <w:tcPr>
            <w:tcW w:type="dxa" w:w="3800"/>
            <w:tcMar>
              <w:top w:type="dxa" w:w="60"/>
              <w:left w:type="dxa" w:w="90"/>
              <w:bottom w:type="dxa" w:w="60"/>
              <w:right w:type="dxa" w:w="90"/>
            </w:tcMar>
            <w:vAlign w:val="center"/>
          </w:tcPr>
          <w:p>
            <w:pPr>
              <w:jc w:val="left"/>
            </w:pPr>
            <w:r>
              <w:rPr>
                <w:b w:val="false"/>
                <w:bCs w:val="false"/>
                <w:color w:val="222222"/>
                <w:sz w:val="19"/>
                <w:szCs w:val="19"/>
              </w:rPr>
              <w:t xml:space="preserve">Cost-efficient; majority of institutions are small/mid-size</w:t>
            </w:r>
          </w:p>
        </w:tc>
      </w:tr>
      <w:tr>
        <w:tc>
          <w:tcPr>
            <w:tcW w:type="dxa" w:w="2000"/>
            <w:tcMar>
              <w:top w:type="dxa" w:w="60"/>
              <w:left w:type="dxa" w:w="90"/>
              <w:bottom w:type="dxa" w:w="60"/>
              <w:right w:type="dxa" w:w="90"/>
            </w:tcMar>
            <w:vAlign w:val="center"/>
          </w:tcPr>
          <w:p>
            <w:pPr>
              <w:jc w:val="left"/>
            </w:pPr>
            <w:r>
              <w:rPr>
                <w:b w:val="false"/>
                <w:bCs w:val="false"/>
                <w:color w:val="222222"/>
                <w:sz w:val="19"/>
                <w:szCs w:val="19"/>
              </w:rPr>
              <w:t xml:space="preserve">Large / Enterprise institutions</w:t>
            </w:r>
          </w:p>
        </w:tc>
        <w:tc>
          <w:tcPr>
            <w:tcW w:type="dxa" w:w="3600"/>
            <w:tcMar>
              <w:top w:type="dxa" w:w="60"/>
              <w:left w:type="dxa" w:w="90"/>
              <w:bottom w:type="dxa" w:w="60"/>
              <w:right w:type="dxa" w:w="90"/>
            </w:tcMar>
            <w:vAlign w:val="center"/>
          </w:tcPr>
          <w:p>
            <w:pPr>
              <w:jc w:val="left"/>
            </w:pPr>
            <w:r>
              <w:rPr>
                <w:b w:val="false"/>
                <w:bCs w:val="false"/>
                <w:color w:val="222222"/>
                <w:sz w:val="19"/>
                <w:szCs w:val="19"/>
              </w:rPr>
              <w:t xml:space="preserve">Dedicated database within the same cluster (mongodb://.../inst_&lt;id&gt;), still sharded on the same key strategy</w:t>
            </w:r>
          </w:p>
        </w:tc>
        <w:tc>
          <w:tcPr>
            <w:tcW w:type="dxa" w:w="3800"/>
            <w:tcMar>
              <w:top w:type="dxa" w:w="60"/>
              <w:left w:type="dxa" w:w="90"/>
              <w:bottom w:type="dxa" w:w="60"/>
              <w:right w:type="dxa" w:w="90"/>
            </w:tcMar>
            <w:vAlign w:val="center"/>
          </w:tcPr>
          <w:p>
            <w:pPr>
              <w:jc w:val="left"/>
            </w:pPr>
            <w:r>
              <w:rPr>
                <w:b w:val="false"/>
                <w:bCs w:val="false"/>
                <w:color w:val="222222"/>
                <w:sz w:val="19"/>
                <w:szCs w:val="19"/>
              </w:rPr>
              <w:t xml:space="preserve">Predictable performance isolation, easier per-tenant backup/restore, satisfies data-residency clauses in some contracts</w:t>
            </w:r>
          </w:p>
        </w:tc>
      </w:tr>
      <w:tr>
        <w:tc>
          <w:tcPr>
            <w:tcW w:type="dxa" w:w="2000"/>
            <w:tcMar>
              <w:top w:type="dxa" w:w="60"/>
              <w:left w:type="dxa" w:w="90"/>
              <w:bottom w:type="dxa" w:w="60"/>
              <w:right w:type="dxa" w:w="90"/>
            </w:tcMar>
            <w:vAlign w:val="center"/>
          </w:tcPr>
          <w:p>
            <w:pPr>
              <w:jc w:val="left"/>
            </w:pPr>
            <w:r>
              <w:rPr>
                <w:b w:val="false"/>
                <w:bCs w:val="false"/>
                <w:color w:val="222222"/>
                <w:sz w:val="19"/>
                <w:szCs w:val="19"/>
              </w:rPr>
              <w:t xml:space="preserve">Government / regulated institutions</w:t>
            </w:r>
          </w:p>
        </w:tc>
        <w:tc>
          <w:tcPr>
            <w:tcW w:type="dxa" w:w="3600"/>
            <w:tcMar>
              <w:top w:type="dxa" w:w="60"/>
              <w:left w:type="dxa" w:w="90"/>
              <w:bottom w:type="dxa" w:w="60"/>
              <w:right w:type="dxa" w:w="90"/>
            </w:tcMar>
            <w:vAlign w:val="center"/>
          </w:tcPr>
          <w:p>
            <w:pPr>
              <w:jc w:val="left"/>
            </w:pPr>
            <w:r>
              <w:rPr>
                <w:b w:val="false"/>
                <w:bCs w:val="false"/>
                <w:color w:val="222222"/>
                <w:sz w:val="19"/>
                <w:szCs w:val="19"/>
              </w:rPr>
              <w:t xml:space="preserve">Dedicated replica set or shard zone, geo-pinned</w:t>
            </w:r>
          </w:p>
        </w:tc>
        <w:tc>
          <w:tcPr>
            <w:tcW w:type="dxa" w:w="3800"/>
            <w:tcMar>
              <w:top w:type="dxa" w:w="60"/>
              <w:left w:type="dxa" w:w="90"/>
              <w:bottom w:type="dxa" w:w="60"/>
              <w:right w:type="dxa" w:w="90"/>
            </w:tcMar>
            <w:vAlign w:val="center"/>
          </w:tcPr>
          <w:p>
            <w:pPr>
              <w:jc w:val="left"/>
            </w:pPr>
            <w:r>
              <w:rPr>
                <w:b w:val="false"/>
                <w:bCs w:val="false"/>
                <w:color w:val="222222"/>
                <w:sz w:val="19"/>
                <w:szCs w:val="19"/>
              </w:rPr>
              <w:t xml:space="preserve">Data residency &amp; compliance (UGC/AICTE audit, state data-localization requirements)</w:t>
            </w:r>
          </w:p>
        </w:tc>
      </w:tr>
    </w:tbl>
    <w:p>
      <w:pPr>
        <w:pStyle w:val="Heading2"/>
        <w:spacing w:after="150" w:before="300"/>
      </w:pPr>
      <w:r>
        <w:rPr>
          <w:b/>
          <w:bCs/>
          <w:color w:val="0F1C3D"/>
          <w:sz w:val="24"/>
          <w:szCs w:val="24"/>
        </w:rPr>
        <w:t xml:space="preserve">2.2 Cluster Topology</w:t>
      </w:r>
    </w:p>
    <w:p>
      <w:pPr>
        <w:spacing w:after="140" w:line="276"/>
      </w:pPr>
      <w:r>
        <w:rPr>
          <w:color w:val="222222"/>
          <w:sz w:val="21"/>
          <w:szCs w:val="21"/>
        </w:rPr>
        <w:t xml:space="preserve">The Core Data Store runs as a sharded MongoDB cluster (MongoDB 7.x, Atlas or self-managed):</w:t>
      </w:r>
    </w:p>
    <w:p>
      <w:pPr>
        <w:spacing w:after="150" w:before="150"/>
        <w:jc w:val="center"/>
      </w:pPr>
      <w:r>
        <w:drawing>
          <wp:inline distT="0" distB="0" distL="0" distR="0">
            <wp:extent cx="5619750"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19750" cy="4095750"/>
                    </a:xfrm>
                    <a:prstGeom prst="rect">
                      <a:avLst/>
                    </a:prstGeom>
                  </pic:spPr>
                </pic:pic>
              </a:graphicData>
            </a:graphic>
          </wp:inline>
        </w:drawing>
      </w:r>
    </w:p>
    <w:p>
      <w:pPr>
        <w:pStyle w:val="ListParagraph"/>
        <w:numPr>
          <w:ilvl w:val="0"/>
          <w:numId w:val="2"/>
        </w:numPr>
        <w:spacing w:after="60"/>
      </w:pPr>
      <w:r>
        <w:rPr>
          <w:color w:val="222222"/>
          <w:sz w:val="21"/>
          <w:szCs w:val="21"/>
        </w:rPr>
        <w:t xml:space="preserve">Config Server Replica Set (3 nodes) — holds cluster metadata and chunk distribution.</w:t>
      </w:r>
    </w:p>
    <w:p>
      <w:pPr>
        <w:pStyle w:val="ListParagraph"/>
        <w:numPr>
          <w:ilvl w:val="0"/>
          <w:numId w:val="2"/>
        </w:numPr>
        <w:spacing w:after="60"/>
      </w:pPr>
      <w:r>
        <w:rPr>
          <w:color w:val="222222"/>
          <w:sz w:val="21"/>
          <w:szCs w:val="21"/>
        </w:rPr>
        <w:t xml:space="preserve">mongos Query Routers (2+, stateless, behind the API Gateway's Load Balancer) — every module connects only to mongos, never directly to a shard.</w:t>
      </w:r>
    </w:p>
    <w:p>
      <w:pPr>
        <w:pStyle w:val="ListParagraph"/>
        <w:numPr>
          <w:ilvl w:val="0"/>
          <w:numId w:val="2"/>
        </w:numPr>
        <w:spacing w:after="60"/>
      </w:pPr>
      <w:r>
        <w:rPr>
          <w:color w:val="222222"/>
          <w:sz w:val="21"/>
          <w:szCs w:val="21"/>
        </w:rPr>
        <w:t xml:space="preserve">Shard Replica Sets (3-node minimum: 1 Primary + 2 Secondaries per shard) — zoned by tenant geography (e.g. IN-South, IN-North) using zone sharding, so a tenant's data stays within its assigned zone for latency and residency reasons.</w:t>
      </w:r>
    </w:p>
    <w:p>
      <w:pPr>
        <w:pStyle w:val="ListParagraph"/>
        <w:numPr>
          <w:ilvl w:val="0"/>
          <w:numId w:val="2"/>
        </w:numPr>
        <w:spacing w:after="60"/>
      </w:pPr>
      <w:r>
        <w:rPr>
          <w:color w:val="222222"/>
          <w:sz w:val="21"/>
          <w:szCs w:val="21"/>
        </w:rPr>
        <w:t xml:space="preserve">A dedicated Analytics/Cold-Tier shard with a Secondary configured as an Analytics Node (hidden, priority 0) serves the Insight Engine and reporting workloads without impacting OLTP latency on the primary shards.</w:t>
      </w:r>
    </w:p>
    <w:p>
      <w:pPr>
        <w:pBdr>
          <w:left w:val="single" w:color="1B2A55" w:sz="18" w:space="6"/>
        </w:pBdr>
        <w:shd w:fill="EEF1F8" w:val="clear"/>
        <w:spacing w:after="200" w:before="100"/>
        <w:ind w:left="120"/>
      </w:pPr>
      <w:r>
        <w:rPr>
          <w:i/>
          <w:iCs/>
          <w:color w:val="0F1C3D"/>
          <w:sz w:val="20"/>
          <w:szCs w:val="20"/>
        </w:rPr>
        <w:t xml:space="preserve">Assumption: institutions below a configurable document-count/QPS threshold are co-located in shared shards; larger institutions are pinned to a dedicated shard zone via the Tenant Resolver in the API Gateway layer. Actual thresholds are an operational tuning decision outside this document's scope.</w:t>
      </w:r>
    </w:p>
    <w:p>
      <w:r>
        <w:br w:type="page"/>
      </w:r>
    </w:p>
    <w:p>
      <w:pPr>
        <w:pStyle w:val="Heading1"/>
        <w:pBdr>
          <w:bottom w:val="single" w:color="1B2A55" w:sz="12" w:space="4"/>
        </w:pBdr>
        <w:spacing w:after="200" w:before="400"/>
      </w:pPr>
      <w:r>
        <w:rPr>
          <w:b/>
          <w:bCs/>
          <w:color w:val="1B2A55"/>
          <w:sz w:val="30"/>
          <w:szCs w:val="30"/>
        </w:rPr>
        <w:t xml:space="preserve">3. Platform-Wide Collection Map</w:t>
      </w:r>
    </w:p>
    <w:p>
      <w:pPr>
        <w:spacing w:after="140" w:line="276"/>
      </w:pPr>
      <w:r>
        <w:rPr>
          <w:color w:val="222222"/>
          <w:sz w:val="21"/>
          <w:szCs w:val="21"/>
        </w:rPr>
        <w:t xml:space="preserve">The table below lists the primary collections owned by each of the 13 core modules. Every module listed here is detailed in full in Sections 4-23 of this document: field-level schemas for its most complex collections, embedding-vs-referencing decisions, and design rationale. All modules follow the same platform-wide conventions established in Sections 2, 9-13 (tenant-scoped documents, module-owned collections, reference IDs to other modules' documents rather than embedded copies, common indexing and security patterns).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5400"/>
        <w:gridCol w:w="1200"/>
      </w:tblGrid>
      <w:tr>
        <w:trPr>
          <w:tblHeader/>
        </w:trPr>
        <w:tc>
          <w:tcPr>
            <w:tcW w:type="dxa" w:w="2800"/>
            <w:shd w:fill="1B2A55" w:val="clear"/>
            <w:tcMar>
              <w:top w:type="dxa" w:w="60"/>
              <w:left w:type="dxa" w:w="90"/>
              <w:bottom w:type="dxa" w:w="60"/>
              <w:right w:type="dxa" w:w="90"/>
            </w:tcMar>
            <w:vAlign w:val="center"/>
          </w:tcPr>
          <w:p>
            <w:pPr>
              <w:jc w:val="left"/>
            </w:pPr>
            <w:r>
              <w:rPr>
                <w:b/>
                <w:bCs/>
                <w:color w:val="FFFFFF"/>
                <w:sz w:val="19"/>
                <w:szCs w:val="19"/>
              </w:rPr>
              <w:t xml:space="preserve">Module</w:t>
            </w:r>
          </w:p>
        </w:tc>
        <w:tc>
          <w:tcPr>
            <w:tcW w:type="dxa" w:w="5400"/>
            <w:shd w:fill="1B2A55" w:val="clear"/>
            <w:tcMar>
              <w:top w:type="dxa" w:w="60"/>
              <w:left w:type="dxa" w:w="90"/>
              <w:bottom w:type="dxa" w:w="60"/>
              <w:right w:type="dxa" w:w="90"/>
            </w:tcMar>
            <w:vAlign w:val="center"/>
          </w:tcPr>
          <w:p>
            <w:pPr>
              <w:jc w:val="left"/>
            </w:pPr>
            <w:r>
              <w:rPr>
                <w:b/>
                <w:bCs/>
                <w:color w:val="FFFFFF"/>
                <w:sz w:val="19"/>
                <w:szCs w:val="19"/>
              </w:rPr>
              <w:t xml:space="preserve">Primary Collections (illustrative, not exhaustive)</w:t>
            </w:r>
          </w:p>
        </w:tc>
        <w:tc>
          <w:tcPr>
            <w:tcW w:type="dxa" w:w="1200"/>
            <w:shd w:fill="1B2A55" w:val="clear"/>
            <w:tcMar>
              <w:top w:type="dxa" w:w="60"/>
              <w:left w:type="dxa" w:w="90"/>
              <w:bottom w:type="dxa" w:w="60"/>
              <w:right w:type="dxa" w:w="90"/>
            </w:tcMar>
            <w:vAlign w:val="center"/>
          </w:tcPr>
          <w:p>
            <w:pPr>
              <w:jc w:val="left"/>
            </w:pPr>
            <w:r>
              <w:rPr>
                <w:b/>
                <w:bCs/>
                <w:color w:val="FFFFFF"/>
                <w:sz w:val="19"/>
                <w:szCs w:val="19"/>
              </w:rPr>
              <w:t xml:space="preserve">Detail</w:t>
            </w:r>
          </w:p>
        </w:tc>
      </w:tr>
      <w:tr>
        <w:tc>
          <w:tcPr>
            <w:tcW w:type="dxa" w:w="2800"/>
            <w:tcMar>
              <w:top w:type="dxa" w:w="60"/>
              <w:left w:type="dxa" w:w="90"/>
              <w:bottom w:type="dxa" w:w="60"/>
              <w:right w:type="dxa" w:w="90"/>
            </w:tcMar>
            <w:vAlign w:val="center"/>
          </w:tcPr>
          <w:p>
            <w:pPr>
              <w:jc w:val="left"/>
            </w:pPr>
            <w:r>
              <w:rPr>
                <w:b w:val="false"/>
                <w:bCs w:val="false"/>
                <w:color w:val="222222"/>
                <w:sz w:val="19"/>
                <w:szCs w:val="19"/>
              </w:rPr>
              <w:t xml:space="preserve">1. Academic Management</w:t>
            </w:r>
          </w:p>
        </w:tc>
        <w:tc>
          <w:tcPr>
            <w:tcW w:type="dxa" w:w="5400"/>
            <w:tcMar>
              <w:top w:type="dxa" w:w="60"/>
              <w:left w:type="dxa" w:w="90"/>
              <w:bottom w:type="dxa" w:w="60"/>
              <w:right w:type="dxa" w:w="90"/>
            </w:tcMar>
            <w:vAlign w:val="center"/>
          </w:tcPr>
          <w:p>
            <w:pPr>
              <w:jc w:val="left"/>
            </w:pPr>
            <w:r>
              <w:rPr>
                <w:rFonts w:ascii="Consolas" w:cs="Consolas" w:eastAsia="Consolas" w:hAnsi="Consolas"/>
                <w:b w:val="false"/>
                <w:bCs w:val="false"/>
                <w:color w:val="222222"/>
                <w:sz w:val="19"/>
                <w:szCs w:val="19"/>
              </w:rPr>
              <w:t xml:space="preserve">programs, courses, course_sections, class_schedules, enrollments, academic_calendars, learning_pathways</w:t>
            </w:r>
          </w:p>
        </w:tc>
        <w:tc>
          <w:tcPr>
            <w:tcW w:type="dxa" w:w="1200"/>
            <w:tcMar>
              <w:top w:type="dxa" w:w="60"/>
              <w:left w:type="dxa" w:w="90"/>
              <w:bottom w:type="dxa" w:w="60"/>
              <w:right w:type="dxa" w:w="90"/>
            </w:tcMar>
            <w:vAlign w:val="center"/>
          </w:tcPr>
          <w:p>
            <w:pPr>
              <w:jc w:val="left"/>
            </w:pPr>
            <w:r>
              <w:rPr>
                <w:b w:val="false"/>
                <w:bCs w:val="false"/>
                <w:color w:val="222222"/>
                <w:sz w:val="19"/>
                <w:szCs w:val="19"/>
              </w:rPr>
              <w:t xml:space="preserve">§4</w:t>
            </w:r>
          </w:p>
        </w:tc>
      </w:tr>
      <w:tr>
        <w:tc>
          <w:tcPr>
            <w:tcW w:type="dxa" w:w="2800"/>
            <w:tcMar>
              <w:top w:type="dxa" w:w="60"/>
              <w:left w:type="dxa" w:w="90"/>
              <w:bottom w:type="dxa" w:w="60"/>
              <w:right w:type="dxa" w:w="90"/>
            </w:tcMar>
            <w:vAlign w:val="center"/>
          </w:tcPr>
          <w:p>
            <w:pPr>
              <w:jc w:val="left"/>
            </w:pPr>
            <w:r>
              <w:rPr>
                <w:b w:val="false"/>
                <w:bCs w:val="false"/>
                <w:color w:val="222222"/>
                <w:sz w:val="19"/>
                <w:szCs w:val="19"/>
              </w:rPr>
              <w:t xml:space="preserve">2. Examination Management</w:t>
            </w:r>
          </w:p>
        </w:tc>
        <w:tc>
          <w:tcPr>
            <w:tcW w:type="dxa" w:w="5400"/>
            <w:tcMar>
              <w:top w:type="dxa" w:w="60"/>
              <w:left w:type="dxa" w:w="90"/>
              <w:bottom w:type="dxa" w:w="60"/>
              <w:right w:type="dxa" w:w="90"/>
            </w:tcMar>
            <w:vAlign w:val="center"/>
          </w:tcPr>
          <w:p>
            <w:pPr>
              <w:jc w:val="left"/>
            </w:pPr>
            <w:r>
              <w:rPr>
                <w:rFonts w:ascii="Consolas" w:cs="Consolas" w:eastAsia="Consolas" w:hAnsi="Consolas"/>
                <w:b w:val="false"/>
                <w:bCs w:val="false"/>
                <w:color w:val="222222"/>
                <w:sz w:val="19"/>
                <w:szCs w:val="19"/>
              </w:rPr>
              <w:t xml:space="preserve">exam_registrations, exam_timetables, hall_tickets, question_banks, exam_results, revaluation_requests, certificates</w:t>
            </w:r>
          </w:p>
        </w:tc>
        <w:tc>
          <w:tcPr>
            <w:tcW w:type="dxa" w:w="1200"/>
            <w:tcMar>
              <w:top w:type="dxa" w:w="60"/>
              <w:left w:type="dxa" w:w="90"/>
              <w:bottom w:type="dxa" w:w="60"/>
              <w:right w:type="dxa" w:w="90"/>
            </w:tcMar>
            <w:vAlign w:val="center"/>
          </w:tcPr>
          <w:p>
            <w:pPr>
              <w:jc w:val="left"/>
            </w:pPr>
            <w:r>
              <w:rPr>
                <w:b w:val="false"/>
                <w:bCs w:val="false"/>
                <w:color w:val="222222"/>
                <w:sz w:val="19"/>
                <w:szCs w:val="19"/>
              </w:rPr>
              <w:t xml:space="preserve">§5</w:t>
            </w:r>
          </w:p>
        </w:tc>
      </w:tr>
      <w:tr>
        <w:tc>
          <w:tcPr>
            <w:tcW w:type="dxa" w:w="2800"/>
            <w:tcMar>
              <w:top w:type="dxa" w:w="60"/>
              <w:left w:type="dxa" w:w="90"/>
              <w:bottom w:type="dxa" w:w="60"/>
              <w:right w:type="dxa" w:w="90"/>
            </w:tcMar>
            <w:vAlign w:val="center"/>
          </w:tcPr>
          <w:p>
            <w:pPr>
              <w:jc w:val="left"/>
            </w:pPr>
            <w:r>
              <w:rPr>
                <w:b w:val="false"/>
                <w:bCs w:val="false"/>
                <w:color w:val="222222"/>
                <w:sz w:val="19"/>
                <w:szCs w:val="19"/>
              </w:rPr>
              <w:t xml:space="preserve">3. Learning Management (LMS)</w:t>
            </w:r>
          </w:p>
        </w:tc>
        <w:tc>
          <w:tcPr>
            <w:tcW w:type="dxa" w:w="5400"/>
            <w:tcMar>
              <w:top w:type="dxa" w:w="60"/>
              <w:left w:type="dxa" w:w="90"/>
              <w:bottom w:type="dxa" w:w="60"/>
              <w:right w:type="dxa" w:w="90"/>
            </w:tcMar>
            <w:vAlign w:val="center"/>
          </w:tcPr>
          <w:p>
            <w:pPr>
              <w:jc w:val="left"/>
            </w:pPr>
            <w:r>
              <w:rPr>
                <w:rFonts w:ascii="Consolas" w:cs="Consolas" w:eastAsia="Consolas" w:hAnsi="Consolas"/>
                <w:b w:val="false"/>
                <w:bCs w:val="false"/>
                <w:color w:val="222222"/>
                <w:sz w:val="19"/>
                <w:szCs w:val="19"/>
              </w:rPr>
              <w:t xml:space="preserve">course_content, assignments, submissions, discussion_threads, virtual_classrooms, progress_tracking, badges</w:t>
            </w:r>
          </w:p>
        </w:tc>
        <w:tc>
          <w:tcPr>
            <w:tcW w:type="dxa" w:w="1200"/>
            <w:tcMar>
              <w:top w:type="dxa" w:w="60"/>
              <w:left w:type="dxa" w:w="90"/>
              <w:bottom w:type="dxa" w:w="60"/>
              <w:right w:type="dxa" w:w="90"/>
            </w:tcMar>
            <w:vAlign w:val="center"/>
          </w:tcPr>
          <w:p>
            <w:pPr>
              <w:jc w:val="left"/>
            </w:pPr>
            <w:r>
              <w:rPr>
                <w:b w:val="false"/>
                <w:bCs w:val="false"/>
                <w:color w:val="222222"/>
                <w:sz w:val="19"/>
                <w:szCs w:val="19"/>
              </w:rPr>
              <w:t xml:space="preserve">§15</w:t>
            </w:r>
          </w:p>
        </w:tc>
      </w:tr>
      <w:tr>
        <w:tc>
          <w:tcPr>
            <w:tcW w:type="dxa" w:w="2800"/>
            <w:tcMar>
              <w:top w:type="dxa" w:w="60"/>
              <w:left w:type="dxa" w:w="90"/>
              <w:bottom w:type="dxa" w:w="60"/>
              <w:right w:type="dxa" w:w="90"/>
            </w:tcMar>
            <w:vAlign w:val="center"/>
          </w:tcPr>
          <w:p>
            <w:pPr>
              <w:jc w:val="left"/>
            </w:pPr>
            <w:r>
              <w:rPr>
                <w:b w:val="false"/>
                <w:bCs w:val="false"/>
                <w:color w:val="222222"/>
                <w:sz w:val="19"/>
                <w:szCs w:val="19"/>
              </w:rPr>
              <w:t xml:space="preserve">4. Finance &amp; Accounts</w:t>
            </w:r>
          </w:p>
        </w:tc>
        <w:tc>
          <w:tcPr>
            <w:tcW w:type="dxa" w:w="5400"/>
            <w:tcMar>
              <w:top w:type="dxa" w:w="60"/>
              <w:left w:type="dxa" w:w="90"/>
              <w:bottom w:type="dxa" w:w="60"/>
              <w:right w:type="dxa" w:w="90"/>
            </w:tcMar>
            <w:vAlign w:val="center"/>
          </w:tcPr>
          <w:p>
            <w:pPr>
              <w:jc w:val="left"/>
            </w:pPr>
            <w:r>
              <w:rPr>
                <w:rFonts w:ascii="Consolas" w:cs="Consolas" w:eastAsia="Consolas" w:hAnsi="Consolas"/>
                <w:b w:val="false"/>
                <w:bCs w:val="false"/>
                <w:color w:val="222222"/>
                <w:sz w:val="19"/>
                <w:szCs w:val="19"/>
              </w:rPr>
              <w:t xml:space="preserve">fee_structures, fee_invoices, fee_receipts, scholarships, expenses, budgets, financial_reports</w:t>
            </w:r>
          </w:p>
        </w:tc>
        <w:tc>
          <w:tcPr>
            <w:tcW w:type="dxa" w:w="1200"/>
            <w:tcMar>
              <w:top w:type="dxa" w:w="60"/>
              <w:left w:type="dxa" w:w="90"/>
              <w:bottom w:type="dxa" w:w="60"/>
              <w:right w:type="dxa" w:w="90"/>
            </w:tcMar>
            <w:vAlign w:val="center"/>
          </w:tcPr>
          <w:p>
            <w:pPr>
              <w:jc w:val="left"/>
            </w:pPr>
            <w:r>
              <w:rPr>
                <w:b w:val="false"/>
                <w:bCs w:val="false"/>
                <w:color w:val="222222"/>
                <w:sz w:val="19"/>
                <w:szCs w:val="19"/>
              </w:rPr>
              <w:t xml:space="preserve">§6</w:t>
            </w:r>
          </w:p>
        </w:tc>
      </w:tr>
      <w:tr>
        <w:tc>
          <w:tcPr>
            <w:tcW w:type="dxa" w:w="2800"/>
            <w:tcMar>
              <w:top w:type="dxa" w:w="60"/>
              <w:left w:type="dxa" w:w="90"/>
              <w:bottom w:type="dxa" w:w="60"/>
              <w:right w:type="dxa" w:w="90"/>
            </w:tcMar>
            <w:vAlign w:val="center"/>
          </w:tcPr>
          <w:p>
            <w:pPr>
              <w:jc w:val="left"/>
            </w:pPr>
            <w:r>
              <w:rPr>
                <w:b w:val="false"/>
                <w:bCs w:val="false"/>
                <w:color w:val="222222"/>
                <w:sz w:val="19"/>
                <w:szCs w:val="19"/>
              </w:rPr>
              <w:t xml:space="preserve">5. Human Resource Management</w:t>
            </w:r>
          </w:p>
        </w:tc>
        <w:tc>
          <w:tcPr>
            <w:tcW w:type="dxa" w:w="5400"/>
            <w:tcMar>
              <w:top w:type="dxa" w:w="60"/>
              <w:left w:type="dxa" w:w="90"/>
              <w:bottom w:type="dxa" w:w="60"/>
              <w:right w:type="dxa" w:w="90"/>
            </w:tcMar>
            <w:vAlign w:val="center"/>
          </w:tcPr>
          <w:p>
            <w:pPr>
              <w:jc w:val="left"/>
            </w:pPr>
            <w:r>
              <w:rPr>
                <w:rFonts w:ascii="Consolas" w:cs="Consolas" w:eastAsia="Consolas" w:hAnsi="Consolas"/>
                <w:b w:val="false"/>
                <w:bCs w:val="false"/>
                <w:color w:val="222222"/>
                <w:sz w:val="19"/>
                <w:szCs w:val="19"/>
              </w:rPr>
              <w:t xml:space="preserve">employees, onboarding_cases, leave_requests, attendance_timesheets, performance_reviews, training_records, payroll_runs</w:t>
            </w:r>
          </w:p>
        </w:tc>
        <w:tc>
          <w:tcPr>
            <w:tcW w:type="dxa" w:w="1200"/>
            <w:tcMar>
              <w:top w:type="dxa" w:w="60"/>
              <w:left w:type="dxa" w:w="90"/>
              <w:bottom w:type="dxa" w:w="60"/>
              <w:right w:type="dxa" w:w="90"/>
            </w:tcMar>
            <w:vAlign w:val="center"/>
          </w:tcPr>
          <w:p>
            <w:pPr>
              <w:jc w:val="left"/>
            </w:pPr>
            <w:r>
              <w:rPr>
                <w:b w:val="false"/>
                <w:bCs w:val="false"/>
                <w:color w:val="222222"/>
                <w:sz w:val="19"/>
                <w:szCs w:val="19"/>
              </w:rPr>
              <w:t xml:space="preserve">§16</w:t>
            </w:r>
          </w:p>
        </w:tc>
      </w:tr>
      <w:tr>
        <w:tc>
          <w:tcPr>
            <w:tcW w:type="dxa" w:w="2800"/>
            <w:tcMar>
              <w:top w:type="dxa" w:w="60"/>
              <w:left w:type="dxa" w:w="90"/>
              <w:bottom w:type="dxa" w:w="60"/>
              <w:right w:type="dxa" w:w="90"/>
            </w:tcMar>
            <w:vAlign w:val="center"/>
          </w:tcPr>
          <w:p>
            <w:pPr>
              <w:jc w:val="left"/>
            </w:pPr>
            <w:r>
              <w:rPr>
                <w:b w:val="false"/>
                <w:bCs w:val="false"/>
                <w:color w:val="222222"/>
                <w:sz w:val="19"/>
                <w:szCs w:val="19"/>
              </w:rPr>
              <w:t xml:space="preserve">6. Library Management</w:t>
            </w:r>
          </w:p>
        </w:tc>
        <w:tc>
          <w:tcPr>
            <w:tcW w:type="dxa" w:w="5400"/>
            <w:tcMar>
              <w:top w:type="dxa" w:w="60"/>
              <w:left w:type="dxa" w:w="90"/>
              <w:bottom w:type="dxa" w:w="60"/>
              <w:right w:type="dxa" w:w="90"/>
            </w:tcMar>
            <w:vAlign w:val="center"/>
          </w:tcPr>
          <w:p>
            <w:pPr>
              <w:jc w:val="left"/>
            </w:pPr>
            <w:r>
              <w:rPr>
                <w:rFonts w:ascii="Consolas" w:cs="Consolas" w:eastAsia="Consolas" w:hAnsi="Consolas"/>
                <w:b w:val="false"/>
                <w:bCs w:val="false"/>
                <w:color w:val="222222"/>
                <w:sz w:val="19"/>
                <w:szCs w:val="19"/>
              </w:rPr>
              <w:t xml:space="preserve">catalog_items, book_circulations, digital_library_assets, memberships, fines</w:t>
            </w:r>
          </w:p>
        </w:tc>
        <w:tc>
          <w:tcPr>
            <w:tcW w:type="dxa" w:w="1200"/>
            <w:tcMar>
              <w:top w:type="dxa" w:w="60"/>
              <w:left w:type="dxa" w:w="90"/>
              <w:bottom w:type="dxa" w:w="60"/>
              <w:right w:type="dxa" w:w="90"/>
            </w:tcMar>
            <w:vAlign w:val="center"/>
          </w:tcPr>
          <w:p>
            <w:pPr>
              <w:jc w:val="left"/>
            </w:pPr>
            <w:r>
              <w:rPr>
                <w:b w:val="false"/>
                <w:bCs w:val="false"/>
                <w:color w:val="222222"/>
                <w:sz w:val="19"/>
                <w:szCs w:val="19"/>
              </w:rPr>
              <w:t xml:space="preserve">§17</w:t>
            </w:r>
          </w:p>
        </w:tc>
      </w:tr>
      <w:tr>
        <w:tc>
          <w:tcPr>
            <w:tcW w:type="dxa" w:w="2800"/>
            <w:tcMar>
              <w:top w:type="dxa" w:w="60"/>
              <w:left w:type="dxa" w:w="90"/>
              <w:bottom w:type="dxa" w:w="60"/>
              <w:right w:type="dxa" w:w="90"/>
            </w:tcMar>
            <w:vAlign w:val="center"/>
          </w:tcPr>
          <w:p>
            <w:pPr>
              <w:jc w:val="left"/>
            </w:pPr>
            <w:r>
              <w:rPr>
                <w:b w:val="false"/>
                <w:bCs w:val="false"/>
                <w:color w:val="222222"/>
                <w:sz w:val="19"/>
                <w:szCs w:val="19"/>
              </w:rPr>
              <w:t xml:space="preserve">7. Hostel Management</w:t>
            </w:r>
          </w:p>
        </w:tc>
        <w:tc>
          <w:tcPr>
            <w:tcW w:type="dxa" w:w="5400"/>
            <w:tcMar>
              <w:top w:type="dxa" w:w="60"/>
              <w:left w:type="dxa" w:w="90"/>
              <w:bottom w:type="dxa" w:w="60"/>
              <w:right w:type="dxa" w:w="90"/>
            </w:tcMar>
            <w:vAlign w:val="center"/>
          </w:tcPr>
          <w:p>
            <w:pPr>
              <w:jc w:val="left"/>
            </w:pPr>
            <w:r>
              <w:rPr>
                <w:rFonts w:ascii="Consolas" w:cs="Consolas" w:eastAsia="Consolas" w:hAnsi="Consolas"/>
                <w:b w:val="false"/>
                <w:bCs w:val="false"/>
                <w:color w:val="222222"/>
                <w:sz w:val="19"/>
                <w:szCs w:val="19"/>
              </w:rPr>
              <w:t xml:space="preserve">rooms, room_allocations, hostel_checkins, mess_plans, visitor_logs, maintenance_requests</w:t>
            </w:r>
          </w:p>
        </w:tc>
        <w:tc>
          <w:tcPr>
            <w:tcW w:type="dxa" w:w="1200"/>
            <w:tcMar>
              <w:top w:type="dxa" w:w="60"/>
              <w:left w:type="dxa" w:w="90"/>
              <w:bottom w:type="dxa" w:w="60"/>
              <w:right w:type="dxa" w:w="90"/>
            </w:tcMar>
            <w:vAlign w:val="center"/>
          </w:tcPr>
          <w:p>
            <w:pPr>
              <w:jc w:val="left"/>
            </w:pPr>
            <w:r>
              <w:rPr>
                <w:b w:val="false"/>
                <w:bCs w:val="false"/>
                <w:color w:val="222222"/>
                <w:sz w:val="19"/>
                <w:szCs w:val="19"/>
              </w:rPr>
              <w:t xml:space="preserve">§18</w:t>
            </w:r>
          </w:p>
        </w:tc>
      </w:tr>
      <w:tr>
        <w:tc>
          <w:tcPr>
            <w:tcW w:type="dxa" w:w="2800"/>
            <w:tcMar>
              <w:top w:type="dxa" w:w="60"/>
              <w:left w:type="dxa" w:w="90"/>
              <w:bottom w:type="dxa" w:w="60"/>
              <w:right w:type="dxa" w:w="90"/>
            </w:tcMar>
            <w:vAlign w:val="center"/>
          </w:tcPr>
          <w:p>
            <w:pPr>
              <w:jc w:val="left"/>
            </w:pPr>
            <w:r>
              <w:rPr>
                <w:b w:val="false"/>
                <w:bCs w:val="false"/>
                <w:color w:val="222222"/>
                <w:sz w:val="19"/>
                <w:szCs w:val="19"/>
              </w:rPr>
              <w:t xml:space="preserve">8. Placement Management</w:t>
            </w:r>
          </w:p>
        </w:tc>
        <w:tc>
          <w:tcPr>
            <w:tcW w:type="dxa" w:w="5400"/>
            <w:tcMar>
              <w:top w:type="dxa" w:w="60"/>
              <w:left w:type="dxa" w:w="90"/>
              <w:bottom w:type="dxa" w:w="60"/>
              <w:right w:type="dxa" w:w="90"/>
            </w:tcMar>
            <w:vAlign w:val="center"/>
          </w:tcPr>
          <w:p>
            <w:pPr>
              <w:jc w:val="left"/>
            </w:pPr>
            <w:r>
              <w:rPr>
                <w:rFonts w:ascii="Consolas" w:cs="Consolas" w:eastAsia="Consolas" w:hAnsi="Consolas"/>
                <w:b w:val="false"/>
                <w:bCs w:val="false"/>
                <w:color w:val="222222"/>
                <w:sz w:val="19"/>
                <w:szCs w:val="19"/>
              </w:rPr>
              <w:t xml:space="preserve">companies, job_postings, placement_drives, student_applications, interview_schedules, offers</w:t>
            </w:r>
          </w:p>
        </w:tc>
        <w:tc>
          <w:tcPr>
            <w:tcW w:type="dxa" w:w="1200"/>
            <w:tcMar>
              <w:top w:type="dxa" w:w="60"/>
              <w:left w:type="dxa" w:w="90"/>
              <w:bottom w:type="dxa" w:w="60"/>
              <w:right w:type="dxa" w:w="90"/>
            </w:tcMar>
            <w:vAlign w:val="center"/>
          </w:tcPr>
          <w:p>
            <w:pPr>
              <w:jc w:val="left"/>
            </w:pPr>
            <w:r>
              <w:rPr>
                <w:b w:val="false"/>
                <w:bCs w:val="false"/>
                <w:color w:val="222222"/>
                <w:sz w:val="19"/>
                <w:szCs w:val="19"/>
              </w:rPr>
              <w:t xml:space="preserve">§19</w:t>
            </w:r>
          </w:p>
        </w:tc>
      </w:tr>
      <w:tr>
        <w:tc>
          <w:tcPr>
            <w:tcW w:type="dxa" w:w="2800"/>
            <w:tcMar>
              <w:top w:type="dxa" w:w="60"/>
              <w:left w:type="dxa" w:w="90"/>
              <w:bottom w:type="dxa" w:w="60"/>
              <w:right w:type="dxa" w:w="90"/>
            </w:tcMar>
            <w:vAlign w:val="center"/>
          </w:tcPr>
          <w:p>
            <w:pPr>
              <w:jc w:val="left"/>
            </w:pPr>
            <w:r>
              <w:rPr>
                <w:b w:val="false"/>
                <w:bCs w:val="false"/>
                <w:color w:val="222222"/>
                <w:sz w:val="19"/>
                <w:szCs w:val="19"/>
              </w:rPr>
              <w:t xml:space="preserve">9. Transport Management</w:t>
            </w:r>
          </w:p>
        </w:tc>
        <w:tc>
          <w:tcPr>
            <w:tcW w:type="dxa" w:w="5400"/>
            <w:tcMar>
              <w:top w:type="dxa" w:w="60"/>
              <w:left w:type="dxa" w:w="90"/>
              <w:bottom w:type="dxa" w:w="60"/>
              <w:right w:type="dxa" w:w="90"/>
            </w:tcMar>
            <w:vAlign w:val="center"/>
          </w:tcPr>
          <w:p>
            <w:pPr>
              <w:jc w:val="left"/>
            </w:pPr>
            <w:r>
              <w:rPr>
                <w:rFonts w:ascii="Consolas" w:cs="Consolas" w:eastAsia="Consolas" w:hAnsi="Consolas"/>
                <w:b w:val="false"/>
                <w:bCs w:val="false"/>
                <w:color w:val="222222"/>
                <w:sz w:val="19"/>
                <w:szCs w:val="19"/>
              </w:rPr>
              <w:t xml:space="preserve">routes, vehicles, vehicle_assignments, gps_pings (time-series), driver_profiles</w:t>
            </w:r>
          </w:p>
        </w:tc>
        <w:tc>
          <w:tcPr>
            <w:tcW w:type="dxa" w:w="1200"/>
            <w:tcMar>
              <w:top w:type="dxa" w:w="60"/>
              <w:left w:type="dxa" w:w="90"/>
              <w:bottom w:type="dxa" w:w="60"/>
              <w:right w:type="dxa" w:w="90"/>
            </w:tcMar>
            <w:vAlign w:val="center"/>
          </w:tcPr>
          <w:p>
            <w:pPr>
              <w:jc w:val="left"/>
            </w:pPr>
            <w:r>
              <w:rPr>
                <w:b w:val="false"/>
                <w:bCs w:val="false"/>
                <w:color w:val="222222"/>
                <w:sz w:val="19"/>
                <w:szCs w:val="19"/>
              </w:rPr>
              <w:t xml:space="preserve">§20</w:t>
            </w:r>
          </w:p>
        </w:tc>
      </w:tr>
      <w:tr>
        <w:tc>
          <w:tcPr>
            <w:tcW w:type="dxa" w:w="2800"/>
            <w:tcMar>
              <w:top w:type="dxa" w:w="60"/>
              <w:left w:type="dxa" w:w="90"/>
              <w:bottom w:type="dxa" w:w="60"/>
              <w:right w:type="dxa" w:w="90"/>
            </w:tcMar>
            <w:vAlign w:val="center"/>
          </w:tcPr>
          <w:p>
            <w:pPr>
              <w:jc w:val="left"/>
            </w:pPr>
            <w:r>
              <w:rPr>
                <w:b w:val="false"/>
                <w:bCs w:val="false"/>
                <w:color w:val="222222"/>
                <w:sz w:val="19"/>
                <w:szCs w:val="19"/>
              </w:rPr>
              <w:t xml:space="preserve">10. Facilities Management</w:t>
            </w:r>
          </w:p>
        </w:tc>
        <w:tc>
          <w:tcPr>
            <w:tcW w:type="dxa" w:w="5400"/>
            <w:tcMar>
              <w:top w:type="dxa" w:w="60"/>
              <w:left w:type="dxa" w:w="90"/>
              <w:bottom w:type="dxa" w:w="60"/>
              <w:right w:type="dxa" w:w="90"/>
            </w:tcMar>
            <w:vAlign w:val="center"/>
          </w:tcPr>
          <w:p>
            <w:pPr>
              <w:jc w:val="left"/>
            </w:pPr>
            <w:r>
              <w:rPr>
                <w:rFonts w:ascii="Consolas" w:cs="Consolas" w:eastAsia="Consolas" w:hAnsi="Consolas"/>
                <w:b w:val="false"/>
                <w:bCs w:val="false"/>
                <w:color w:val="222222"/>
                <w:sz w:val="19"/>
                <w:szCs w:val="19"/>
              </w:rPr>
              <w:t xml:space="preserve">assets, work_orders, inventory_items, vendors, utility_readings, preventive_maintenance_schedules</w:t>
            </w:r>
          </w:p>
        </w:tc>
        <w:tc>
          <w:tcPr>
            <w:tcW w:type="dxa" w:w="1200"/>
            <w:tcMar>
              <w:top w:type="dxa" w:w="60"/>
              <w:left w:type="dxa" w:w="90"/>
              <w:bottom w:type="dxa" w:w="60"/>
              <w:right w:type="dxa" w:w="90"/>
            </w:tcMar>
            <w:vAlign w:val="center"/>
          </w:tcPr>
          <w:p>
            <w:pPr>
              <w:jc w:val="left"/>
            </w:pPr>
            <w:r>
              <w:rPr>
                <w:b w:val="false"/>
                <w:bCs w:val="false"/>
                <w:color w:val="222222"/>
                <w:sz w:val="19"/>
                <w:szCs w:val="19"/>
              </w:rPr>
              <w:t xml:space="preserve">§21</w:t>
            </w:r>
          </w:p>
        </w:tc>
      </w:tr>
      <w:tr>
        <w:tc>
          <w:tcPr>
            <w:tcW w:type="dxa" w:w="2800"/>
            <w:tcMar>
              <w:top w:type="dxa" w:w="60"/>
              <w:left w:type="dxa" w:w="90"/>
              <w:bottom w:type="dxa" w:w="60"/>
              <w:right w:type="dxa" w:w="90"/>
            </w:tcMar>
            <w:vAlign w:val="center"/>
          </w:tcPr>
          <w:p>
            <w:pPr>
              <w:jc w:val="left"/>
            </w:pPr>
            <w:r>
              <w:rPr>
                <w:b w:val="false"/>
                <w:bCs w:val="false"/>
                <w:color w:val="222222"/>
                <w:sz w:val="19"/>
                <w:szCs w:val="19"/>
              </w:rPr>
              <w:t xml:space="preserve">11. Alumni Management</w:t>
            </w:r>
          </w:p>
        </w:tc>
        <w:tc>
          <w:tcPr>
            <w:tcW w:type="dxa" w:w="5400"/>
            <w:tcMar>
              <w:top w:type="dxa" w:w="60"/>
              <w:left w:type="dxa" w:w="90"/>
              <w:bottom w:type="dxa" w:w="60"/>
              <w:right w:type="dxa" w:w="90"/>
            </w:tcMar>
            <w:vAlign w:val="center"/>
          </w:tcPr>
          <w:p>
            <w:pPr>
              <w:jc w:val="left"/>
            </w:pPr>
            <w:r>
              <w:rPr>
                <w:rFonts w:ascii="Consolas" w:cs="Consolas" w:eastAsia="Consolas" w:hAnsi="Consolas"/>
                <w:b w:val="false"/>
                <w:bCs w:val="false"/>
                <w:color w:val="222222"/>
                <w:sz w:val="19"/>
                <w:szCs w:val="19"/>
              </w:rPr>
              <w:t xml:space="preserve">alumni_profiles, alumni_events, mentorship_pairs, donations, engagement_scores</w:t>
            </w:r>
          </w:p>
        </w:tc>
        <w:tc>
          <w:tcPr>
            <w:tcW w:type="dxa" w:w="1200"/>
            <w:tcMar>
              <w:top w:type="dxa" w:w="60"/>
              <w:left w:type="dxa" w:w="90"/>
              <w:bottom w:type="dxa" w:w="60"/>
              <w:right w:type="dxa" w:w="90"/>
            </w:tcMar>
            <w:vAlign w:val="center"/>
          </w:tcPr>
          <w:p>
            <w:pPr>
              <w:jc w:val="left"/>
            </w:pPr>
            <w:r>
              <w:rPr>
                <w:b w:val="false"/>
                <w:bCs w:val="false"/>
                <w:color w:val="222222"/>
                <w:sz w:val="19"/>
                <w:szCs w:val="19"/>
              </w:rPr>
              <w:t xml:space="preserve">§22</w:t>
            </w:r>
          </w:p>
        </w:tc>
      </w:tr>
      <w:tr>
        <w:tc>
          <w:tcPr>
            <w:tcW w:type="dxa" w:w="2800"/>
            <w:tcMar>
              <w:top w:type="dxa" w:w="60"/>
              <w:left w:type="dxa" w:w="90"/>
              <w:bottom w:type="dxa" w:w="60"/>
              <w:right w:type="dxa" w:w="90"/>
            </w:tcMar>
            <w:vAlign w:val="center"/>
          </w:tcPr>
          <w:p>
            <w:pPr>
              <w:jc w:val="left"/>
            </w:pPr>
            <w:r>
              <w:rPr>
                <w:b w:val="false"/>
                <w:bCs w:val="false"/>
                <w:color w:val="222222"/>
                <w:sz w:val="19"/>
                <w:szCs w:val="19"/>
              </w:rPr>
              <w:t xml:space="preserve">12. Admin Manager</w:t>
            </w:r>
          </w:p>
        </w:tc>
        <w:tc>
          <w:tcPr>
            <w:tcW w:type="dxa" w:w="5400"/>
            <w:tcMar>
              <w:top w:type="dxa" w:w="60"/>
              <w:left w:type="dxa" w:w="90"/>
              <w:bottom w:type="dxa" w:w="60"/>
              <w:right w:type="dxa" w:w="90"/>
            </w:tcMar>
            <w:vAlign w:val="center"/>
          </w:tcPr>
          <w:p>
            <w:pPr>
              <w:jc w:val="left"/>
            </w:pPr>
            <w:r>
              <w:rPr>
                <w:rFonts w:ascii="Consolas" w:cs="Consolas" w:eastAsia="Consolas" w:hAnsi="Consolas"/>
                <w:b w:val="false"/>
                <w:bCs w:val="false"/>
                <w:color w:val="222222"/>
                <w:sz w:val="19"/>
                <w:szCs w:val="19"/>
              </w:rPr>
              <w:t xml:space="preserve">users, roles, permissions, role_assignments, system_configs, audit_logs</w:t>
            </w:r>
          </w:p>
        </w:tc>
        <w:tc>
          <w:tcPr>
            <w:tcW w:type="dxa" w:w="1200"/>
            <w:tcMar>
              <w:top w:type="dxa" w:w="60"/>
              <w:left w:type="dxa" w:w="90"/>
              <w:bottom w:type="dxa" w:w="60"/>
              <w:right w:type="dxa" w:w="90"/>
            </w:tcMar>
            <w:vAlign w:val="center"/>
          </w:tcPr>
          <w:p>
            <w:pPr>
              <w:jc w:val="left"/>
            </w:pPr>
            <w:r>
              <w:rPr>
                <w:b w:val="false"/>
                <w:bCs w:val="false"/>
                <w:color w:val="222222"/>
                <w:sz w:val="19"/>
                <w:szCs w:val="19"/>
              </w:rPr>
              <w:t xml:space="preserve">§7</w:t>
            </w:r>
          </w:p>
        </w:tc>
      </w:tr>
      <w:tr>
        <w:tc>
          <w:tcPr>
            <w:tcW w:type="dxa" w:w="2800"/>
            <w:tcMar>
              <w:top w:type="dxa" w:w="60"/>
              <w:left w:type="dxa" w:w="90"/>
              <w:bottom w:type="dxa" w:w="60"/>
              <w:right w:type="dxa" w:w="90"/>
            </w:tcMar>
            <w:vAlign w:val="center"/>
          </w:tcPr>
          <w:p>
            <w:pPr>
              <w:jc w:val="left"/>
            </w:pPr>
            <w:r>
              <w:rPr>
                <w:b w:val="false"/>
                <w:bCs w:val="false"/>
                <w:color w:val="222222"/>
                <w:sz w:val="19"/>
                <w:szCs w:val="19"/>
              </w:rPr>
              <w:t xml:space="preserve">13. Communication &amp; Announcement</w:t>
            </w:r>
          </w:p>
        </w:tc>
        <w:tc>
          <w:tcPr>
            <w:tcW w:type="dxa" w:w="5400"/>
            <w:tcMar>
              <w:top w:type="dxa" w:w="60"/>
              <w:left w:type="dxa" w:w="90"/>
              <w:bottom w:type="dxa" w:w="60"/>
              <w:right w:type="dxa" w:w="90"/>
            </w:tcMar>
            <w:vAlign w:val="center"/>
          </w:tcPr>
          <w:p>
            <w:pPr>
              <w:jc w:val="left"/>
            </w:pPr>
            <w:r>
              <w:rPr>
                <w:rFonts w:ascii="Consolas" w:cs="Consolas" w:eastAsia="Consolas" w:hAnsi="Consolas"/>
                <w:b w:val="false"/>
                <w:bCs w:val="false"/>
                <w:color w:val="222222"/>
                <w:sz w:val="19"/>
                <w:szCs w:val="19"/>
              </w:rPr>
              <w:t xml:space="preserve">announcements, campaigns, notification_logs, survey_responses, emergency_alerts</w:t>
            </w:r>
          </w:p>
        </w:tc>
        <w:tc>
          <w:tcPr>
            <w:tcW w:type="dxa" w:w="1200"/>
            <w:tcMar>
              <w:top w:type="dxa" w:w="60"/>
              <w:left w:type="dxa" w:w="90"/>
              <w:bottom w:type="dxa" w:w="60"/>
              <w:right w:type="dxa" w:w="90"/>
            </w:tcMar>
            <w:vAlign w:val="center"/>
          </w:tcPr>
          <w:p>
            <w:pPr>
              <w:jc w:val="left"/>
            </w:pPr>
            <w:r>
              <w:rPr>
                <w:b w:val="false"/>
                <w:bCs w:val="false"/>
                <w:color w:val="222222"/>
                <w:sz w:val="19"/>
                <w:szCs w:val="19"/>
              </w:rPr>
              <w:t xml:space="preserve">§23</w:t>
            </w:r>
          </w:p>
        </w:tc>
      </w:tr>
    </w:tbl>
    <w:p>
      <w:pPr>
        <w:pBdr>
          <w:left w:val="single" w:color="1B2A55" w:sz="18" w:space="6"/>
        </w:pBdr>
        <w:shd w:fill="EEF1F8" w:val="clear"/>
        <w:spacing w:after="200" w:before="100"/>
        <w:ind w:left="120"/>
      </w:pPr>
      <w:r>
        <w:rPr>
          <w:i/>
          <w:iCs/>
          <w:color w:val="0F1C3D"/>
          <w:sz w:val="20"/>
          <w:szCs w:val="20"/>
        </w:rPr>
        <w:t xml:space="preserve">"Detail" column references the section of this document with full field-level schemas for that module.</w:t>
      </w:r>
    </w:p>
    <w:p>
      <w:r>
        <w:br w:type="page"/>
      </w:r>
    </w:p>
    <w:p>
      <w:pPr>
        <w:pStyle w:val="Heading1"/>
        <w:pBdr>
          <w:bottom w:val="single" w:color="1B2A55" w:sz="12" w:space="4"/>
        </w:pBdr>
        <w:spacing w:after="200" w:before="400"/>
      </w:pPr>
      <w:r>
        <w:rPr>
          <w:b/>
          <w:bCs/>
          <w:color w:val="1B2A55"/>
          <w:sz w:val="30"/>
          <w:szCs w:val="30"/>
        </w:rPr>
        <w:t xml:space="preserve">4. Academic Management — Detailed Schema Design</w:t>
      </w:r>
    </w:p>
    <w:p>
      <w:pPr>
        <w:spacing w:after="140" w:line="276"/>
      </w:pPr>
      <w:r>
        <w:rPr>
          <w:color w:val="222222"/>
          <w:sz w:val="21"/>
          <w:szCs w:val="21"/>
        </w:rPr>
        <w:t xml:space="preserve">Academic Management is the system of record for programs, courses, sections, schedules, and enrollments. Its collections are read heavily by Examination, Finance (fee-linked enrollment), LMS, and the Analytics Engine, so read-optimized denormalization is used deliberately in a few places (noted below).</w:t>
      </w:r>
    </w:p>
    <w:p>
      <w:pPr>
        <w:pStyle w:val="Heading2"/>
        <w:spacing w:after="150" w:before="300"/>
      </w:pPr>
      <w:r>
        <w:rPr>
          <w:b/>
          <w:bCs/>
          <w:color w:val="0F1C3D"/>
          <w:sz w:val="24"/>
          <w:szCs w:val="24"/>
        </w:rPr>
        <w:t xml:space="preserve">4.1 Collections Overview</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400"/>
      </w:tblGrid>
      <w:tr>
        <w:trPr>
          <w:tblHeader/>
        </w:trPr>
        <w:tc>
          <w:tcPr>
            <w:tcW w:type="dxa" w:w="2000"/>
            <w:shd w:fill="1B2A55" w:val="clear"/>
            <w:tcMar>
              <w:top w:type="dxa" w:w="60"/>
              <w:left w:type="dxa" w:w="90"/>
              <w:bottom w:type="dxa" w:w="60"/>
              <w:right w:type="dxa" w:w="90"/>
            </w:tcMar>
            <w:vAlign w:val="center"/>
          </w:tcPr>
          <w:p>
            <w:pPr>
              <w:jc w:val="left"/>
            </w:pPr>
            <w:r>
              <w:rPr>
                <w:b/>
                <w:bCs/>
                <w:color w:val="FFFFFF"/>
                <w:sz w:val="19"/>
                <w:szCs w:val="19"/>
              </w:rPr>
              <w:t xml:space="preserve">Collection</w:t>
            </w:r>
          </w:p>
        </w:tc>
        <w:tc>
          <w:tcPr>
            <w:tcW w:type="dxa" w:w="4000"/>
            <w:shd w:fill="1B2A55" w:val="clear"/>
            <w:tcMar>
              <w:top w:type="dxa" w:w="60"/>
              <w:left w:type="dxa" w:w="90"/>
              <w:bottom w:type="dxa" w:w="60"/>
              <w:right w:type="dxa" w:w="90"/>
            </w:tcMar>
            <w:vAlign w:val="center"/>
          </w:tcPr>
          <w:p>
            <w:pPr>
              <w:jc w:val="left"/>
            </w:pPr>
            <w:r>
              <w:rPr>
                <w:b/>
                <w:bCs/>
                <w:color w:val="FFFFFF"/>
                <w:sz w:val="19"/>
                <w:szCs w:val="19"/>
              </w:rPr>
              <w:t xml:space="preserve">Purpose</w:t>
            </w:r>
          </w:p>
        </w:tc>
        <w:tc>
          <w:tcPr>
            <w:tcW w:type="dxa" w:w="3400"/>
            <w:shd w:fill="1B2A55" w:val="clear"/>
            <w:tcMar>
              <w:top w:type="dxa" w:w="60"/>
              <w:left w:type="dxa" w:w="90"/>
              <w:bottom w:type="dxa" w:w="60"/>
              <w:right w:type="dxa" w:w="90"/>
            </w:tcMar>
            <w:vAlign w:val="center"/>
          </w:tcPr>
          <w:p>
            <w:pPr>
              <w:jc w:val="left"/>
            </w:pPr>
            <w:r>
              <w:rPr>
                <w:b/>
                <w:bCs/>
                <w:color w:val="FFFFFF"/>
                <w:sz w:val="19"/>
                <w:szCs w:val="19"/>
              </w:rPr>
              <w:t xml:space="preserve">Approx. Growth</w:t>
            </w:r>
          </w:p>
        </w:tc>
      </w:tr>
      <w:tr>
        <w:tc>
          <w:tcPr>
            <w:tcW w:type="dxa" w:w="2000"/>
            <w:tcMar>
              <w:top w:type="dxa" w:w="60"/>
              <w:left w:type="dxa" w:w="90"/>
              <w:bottom w:type="dxa" w:w="60"/>
              <w:right w:type="dxa" w:w="90"/>
            </w:tcMar>
            <w:vAlign w:val="center"/>
          </w:tcPr>
          <w:p>
            <w:pPr>
              <w:jc w:val="left"/>
            </w:pPr>
            <w:r>
              <w:rPr>
                <w:b w:val="false"/>
                <w:bCs w:val="false"/>
                <w:color w:val="222222"/>
                <w:sz w:val="19"/>
                <w:szCs w:val="19"/>
              </w:rPr>
              <w:t xml:space="preserve">programs</w:t>
            </w:r>
          </w:p>
        </w:tc>
        <w:tc>
          <w:tcPr>
            <w:tcW w:type="dxa" w:w="4000"/>
            <w:tcMar>
              <w:top w:type="dxa" w:w="60"/>
              <w:left w:type="dxa" w:w="90"/>
              <w:bottom w:type="dxa" w:w="60"/>
              <w:right w:type="dxa" w:w="90"/>
            </w:tcMar>
            <w:vAlign w:val="center"/>
          </w:tcPr>
          <w:p>
            <w:pPr>
              <w:jc w:val="left"/>
            </w:pPr>
            <w:r>
              <w:rPr>
                <w:b w:val="false"/>
                <w:bCs w:val="false"/>
                <w:color w:val="222222"/>
                <w:sz w:val="19"/>
                <w:szCs w:val="19"/>
              </w:rPr>
              <w:t xml:space="preserve">Degree/diploma programs (e.g. B.Tech CSE)</w:t>
            </w:r>
          </w:p>
        </w:tc>
        <w:tc>
          <w:tcPr>
            <w:tcW w:type="dxa" w:w="3400"/>
            <w:tcMar>
              <w:top w:type="dxa" w:w="60"/>
              <w:left w:type="dxa" w:w="90"/>
              <w:bottom w:type="dxa" w:w="60"/>
              <w:right w:type="dxa" w:w="90"/>
            </w:tcMar>
            <w:vAlign w:val="center"/>
          </w:tcPr>
          <w:p>
            <w:pPr>
              <w:jc w:val="left"/>
            </w:pPr>
            <w:r>
              <w:rPr>
                <w:b w:val="false"/>
                <w:bCs w:val="false"/>
                <w:color w:val="222222"/>
                <w:sz w:val="19"/>
                <w:szCs w:val="19"/>
              </w:rPr>
              <w:t xml:space="preserve">Low — tens per institution</w:t>
            </w:r>
          </w:p>
        </w:tc>
      </w:tr>
      <w:tr>
        <w:tc>
          <w:tcPr>
            <w:tcW w:type="dxa" w:w="2000"/>
            <w:tcMar>
              <w:top w:type="dxa" w:w="60"/>
              <w:left w:type="dxa" w:w="90"/>
              <w:bottom w:type="dxa" w:w="60"/>
              <w:right w:type="dxa" w:w="90"/>
            </w:tcMar>
            <w:vAlign w:val="center"/>
          </w:tcPr>
          <w:p>
            <w:pPr>
              <w:jc w:val="left"/>
            </w:pPr>
            <w:r>
              <w:rPr>
                <w:b w:val="false"/>
                <w:bCs w:val="false"/>
                <w:color w:val="222222"/>
                <w:sz w:val="19"/>
                <w:szCs w:val="19"/>
              </w:rPr>
              <w:t xml:space="preserve">courses</w:t>
            </w:r>
          </w:p>
        </w:tc>
        <w:tc>
          <w:tcPr>
            <w:tcW w:type="dxa" w:w="4000"/>
            <w:tcMar>
              <w:top w:type="dxa" w:w="60"/>
              <w:left w:type="dxa" w:w="90"/>
              <w:bottom w:type="dxa" w:w="60"/>
              <w:right w:type="dxa" w:w="90"/>
            </w:tcMar>
            <w:vAlign w:val="center"/>
          </w:tcPr>
          <w:p>
            <w:pPr>
              <w:jc w:val="left"/>
            </w:pPr>
            <w:r>
              <w:rPr>
                <w:b w:val="false"/>
                <w:bCs w:val="false"/>
                <w:color w:val="222222"/>
                <w:sz w:val="19"/>
                <w:szCs w:val="19"/>
              </w:rPr>
              <w:t xml:space="preserve">Course catalog &amp; curriculum/syllabus</w:t>
            </w:r>
          </w:p>
        </w:tc>
        <w:tc>
          <w:tcPr>
            <w:tcW w:type="dxa" w:w="3400"/>
            <w:tcMar>
              <w:top w:type="dxa" w:w="60"/>
              <w:left w:type="dxa" w:w="90"/>
              <w:bottom w:type="dxa" w:w="60"/>
              <w:right w:type="dxa" w:w="90"/>
            </w:tcMar>
            <w:vAlign w:val="center"/>
          </w:tcPr>
          <w:p>
            <w:pPr>
              <w:jc w:val="left"/>
            </w:pPr>
            <w:r>
              <w:rPr>
                <w:b w:val="false"/>
                <w:bCs w:val="false"/>
                <w:color w:val="222222"/>
                <w:sz w:val="19"/>
                <w:szCs w:val="19"/>
              </w:rPr>
              <w:t xml:space="preserve">Low-Medium — hundreds per institution</w:t>
            </w:r>
          </w:p>
        </w:tc>
      </w:tr>
      <w:tr>
        <w:tc>
          <w:tcPr>
            <w:tcW w:type="dxa" w:w="2000"/>
            <w:tcMar>
              <w:top w:type="dxa" w:w="60"/>
              <w:left w:type="dxa" w:w="90"/>
              <w:bottom w:type="dxa" w:w="60"/>
              <w:right w:type="dxa" w:w="90"/>
            </w:tcMar>
            <w:vAlign w:val="center"/>
          </w:tcPr>
          <w:p>
            <w:pPr>
              <w:jc w:val="left"/>
            </w:pPr>
            <w:r>
              <w:rPr>
                <w:b w:val="false"/>
                <w:bCs w:val="false"/>
                <w:color w:val="222222"/>
                <w:sz w:val="19"/>
                <w:szCs w:val="19"/>
              </w:rPr>
              <w:t xml:space="preserve">course_sections</w:t>
            </w:r>
          </w:p>
        </w:tc>
        <w:tc>
          <w:tcPr>
            <w:tcW w:type="dxa" w:w="4000"/>
            <w:tcMar>
              <w:top w:type="dxa" w:w="60"/>
              <w:left w:type="dxa" w:w="90"/>
              <w:bottom w:type="dxa" w:w="60"/>
              <w:right w:type="dxa" w:w="90"/>
            </w:tcMar>
            <w:vAlign w:val="center"/>
          </w:tcPr>
          <w:p>
            <w:pPr>
              <w:jc w:val="left"/>
            </w:pPr>
            <w:r>
              <w:rPr>
                <w:b w:val="false"/>
                <w:bCs w:val="false"/>
                <w:color w:val="222222"/>
                <w:sz w:val="19"/>
                <w:szCs w:val="19"/>
              </w:rPr>
              <w:t xml:space="preserve">A course offered in a given term/semester with a faculty &amp; capacity</w:t>
            </w:r>
          </w:p>
        </w:tc>
        <w:tc>
          <w:tcPr>
            <w:tcW w:type="dxa" w:w="3400"/>
            <w:tcMar>
              <w:top w:type="dxa" w:w="60"/>
              <w:left w:type="dxa" w:w="90"/>
              <w:bottom w:type="dxa" w:w="60"/>
              <w:right w:type="dxa" w:w="90"/>
            </w:tcMar>
            <w:vAlign w:val="center"/>
          </w:tcPr>
          <w:p>
            <w:pPr>
              <w:jc w:val="left"/>
            </w:pPr>
            <w:r>
              <w:rPr>
                <w:b w:val="false"/>
                <w:bCs w:val="false"/>
                <w:color w:val="222222"/>
                <w:sz w:val="19"/>
                <w:szCs w:val="19"/>
              </w:rPr>
              <w:t xml:space="preserve">Medium — recreated every term</w:t>
            </w:r>
          </w:p>
        </w:tc>
      </w:tr>
      <w:tr>
        <w:tc>
          <w:tcPr>
            <w:tcW w:type="dxa" w:w="2000"/>
            <w:tcMar>
              <w:top w:type="dxa" w:w="60"/>
              <w:left w:type="dxa" w:w="90"/>
              <w:bottom w:type="dxa" w:w="60"/>
              <w:right w:type="dxa" w:w="90"/>
            </w:tcMar>
            <w:vAlign w:val="center"/>
          </w:tcPr>
          <w:p>
            <w:pPr>
              <w:jc w:val="left"/>
            </w:pPr>
            <w:r>
              <w:rPr>
                <w:b w:val="false"/>
                <w:bCs w:val="false"/>
                <w:color w:val="222222"/>
                <w:sz w:val="19"/>
                <w:szCs w:val="19"/>
              </w:rPr>
              <w:t xml:space="preserve">class_schedules</w:t>
            </w:r>
          </w:p>
        </w:tc>
        <w:tc>
          <w:tcPr>
            <w:tcW w:type="dxa" w:w="4000"/>
            <w:tcMar>
              <w:top w:type="dxa" w:w="60"/>
              <w:left w:type="dxa" w:w="90"/>
              <w:bottom w:type="dxa" w:w="60"/>
              <w:right w:type="dxa" w:w="90"/>
            </w:tcMar>
            <w:vAlign w:val="center"/>
          </w:tcPr>
          <w:p>
            <w:pPr>
              <w:jc w:val="left"/>
            </w:pPr>
            <w:r>
              <w:rPr>
                <w:b w:val="false"/>
                <w:bCs w:val="false"/>
                <w:color w:val="222222"/>
                <w:sz w:val="19"/>
                <w:szCs w:val="19"/>
              </w:rPr>
              <w:t xml:space="preserve">Timetable slots for a section</w:t>
            </w:r>
          </w:p>
        </w:tc>
        <w:tc>
          <w:tcPr>
            <w:tcW w:type="dxa" w:w="3400"/>
            <w:tcMar>
              <w:top w:type="dxa" w:w="60"/>
              <w:left w:type="dxa" w:w="90"/>
              <w:bottom w:type="dxa" w:w="60"/>
              <w:right w:type="dxa" w:w="90"/>
            </w:tcMar>
            <w:vAlign w:val="center"/>
          </w:tcPr>
          <w:p>
            <w:pPr>
              <w:jc w:val="left"/>
            </w:pPr>
            <w:r>
              <w:rPr>
                <w:b w:val="false"/>
                <w:bCs w:val="false"/>
                <w:color w:val="222222"/>
                <w:sz w:val="19"/>
                <w:szCs w:val="19"/>
              </w:rPr>
              <w:t xml:space="preserve">Medium — 1:N per section</w:t>
            </w:r>
          </w:p>
        </w:tc>
      </w:tr>
      <w:tr>
        <w:tc>
          <w:tcPr>
            <w:tcW w:type="dxa" w:w="2000"/>
            <w:tcMar>
              <w:top w:type="dxa" w:w="60"/>
              <w:left w:type="dxa" w:w="90"/>
              <w:bottom w:type="dxa" w:w="60"/>
              <w:right w:type="dxa" w:w="90"/>
            </w:tcMar>
            <w:vAlign w:val="center"/>
          </w:tcPr>
          <w:p>
            <w:pPr>
              <w:jc w:val="left"/>
            </w:pPr>
            <w:r>
              <w:rPr>
                <w:b w:val="false"/>
                <w:bCs w:val="false"/>
                <w:color w:val="222222"/>
                <w:sz w:val="19"/>
                <w:szCs w:val="19"/>
              </w:rPr>
              <w:t xml:space="preserve">enrollments</w:t>
            </w:r>
          </w:p>
        </w:tc>
        <w:tc>
          <w:tcPr>
            <w:tcW w:type="dxa" w:w="4000"/>
            <w:tcMar>
              <w:top w:type="dxa" w:w="60"/>
              <w:left w:type="dxa" w:w="90"/>
              <w:bottom w:type="dxa" w:w="60"/>
              <w:right w:type="dxa" w:w="90"/>
            </w:tcMar>
            <w:vAlign w:val="center"/>
          </w:tcPr>
          <w:p>
            <w:pPr>
              <w:jc w:val="left"/>
            </w:pPr>
            <w:r>
              <w:rPr>
                <w:b w:val="false"/>
                <w:bCs w:val="false"/>
                <w:color w:val="222222"/>
                <w:sz w:val="19"/>
                <w:szCs w:val="19"/>
              </w:rPr>
              <w:t xml:space="preserve">Student ↔ section registration record</w:t>
            </w:r>
          </w:p>
        </w:tc>
        <w:tc>
          <w:tcPr>
            <w:tcW w:type="dxa" w:w="3400"/>
            <w:tcMar>
              <w:top w:type="dxa" w:w="60"/>
              <w:left w:type="dxa" w:w="90"/>
              <w:bottom w:type="dxa" w:w="60"/>
              <w:right w:type="dxa" w:w="90"/>
            </w:tcMar>
            <w:vAlign w:val="center"/>
          </w:tcPr>
          <w:p>
            <w:pPr>
              <w:jc w:val="left"/>
            </w:pPr>
            <w:r>
              <w:rPr>
                <w:b w:val="false"/>
                <w:bCs w:val="false"/>
                <w:color w:val="222222"/>
                <w:sz w:val="19"/>
                <w:szCs w:val="19"/>
              </w:rPr>
              <w:t xml:space="preserve">High — largest collection in the module</w:t>
            </w:r>
          </w:p>
        </w:tc>
      </w:tr>
      <w:tr>
        <w:tc>
          <w:tcPr>
            <w:tcW w:type="dxa" w:w="2000"/>
            <w:tcMar>
              <w:top w:type="dxa" w:w="60"/>
              <w:left w:type="dxa" w:w="90"/>
              <w:bottom w:type="dxa" w:w="60"/>
              <w:right w:type="dxa" w:w="90"/>
            </w:tcMar>
            <w:vAlign w:val="center"/>
          </w:tcPr>
          <w:p>
            <w:pPr>
              <w:jc w:val="left"/>
            </w:pPr>
            <w:r>
              <w:rPr>
                <w:b w:val="false"/>
                <w:bCs w:val="false"/>
                <w:color w:val="222222"/>
                <w:sz w:val="19"/>
                <w:szCs w:val="19"/>
              </w:rPr>
              <w:t xml:space="preserve">academic_calendars</w:t>
            </w:r>
          </w:p>
        </w:tc>
        <w:tc>
          <w:tcPr>
            <w:tcW w:type="dxa" w:w="4000"/>
            <w:tcMar>
              <w:top w:type="dxa" w:w="60"/>
              <w:left w:type="dxa" w:w="90"/>
              <w:bottom w:type="dxa" w:w="60"/>
              <w:right w:type="dxa" w:w="90"/>
            </w:tcMar>
            <w:vAlign w:val="center"/>
          </w:tcPr>
          <w:p>
            <w:pPr>
              <w:jc w:val="left"/>
            </w:pPr>
            <w:r>
              <w:rPr>
                <w:b w:val="false"/>
                <w:bCs w:val="false"/>
                <w:color w:val="222222"/>
                <w:sz w:val="19"/>
                <w:szCs w:val="19"/>
              </w:rPr>
              <w:t xml:space="preserve">Term dates, holidays, exam windows</w:t>
            </w:r>
          </w:p>
        </w:tc>
        <w:tc>
          <w:tcPr>
            <w:tcW w:type="dxa" w:w="3400"/>
            <w:tcMar>
              <w:top w:type="dxa" w:w="60"/>
              <w:left w:type="dxa" w:w="90"/>
              <w:bottom w:type="dxa" w:w="60"/>
              <w:right w:type="dxa" w:w="90"/>
            </w:tcMar>
            <w:vAlign w:val="center"/>
          </w:tcPr>
          <w:p>
            <w:pPr>
              <w:jc w:val="left"/>
            </w:pPr>
            <w:r>
              <w:rPr>
                <w:b w:val="false"/>
                <w:bCs w:val="false"/>
                <w:color w:val="222222"/>
                <w:sz w:val="19"/>
                <w:szCs w:val="19"/>
              </w:rPr>
              <w:t xml:space="preserve">Low</w:t>
            </w:r>
          </w:p>
        </w:tc>
      </w:tr>
      <w:tr>
        <w:tc>
          <w:tcPr>
            <w:tcW w:type="dxa" w:w="2000"/>
            <w:tcMar>
              <w:top w:type="dxa" w:w="60"/>
              <w:left w:type="dxa" w:w="90"/>
              <w:bottom w:type="dxa" w:w="60"/>
              <w:right w:type="dxa" w:w="90"/>
            </w:tcMar>
            <w:vAlign w:val="center"/>
          </w:tcPr>
          <w:p>
            <w:pPr>
              <w:jc w:val="left"/>
            </w:pPr>
            <w:r>
              <w:rPr>
                <w:b w:val="false"/>
                <w:bCs w:val="false"/>
                <w:color w:val="222222"/>
                <w:sz w:val="19"/>
                <w:szCs w:val="19"/>
              </w:rPr>
              <w:t xml:space="preserve">learning_pathways</w:t>
            </w:r>
          </w:p>
        </w:tc>
        <w:tc>
          <w:tcPr>
            <w:tcW w:type="dxa" w:w="4000"/>
            <w:tcMar>
              <w:top w:type="dxa" w:w="60"/>
              <w:left w:type="dxa" w:w="90"/>
              <w:bottom w:type="dxa" w:w="60"/>
              <w:right w:type="dxa" w:w="90"/>
            </w:tcMar>
            <w:vAlign w:val="center"/>
          </w:tcPr>
          <w:p>
            <w:pPr>
              <w:jc w:val="left"/>
            </w:pPr>
            <w:r>
              <w:rPr>
                <w:b w:val="false"/>
                <w:bCs w:val="false"/>
                <w:color w:val="222222"/>
                <w:sz w:val="19"/>
                <w:szCs w:val="19"/>
              </w:rPr>
              <w:t xml:space="preserve">Recommended/elective sequencing per student</w:t>
            </w:r>
          </w:p>
        </w:tc>
        <w:tc>
          <w:tcPr>
            <w:tcW w:type="dxa" w:w="3400"/>
            <w:tcMar>
              <w:top w:type="dxa" w:w="60"/>
              <w:left w:type="dxa" w:w="90"/>
              <w:bottom w:type="dxa" w:w="60"/>
              <w:right w:type="dxa" w:w="90"/>
            </w:tcMar>
            <w:vAlign w:val="center"/>
          </w:tcPr>
          <w:p>
            <w:pPr>
              <w:jc w:val="left"/>
            </w:pPr>
            <w:r>
              <w:rPr>
                <w:b w:val="false"/>
                <w:bCs w:val="false"/>
                <w:color w:val="222222"/>
                <w:sz w:val="19"/>
                <w:szCs w:val="19"/>
              </w:rPr>
              <w:t xml:space="preserve">Medium — AI/Insight Engine writes here</w:t>
            </w:r>
          </w:p>
        </w:tc>
      </w:tr>
    </w:tbl>
    <w:p>
      <w:pPr>
        <w:pStyle w:val="Heading2"/>
        <w:spacing w:after="150" w:before="300"/>
      </w:pPr>
      <w:r>
        <w:rPr>
          <w:b/>
          <w:bCs/>
          <w:color w:val="0F1C3D"/>
          <w:sz w:val="24"/>
          <w:szCs w:val="24"/>
        </w:rPr>
        <w:t xml:space="preserve">4.2 Core Schema — enrollments</w:t>
      </w:r>
    </w:p>
    <w:p>
      <w:pPr>
        <w:spacing w:after="140" w:line="276"/>
      </w:pPr>
      <w:r>
        <w:rPr>
          <w:color w:val="222222"/>
          <w:sz w:val="21"/>
          <w:szCs w:val="21"/>
        </w:rPr>
        <w:t xml:space="preserve">The busiest collection in the module; the shard key and indexes here matter most.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600"/>
      </w:tblGrid>
      <w:tr>
        <w:trPr>
          <w:tblHeader/>
        </w:trPr>
        <w:tc>
          <w:tcPr>
            <w:tcW w:type="dxa" w:w="2200"/>
            <w:shd w:fill="1B2A55" w:val="clear"/>
            <w:tcMar>
              <w:top w:type="dxa" w:w="60"/>
              <w:left w:type="dxa" w:w="90"/>
              <w:bottom w:type="dxa" w:w="60"/>
              <w:right w:type="dxa" w:w="90"/>
            </w:tcMar>
            <w:vAlign w:val="center"/>
          </w:tcPr>
          <w:p>
            <w:pPr>
              <w:jc w:val="left"/>
            </w:pPr>
            <w:r>
              <w:rPr>
                <w:b/>
                <w:bCs/>
                <w:color w:val="FFFFFF"/>
                <w:sz w:val="19"/>
                <w:szCs w:val="19"/>
              </w:rPr>
              <w:t xml:space="preserve">Field</w:t>
            </w:r>
          </w:p>
        </w:tc>
        <w:tc>
          <w:tcPr>
            <w:tcW w:type="dxa" w:w="1600"/>
            <w:shd w:fill="1B2A55" w:val="clear"/>
            <w:tcMar>
              <w:top w:type="dxa" w:w="60"/>
              <w:left w:type="dxa" w:w="90"/>
              <w:bottom w:type="dxa" w:w="60"/>
              <w:right w:type="dxa" w:w="90"/>
            </w:tcMar>
            <w:vAlign w:val="center"/>
          </w:tcPr>
          <w:p>
            <w:pPr>
              <w:jc w:val="left"/>
            </w:pPr>
            <w:r>
              <w:rPr>
                <w:b/>
                <w:bCs/>
                <w:color w:val="FFFFFF"/>
                <w:sz w:val="19"/>
                <w:szCs w:val="19"/>
              </w:rPr>
              <w:t xml:space="preserve">Type</w:t>
            </w:r>
          </w:p>
        </w:tc>
        <w:tc>
          <w:tcPr>
            <w:tcW w:type="dxa" w:w="5600"/>
            <w:shd w:fill="1B2A55" w:val="clear"/>
            <w:tcMar>
              <w:top w:type="dxa" w:w="60"/>
              <w:left w:type="dxa" w:w="90"/>
              <w:bottom w:type="dxa" w:w="60"/>
              <w:right w:type="dxa" w:w="90"/>
            </w:tcMar>
            <w:vAlign w:val="center"/>
          </w:tcPr>
          <w:p>
            <w:pPr>
              <w:jc w:val="left"/>
            </w:pPr>
            <w:r>
              <w:rPr>
                <w:b/>
                <w:bCs/>
                <w:color w:val="FFFFFF"/>
                <w:sz w:val="19"/>
                <w:szCs w:val="19"/>
              </w:rPr>
              <w:t xml:space="preserve">Notes</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_id</w:t>
            </w:r>
          </w:p>
        </w:tc>
        <w:tc>
          <w:tcPr>
            <w:tcW w:type="dxa" w:w="1600"/>
            <w:tcMar>
              <w:top w:type="dxa" w:w="60"/>
              <w:left w:type="dxa" w:w="90"/>
              <w:bottom w:type="dxa" w:w="60"/>
              <w:right w:type="dxa" w:w="90"/>
            </w:tcMar>
            <w:vAlign w:val="center"/>
          </w:tcPr>
          <w:p>
            <w:pPr>
              <w:jc w:val="left"/>
            </w:pPr>
            <w:r>
              <w:rPr>
                <w:b w:val="false"/>
                <w:bCs w:val="false"/>
                <w:color w:val="222222"/>
                <w:sz w:val="19"/>
                <w:szCs w:val="19"/>
              </w:rPr>
              <w:t xml:space="preserve">ObjectId</w:t>
            </w:r>
          </w:p>
        </w:tc>
        <w:tc>
          <w:tcPr>
            <w:tcW w:type="dxa" w:w="5600"/>
            <w:tcMar>
              <w:top w:type="dxa" w:w="60"/>
              <w:left w:type="dxa" w:w="90"/>
              <w:bottom w:type="dxa" w:w="60"/>
              <w:right w:type="dxa" w:w="90"/>
            </w:tcMar>
            <w:vAlign w:val="center"/>
          </w:tcPr>
          <w:p>
            <w:pPr>
              <w:jc w:val="left"/>
            </w:pPr>
            <w:r>
              <w:rPr>
                <w:b w:val="false"/>
                <w:bCs w:val="false"/>
                <w:color w:val="222222"/>
                <w:sz w:val="19"/>
                <w:szCs w:val="19"/>
              </w:rPr>
              <w:t xml:space="preserve">Primary key</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institution_id</w:t>
            </w:r>
          </w:p>
        </w:tc>
        <w:tc>
          <w:tcPr>
            <w:tcW w:type="dxa" w:w="1600"/>
            <w:tcMar>
              <w:top w:type="dxa" w:w="60"/>
              <w:left w:type="dxa" w:w="90"/>
              <w:bottom w:type="dxa" w:w="60"/>
              <w:right w:type="dxa" w:w="90"/>
            </w:tcMar>
            <w:vAlign w:val="center"/>
          </w:tcPr>
          <w:p>
            <w:pPr>
              <w:jc w:val="left"/>
            </w:pPr>
            <w:r>
              <w:rPr>
                <w:b w:val="false"/>
                <w:bCs w:val="false"/>
                <w:color w:val="222222"/>
                <w:sz w:val="19"/>
                <w:szCs w:val="19"/>
              </w:rPr>
              <w:t xml:space="preserve">ObjectId</w:t>
            </w:r>
          </w:p>
        </w:tc>
        <w:tc>
          <w:tcPr>
            <w:tcW w:type="dxa" w:w="5600"/>
            <w:tcMar>
              <w:top w:type="dxa" w:w="60"/>
              <w:left w:type="dxa" w:w="90"/>
              <w:bottom w:type="dxa" w:w="60"/>
              <w:right w:type="dxa" w:w="90"/>
            </w:tcMar>
            <w:vAlign w:val="center"/>
          </w:tcPr>
          <w:p>
            <w:pPr>
              <w:jc w:val="left"/>
            </w:pPr>
            <w:r>
              <w:rPr>
                <w:b w:val="false"/>
                <w:bCs w:val="false"/>
                <w:color w:val="222222"/>
                <w:sz w:val="19"/>
                <w:szCs w:val="19"/>
              </w:rPr>
              <w:t xml:space="preserve">Tenant scope — leading field of shard key</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student_id</w:t>
            </w:r>
          </w:p>
        </w:tc>
        <w:tc>
          <w:tcPr>
            <w:tcW w:type="dxa" w:w="1600"/>
            <w:tcMar>
              <w:top w:type="dxa" w:w="60"/>
              <w:left w:type="dxa" w:w="90"/>
              <w:bottom w:type="dxa" w:w="60"/>
              <w:right w:type="dxa" w:w="90"/>
            </w:tcMar>
            <w:vAlign w:val="center"/>
          </w:tcPr>
          <w:p>
            <w:pPr>
              <w:jc w:val="left"/>
            </w:pPr>
            <w:r>
              <w:rPr>
                <w:b w:val="false"/>
                <w:bCs w:val="false"/>
                <w:color w:val="222222"/>
                <w:sz w:val="19"/>
                <w:szCs w:val="19"/>
              </w:rPr>
              <w:t xml:space="preserve">ObjectId</w:t>
            </w:r>
          </w:p>
        </w:tc>
        <w:tc>
          <w:tcPr>
            <w:tcW w:type="dxa" w:w="5600"/>
            <w:tcMar>
              <w:top w:type="dxa" w:w="60"/>
              <w:left w:type="dxa" w:w="90"/>
              <w:bottom w:type="dxa" w:w="60"/>
              <w:right w:type="dxa" w:w="90"/>
            </w:tcMar>
            <w:vAlign w:val="center"/>
          </w:tcPr>
          <w:p>
            <w:pPr>
              <w:jc w:val="left"/>
            </w:pPr>
            <w:r>
              <w:rPr>
                <w:b w:val="false"/>
                <w:bCs w:val="false"/>
                <w:color w:val="222222"/>
                <w:sz w:val="19"/>
                <w:szCs w:val="19"/>
              </w:rPr>
              <w:t xml:space="preserve">Ref → students (owned by Admin Manager's users collection, role=student)</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course_section_id</w:t>
            </w:r>
          </w:p>
        </w:tc>
        <w:tc>
          <w:tcPr>
            <w:tcW w:type="dxa" w:w="1600"/>
            <w:tcMar>
              <w:top w:type="dxa" w:w="60"/>
              <w:left w:type="dxa" w:w="90"/>
              <w:bottom w:type="dxa" w:w="60"/>
              <w:right w:type="dxa" w:w="90"/>
            </w:tcMar>
            <w:vAlign w:val="center"/>
          </w:tcPr>
          <w:p>
            <w:pPr>
              <w:jc w:val="left"/>
            </w:pPr>
            <w:r>
              <w:rPr>
                <w:b w:val="false"/>
                <w:bCs w:val="false"/>
                <w:color w:val="222222"/>
                <w:sz w:val="19"/>
                <w:szCs w:val="19"/>
              </w:rPr>
              <w:t xml:space="preserve">ObjectId</w:t>
            </w:r>
          </w:p>
        </w:tc>
        <w:tc>
          <w:tcPr>
            <w:tcW w:type="dxa" w:w="5600"/>
            <w:tcMar>
              <w:top w:type="dxa" w:w="60"/>
              <w:left w:type="dxa" w:w="90"/>
              <w:bottom w:type="dxa" w:w="60"/>
              <w:right w:type="dxa" w:w="90"/>
            </w:tcMar>
            <w:vAlign w:val="center"/>
          </w:tcPr>
          <w:p>
            <w:pPr>
              <w:jc w:val="left"/>
            </w:pPr>
            <w:r>
              <w:rPr>
                <w:b w:val="false"/>
                <w:bCs w:val="false"/>
                <w:color w:val="222222"/>
                <w:sz w:val="19"/>
                <w:szCs w:val="19"/>
              </w:rPr>
              <w:t xml:space="preserve">Ref → course_sections</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term_id</w:t>
            </w:r>
          </w:p>
        </w:tc>
        <w:tc>
          <w:tcPr>
            <w:tcW w:type="dxa" w:w="1600"/>
            <w:tcMar>
              <w:top w:type="dxa" w:w="60"/>
              <w:left w:type="dxa" w:w="90"/>
              <w:bottom w:type="dxa" w:w="60"/>
              <w:right w:type="dxa" w:w="90"/>
            </w:tcMar>
            <w:vAlign w:val="center"/>
          </w:tcPr>
          <w:p>
            <w:pPr>
              <w:jc w:val="left"/>
            </w:pPr>
            <w:r>
              <w:rPr>
                <w:b w:val="false"/>
                <w:bCs w:val="false"/>
                <w:color w:val="222222"/>
                <w:sz w:val="19"/>
                <w:szCs w:val="19"/>
              </w:rPr>
              <w:t xml:space="preserve">ObjectId</w:t>
            </w:r>
          </w:p>
        </w:tc>
        <w:tc>
          <w:tcPr>
            <w:tcW w:type="dxa" w:w="5600"/>
            <w:tcMar>
              <w:top w:type="dxa" w:w="60"/>
              <w:left w:type="dxa" w:w="90"/>
              <w:bottom w:type="dxa" w:w="60"/>
              <w:right w:type="dxa" w:w="90"/>
            </w:tcMar>
            <w:vAlign w:val="center"/>
          </w:tcPr>
          <w:p>
            <w:pPr>
              <w:jc w:val="left"/>
            </w:pPr>
            <w:r>
              <w:rPr>
                <w:b w:val="false"/>
                <w:bCs w:val="false"/>
                <w:color w:val="222222"/>
                <w:sz w:val="19"/>
                <w:szCs w:val="19"/>
              </w:rPr>
              <w:t xml:space="preserve">Ref → academic_calendars</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status</w:t>
            </w:r>
          </w:p>
        </w:tc>
        <w:tc>
          <w:tcPr>
            <w:tcW w:type="dxa" w:w="1600"/>
            <w:tcMar>
              <w:top w:type="dxa" w:w="60"/>
              <w:left w:type="dxa" w:w="90"/>
              <w:bottom w:type="dxa" w:w="60"/>
              <w:right w:type="dxa" w:w="90"/>
            </w:tcMar>
            <w:vAlign w:val="center"/>
          </w:tcPr>
          <w:p>
            <w:pPr>
              <w:jc w:val="left"/>
            </w:pPr>
            <w:r>
              <w:rPr>
                <w:b w:val="false"/>
                <w:bCs w:val="false"/>
                <w:color w:val="222222"/>
                <w:sz w:val="19"/>
                <w:szCs w:val="19"/>
              </w:rPr>
              <w:t xml:space="preserve">String (enum)</w:t>
            </w:r>
          </w:p>
        </w:tc>
        <w:tc>
          <w:tcPr>
            <w:tcW w:type="dxa" w:w="5600"/>
            <w:tcMar>
              <w:top w:type="dxa" w:w="60"/>
              <w:left w:type="dxa" w:w="90"/>
              <w:bottom w:type="dxa" w:w="60"/>
              <w:right w:type="dxa" w:w="90"/>
            </w:tcMar>
            <w:vAlign w:val="center"/>
          </w:tcPr>
          <w:p>
            <w:pPr>
              <w:jc w:val="left"/>
            </w:pPr>
            <w:r>
              <w:rPr>
                <w:b w:val="false"/>
                <w:bCs w:val="false"/>
                <w:color w:val="222222"/>
                <w:sz w:val="19"/>
                <w:szCs w:val="19"/>
              </w:rPr>
              <w:t xml:space="preserve">pending_fee | active | dropped | completed</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enrolled_at</w:t>
            </w:r>
          </w:p>
        </w:tc>
        <w:tc>
          <w:tcPr>
            <w:tcW w:type="dxa" w:w="1600"/>
            <w:tcMar>
              <w:top w:type="dxa" w:w="60"/>
              <w:left w:type="dxa" w:w="90"/>
              <w:bottom w:type="dxa" w:w="60"/>
              <w:right w:type="dxa" w:w="90"/>
            </w:tcMar>
            <w:vAlign w:val="center"/>
          </w:tcPr>
          <w:p>
            <w:pPr>
              <w:jc w:val="left"/>
            </w:pPr>
            <w:r>
              <w:rPr>
                <w:b w:val="false"/>
                <w:bCs w:val="false"/>
                <w:color w:val="222222"/>
                <w:sz w:val="19"/>
                <w:szCs w:val="19"/>
              </w:rPr>
              <w:t xml:space="preserve">Date</w:t>
            </w:r>
          </w:p>
        </w:tc>
        <w:tc>
          <w:tcPr>
            <w:tcW w:type="dxa" w:w="5600"/>
            <w:tcMar>
              <w:top w:type="dxa" w:w="60"/>
              <w:left w:type="dxa" w:w="90"/>
              <w:bottom w:type="dxa" w:w="60"/>
              <w:right w:type="dxa" w:w="90"/>
            </w:tcMar>
            <w:vAlign w:val="center"/>
          </w:tcPr>
          <w:p>
            <w:pPr>
              <w:jc w:val="left"/>
            </w:pPr>
            <w:r>
              <w:rPr>
                <w:b w:val="false"/>
                <w:bCs w:val="false"/>
                <w:color w:val="222222"/>
                <w:sz w:val="19"/>
                <w:szCs w:val="19"/>
              </w:rPr>
              <w:t xml:space="preserve"/>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fee_invoice_id</w:t>
            </w:r>
          </w:p>
        </w:tc>
        <w:tc>
          <w:tcPr>
            <w:tcW w:type="dxa" w:w="1600"/>
            <w:tcMar>
              <w:top w:type="dxa" w:w="60"/>
              <w:left w:type="dxa" w:w="90"/>
              <w:bottom w:type="dxa" w:w="60"/>
              <w:right w:type="dxa" w:w="90"/>
            </w:tcMar>
            <w:vAlign w:val="center"/>
          </w:tcPr>
          <w:p>
            <w:pPr>
              <w:jc w:val="left"/>
            </w:pPr>
            <w:r>
              <w:rPr>
                <w:b w:val="false"/>
                <w:bCs w:val="false"/>
                <w:color w:val="222222"/>
                <w:sz w:val="19"/>
                <w:szCs w:val="19"/>
              </w:rPr>
              <w:t xml:space="preserve">ObjectId, nullable</w:t>
            </w:r>
          </w:p>
        </w:tc>
        <w:tc>
          <w:tcPr>
            <w:tcW w:type="dxa" w:w="5600"/>
            <w:tcMar>
              <w:top w:type="dxa" w:w="60"/>
              <w:left w:type="dxa" w:w="90"/>
              <w:bottom w:type="dxa" w:w="60"/>
              <w:right w:type="dxa" w:w="90"/>
            </w:tcMar>
            <w:vAlign w:val="center"/>
          </w:tcPr>
          <w:p>
            <w:pPr>
              <w:jc w:val="left"/>
            </w:pPr>
            <w:r>
              <w:rPr>
                <w:b w:val="false"/>
                <w:bCs w:val="false"/>
                <w:color w:val="222222"/>
                <w:sz w:val="19"/>
                <w:szCs w:val="19"/>
              </w:rPr>
              <w:t xml:space="preserve">Ref → Finance.fee_invoices; set inside the enrollment transaction</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grade</w:t>
            </w:r>
          </w:p>
        </w:tc>
        <w:tc>
          <w:tcPr>
            <w:tcW w:type="dxa" w:w="1600"/>
            <w:tcMar>
              <w:top w:type="dxa" w:w="60"/>
              <w:left w:type="dxa" w:w="90"/>
              <w:bottom w:type="dxa" w:w="60"/>
              <w:right w:type="dxa" w:w="90"/>
            </w:tcMar>
            <w:vAlign w:val="center"/>
          </w:tcPr>
          <w:p>
            <w:pPr>
              <w:jc w:val="left"/>
            </w:pPr>
            <w:r>
              <w:rPr>
                <w:b w:val="false"/>
                <w:bCs w:val="false"/>
                <w:color w:val="222222"/>
                <w:sz w:val="19"/>
                <w:szCs w:val="19"/>
              </w:rPr>
              <w:t xml:space="preserve">Object, nullable</w:t>
            </w:r>
          </w:p>
        </w:tc>
        <w:tc>
          <w:tcPr>
            <w:tcW w:type="dxa" w:w="5600"/>
            <w:tcMar>
              <w:top w:type="dxa" w:w="60"/>
              <w:left w:type="dxa" w:w="90"/>
              <w:bottom w:type="dxa" w:w="60"/>
              <w:right w:type="dxa" w:w="90"/>
            </w:tcMar>
            <w:vAlign w:val="center"/>
          </w:tcPr>
          <w:p>
            <w:pPr>
              <w:jc w:val="left"/>
            </w:pPr>
            <w:r>
              <w:rPr>
                <w:b w:val="false"/>
                <w:bCs w:val="false"/>
                <w:color w:val="222222"/>
                <w:sz w:val="19"/>
                <w:szCs w:val="19"/>
              </w:rPr>
              <w:t xml:space="preserve">{ letter, gpa_points, published_at } — embedded, written once by Examination module via event</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attendance_summary</w:t>
            </w:r>
          </w:p>
        </w:tc>
        <w:tc>
          <w:tcPr>
            <w:tcW w:type="dxa" w:w="1600"/>
            <w:tcMar>
              <w:top w:type="dxa" w:w="60"/>
              <w:left w:type="dxa" w:w="90"/>
              <w:bottom w:type="dxa" w:w="60"/>
              <w:right w:type="dxa" w:w="90"/>
            </w:tcMar>
            <w:vAlign w:val="center"/>
          </w:tcPr>
          <w:p>
            <w:pPr>
              <w:jc w:val="left"/>
            </w:pPr>
            <w:r>
              <w:rPr>
                <w:b w:val="false"/>
                <w:bCs w:val="false"/>
                <w:color w:val="222222"/>
                <w:sz w:val="19"/>
                <w:szCs w:val="19"/>
              </w:rPr>
              <w:t xml:space="preserve">Object</w:t>
            </w:r>
          </w:p>
        </w:tc>
        <w:tc>
          <w:tcPr>
            <w:tcW w:type="dxa" w:w="5600"/>
            <w:tcMar>
              <w:top w:type="dxa" w:w="60"/>
              <w:left w:type="dxa" w:w="90"/>
              <w:bottom w:type="dxa" w:w="60"/>
              <w:right w:type="dxa" w:w="90"/>
            </w:tcMar>
            <w:vAlign w:val="center"/>
          </w:tcPr>
          <w:p>
            <w:pPr>
              <w:jc w:val="left"/>
            </w:pPr>
            <w:r>
              <w:rPr>
                <w:b w:val="false"/>
                <w:bCs w:val="false"/>
                <w:color w:val="222222"/>
                <w:sz w:val="19"/>
                <w:szCs w:val="19"/>
              </w:rPr>
              <w:t xml:space="preserve">{ present, absent, percentage } — denormalized rollup, recomputed nightly, NOT the source of truth</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created_at / updated_at</w:t>
            </w:r>
          </w:p>
        </w:tc>
        <w:tc>
          <w:tcPr>
            <w:tcW w:type="dxa" w:w="1600"/>
            <w:tcMar>
              <w:top w:type="dxa" w:w="60"/>
              <w:left w:type="dxa" w:w="90"/>
              <w:bottom w:type="dxa" w:w="60"/>
              <w:right w:type="dxa" w:w="90"/>
            </w:tcMar>
            <w:vAlign w:val="center"/>
          </w:tcPr>
          <w:p>
            <w:pPr>
              <w:jc w:val="left"/>
            </w:pPr>
            <w:r>
              <w:rPr>
                <w:b w:val="false"/>
                <w:bCs w:val="false"/>
                <w:color w:val="222222"/>
                <w:sz w:val="19"/>
                <w:szCs w:val="19"/>
              </w:rPr>
              <w:t xml:space="preserve">Date</w:t>
            </w:r>
          </w:p>
        </w:tc>
        <w:tc>
          <w:tcPr>
            <w:tcW w:type="dxa" w:w="5600"/>
            <w:tcMar>
              <w:top w:type="dxa" w:w="60"/>
              <w:left w:type="dxa" w:w="90"/>
              <w:bottom w:type="dxa" w:w="60"/>
              <w:right w:type="dxa" w:w="90"/>
            </w:tcMar>
            <w:vAlign w:val="center"/>
          </w:tcPr>
          <w:p>
            <w:pPr>
              <w:jc w:val="left"/>
            </w:pPr>
            <w:r>
              <w:rPr>
                <w:b w:val="false"/>
                <w:bCs w:val="false"/>
                <w:color w:val="222222"/>
                <w:sz w:val="19"/>
                <w:szCs w:val="19"/>
              </w:rPr>
              <w:t xml:space="preserve">Standard audit timestamps</w:t>
            </w:r>
          </w:p>
        </w:tc>
      </w:tr>
    </w:tbl>
    <w:p>
      <w:pPr>
        <w:pBdr>
          <w:left w:val="single" w:color="1B2A55" w:sz="18" w:space="6"/>
        </w:pBdr>
        <w:shd w:fill="EEF1F8" w:val="clear"/>
        <w:spacing w:after="200" w:before="100"/>
        <w:ind w:left="120"/>
      </w:pPr>
      <w:r>
        <w:rPr>
          <w:i/>
          <w:iCs/>
          <w:color w:val="0F1C3D"/>
          <w:sz w:val="20"/>
          <w:szCs w:val="20"/>
        </w:rPr>
        <w:t xml:space="preserve">Design note: attendance_summary is intentionally denormalized for fast dashboard reads. The authoritative attendance ledger lives in its own append-only collection (attendance_events) fed by the Attendance Service; the summary is a materialized view refreshed via a scheduled aggregation, not written synchronously on every check-in.</w:t>
      </w:r>
    </w:p>
    <w:p>
      <w:pPr>
        <w:pStyle w:val="Heading2"/>
        <w:spacing w:after="150" w:before="300"/>
      </w:pPr>
      <w:r>
        <w:rPr>
          <w:b/>
          <w:bCs/>
          <w:color w:val="0F1C3D"/>
          <w:sz w:val="24"/>
          <w:szCs w:val="24"/>
        </w:rPr>
        <w:t xml:space="preserve">4.3 Core Schema — course_sections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600"/>
      </w:tblGrid>
      <w:tr>
        <w:trPr>
          <w:tblHeader/>
        </w:trPr>
        <w:tc>
          <w:tcPr>
            <w:tcW w:type="dxa" w:w="2200"/>
            <w:shd w:fill="1B2A55" w:val="clear"/>
            <w:tcMar>
              <w:top w:type="dxa" w:w="60"/>
              <w:left w:type="dxa" w:w="90"/>
              <w:bottom w:type="dxa" w:w="60"/>
              <w:right w:type="dxa" w:w="90"/>
            </w:tcMar>
            <w:vAlign w:val="center"/>
          </w:tcPr>
          <w:p>
            <w:pPr>
              <w:jc w:val="left"/>
            </w:pPr>
            <w:r>
              <w:rPr>
                <w:b/>
                <w:bCs/>
                <w:color w:val="FFFFFF"/>
                <w:sz w:val="19"/>
                <w:szCs w:val="19"/>
              </w:rPr>
              <w:t xml:space="preserve">Field</w:t>
            </w:r>
          </w:p>
        </w:tc>
        <w:tc>
          <w:tcPr>
            <w:tcW w:type="dxa" w:w="1600"/>
            <w:shd w:fill="1B2A55" w:val="clear"/>
            <w:tcMar>
              <w:top w:type="dxa" w:w="60"/>
              <w:left w:type="dxa" w:w="90"/>
              <w:bottom w:type="dxa" w:w="60"/>
              <w:right w:type="dxa" w:w="90"/>
            </w:tcMar>
            <w:vAlign w:val="center"/>
          </w:tcPr>
          <w:p>
            <w:pPr>
              <w:jc w:val="left"/>
            </w:pPr>
            <w:r>
              <w:rPr>
                <w:b/>
                <w:bCs/>
                <w:color w:val="FFFFFF"/>
                <w:sz w:val="19"/>
                <w:szCs w:val="19"/>
              </w:rPr>
              <w:t xml:space="preserve">Type</w:t>
            </w:r>
          </w:p>
        </w:tc>
        <w:tc>
          <w:tcPr>
            <w:tcW w:type="dxa" w:w="5600"/>
            <w:shd w:fill="1B2A55" w:val="clear"/>
            <w:tcMar>
              <w:top w:type="dxa" w:w="60"/>
              <w:left w:type="dxa" w:w="90"/>
              <w:bottom w:type="dxa" w:w="60"/>
              <w:right w:type="dxa" w:w="90"/>
            </w:tcMar>
            <w:vAlign w:val="center"/>
          </w:tcPr>
          <w:p>
            <w:pPr>
              <w:jc w:val="left"/>
            </w:pPr>
            <w:r>
              <w:rPr>
                <w:b/>
                <w:bCs/>
                <w:color w:val="FFFFFF"/>
                <w:sz w:val="19"/>
                <w:szCs w:val="19"/>
              </w:rPr>
              <w:t xml:space="preserve">Notes</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_id</w:t>
            </w:r>
          </w:p>
        </w:tc>
        <w:tc>
          <w:tcPr>
            <w:tcW w:type="dxa" w:w="1600"/>
            <w:tcMar>
              <w:top w:type="dxa" w:w="60"/>
              <w:left w:type="dxa" w:w="90"/>
              <w:bottom w:type="dxa" w:w="60"/>
              <w:right w:type="dxa" w:w="90"/>
            </w:tcMar>
            <w:vAlign w:val="center"/>
          </w:tcPr>
          <w:p>
            <w:pPr>
              <w:jc w:val="left"/>
            </w:pPr>
            <w:r>
              <w:rPr>
                <w:b w:val="false"/>
                <w:bCs w:val="false"/>
                <w:color w:val="222222"/>
                <w:sz w:val="19"/>
                <w:szCs w:val="19"/>
              </w:rPr>
              <w:t xml:space="preserve">ObjectId</w:t>
            </w:r>
          </w:p>
        </w:tc>
        <w:tc>
          <w:tcPr>
            <w:tcW w:type="dxa" w:w="5600"/>
            <w:tcMar>
              <w:top w:type="dxa" w:w="60"/>
              <w:left w:type="dxa" w:w="90"/>
              <w:bottom w:type="dxa" w:w="60"/>
              <w:right w:type="dxa" w:w="90"/>
            </w:tcMar>
            <w:vAlign w:val="center"/>
          </w:tcPr>
          <w:p>
            <w:pPr>
              <w:jc w:val="left"/>
            </w:pPr>
            <w:r>
              <w:rPr>
                <w:b w:val="false"/>
                <w:bCs w:val="false"/>
                <w:color w:val="222222"/>
                <w:sz w:val="19"/>
                <w:szCs w:val="19"/>
              </w:rPr>
              <w:t xml:space="preserve"/>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institution_id</w:t>
            </w:r>
          </w:p>
        </w:tc>
        <w:tc>
          <w:tcPr>
            <w:tcW w:type="dxa" w:w="1600"/>
            <w:tcMar>
              <w:top w:type="dxa" w:w="60"/>
              <w:left w:type="dxa" w:w="90"/>
              <w:bottom w:type="dxa" w:w="60"/>
              <w:right w:type="dxa" w:w="90"/>
            </w:tcMar>
            <w:vAlign w:val="center"/>
          </w:tcPr>
          <w:p>
            <w:pPr>
              <w:jc w:val="left"/>
            </w:pPr>
            <w:r>
              <w:rPr>
                <w:b w:val="false"/>
                <w:bCs w:val="false"/>
                <w:color w:val="222222"/>
                <w:sz w:val="19"/>
                <w:szCs w:val="19"/>
              </w:rPr>
              <w:t xml:space="preserve">ObjectId</w:t>
            </w:r>
          </w:p>
        </w:tc>
        <w:tc>
          <w:tcPr>
            <w:tcW w:type="dxa" w:w="5600"/>
            <w:tcMar>
              <w:top w:type="dxa" w:w="60"/>
              <w:left w:type="dxa" w:w="90"/>
              <w:bottom w:type="dxa" w:w="60"/>
              <w:right w:type="dxa" w:w="90"/>
            </w:tcMar>
            <w:vAlign w:val="center"/>
          </w:tcPr>
          <w:p>
            <w:pPr>
              <w:jc w:val="left"/>
            </w:pPr>
            <w:r>
              <w:rPr>
                <w:b w:val="false"/>
                <w:bCs w:val="false"/>
                <w:color w:val="222222"/>
                <w:sz w:val="19"/>
                <w:szCs w:val="19"/>
              </w:rPr>
              <w:t xml:space="preserve">Shard key leading field</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course_id</w:t>
            </w:r>
          </w:p>
        </w:tc>
        <w:tc>
          <w:tcPr>
            <w:tcW w:type="dxa" w:w="1600"/>
            <w:tcMar>
              <w:top w:type="dxa" w:w="60"/>
              <w:left w:type="dxa" w:w="90"/>
              <w:bottom w:type="dxa" w:w="60"/>
              <w:right w:type="dxa" w:w="90"/>
            </w:tcMar>
            <w:vAlign w:val="center"/>
          </w:tcPr>
          <w:p>
            <w:pPr>
              <w:jc w:val="left"/>
            </w:pPr>
            <w:r>
              <w:rPr>
                <w:b w:val="false"/>
                <w:bCs w:val="false"/>
                <w:color w:val="222222"/>
                <w:sz w:val="19"/>
                <w:szCs w:val="19"/>
              </w:rPr>
              <w:t xml:space="preserve">ObjectId</w:t>
            </w:r>
          </w:p>
        </w:tc>
        <w:tc>
          <w:tcPr>
            <w:tcW w:type="dxa" w:w="5600"/>
            <w:tcMar>
              <w:top w:type="dxa" w:w="60"/>
              <w:left w:type="dxa" w:w="90"/>
              <w:bottom w:type="dxa" w:w="60"/>
              <w:right w:type="dxa" w:w="90"/>
            </w:tcMar>
            <w:vAlign w:val="center"/>
          </w:tcPr>
          <w:p>
            <w:pPr>
              <w:jc w:val="left"/>
            </w:pPr>
            <w:r>
              <w:rPr>
                <w:b w:val="false"/>
                <w:bCs w:val="false"/>
                <w:color w:val="222222"/>
                <w:sz w:val="19"/>
                <w:szCs w:val="19"/>
              </w:rPr>
              <w:t xml:space="preserve">Ref → courses</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term_id</w:t>
            </w:r>
          </w:p>
        </w:tc>
        <w:tc>
          <w:tcPr>
            <w:tcW w:type="dxa" w:w="1600"/>
            <w:tcMar>
              <w:top w:type="dxa" w:w="60"/>
              <w:left w:type="dxa" w:w="90"/>
              <w:bottom w:type="dxa" w:w="60"/>
              <w:right w:type="dxa" w:w="90"/>
            </w:tcMar>
            <w:vAlign w:val="center"/>
          </w:tcPr>
          <w:p>
            <w:pPr>
              <w:jc w:val="left"/>
            </w:pPr>
            <w:r>
              <w:rPr>
                <w:b w:val="false"/>
                <w:bCs w:val="false"/>
                <w:color w:val="222222"/>
                <w:sz w:val="19"/>
                <w:szCs w:val="19"/>
              </w:rPr>
              <w:t xml:space="preserve">ObjectId</w:t>
            </w:r>
          </w:p>
        </w:tc>
        <w:tc>
          <w:tcPr>
            <w:tcW w:type="dxa" w:w="5600"/>
            <w:tcMar>
              <w:top w:type="dxa" w:w="60"/>
              <w:left w:type="dxa" w:w="90"/>
              <w:bottom w:type="dxa" w:w="60"/>
              <w:right w:type="dxa" w:w="90"/>
            </w:tcMar>
            <w:vAlign w:val="center"/>
          </w:tcPr>
          <w:p>
            <w:pPr>
              <w:jc w:val="left"/>
            </w:pPr>
            <w:r>
              <w:rPr>
                <w:b w:val="false"/>
                <w:bCs w:val="false"/>
                <w:color w:val="222222"/>
                <w:sz w:val="19"/>
                <w:szCs w:val="19"/>
              </w:rPr>
              <w:t xml:space="preserve">Ref → academic_calendars</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faculty_id</w:t>
            </w:r>
          </w:p>
        </w:tc>
        <w:tc>
          <w:tcPr>
            <w:tcW w:type="dxa" w:w="1600"/>
            <w:tcMar>
              <w:top w:type="dxa" w:w="60"/>
              <w:left w:type="dxa" w:w="90"/>
              <w:bottom w:type="dxa" w:w="60"/>
              <w:right w:type="dxa" w:w="90"/>
            </w:tcMar>
            <w:vAlign w:val="center"/>
          </w:tcPr>
          <w:p>
            <w:pPr>
              <w:jc w:val="left"/>
            </w:pPr>
            <w:r>
              <w:rPr>
                <w:b w:val="false"/>
                <w:bCs w:val="false"/>
                <w:color w:val="222222"/>
                <w:sz w:val="19"/>
                <w:szCs w:val="19"/>
              </w:rPr>
              <w:t xml:space="preserve">ObjectId</w:t>
            </w:r>
          </w:p>
        </w:tc>
        <w:tc>
          <w:tcPr>
            <w:tcW w:type="dxa" w:w="5600"/>
            <w:tcMar>
              <w:top w:type="dxa" w:w="60"/>
              <w:left w:type="dxa" w:w="90"/>
              <w:bottom w:type="dxa" w:w="60"/>
              <w:right w:type="dxa" w:w="90"/>
            </w:tcMar>
            <w:vAlign w:val="center"/>
          </w:tcPr>
          <w:p>
            <w:pPr>
              <w:jc w:val="left"/>
            </w:pPr>
            <w:r>
              <w:rPr>
                <w:b w:val="false"/>
                <w:bCs w:val="false"/>
                <w:color w:val="222222"/>
                <w:sz w:val="19"/>
                <w:szCs w:val="19"/>
              </w:rPr>
              <w:t xml:space="preserve">Ref → Admin Manager users (role=faculty)</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capacity / seats_filled</w:t>
            </w:r>
          </w:p>
        </w:tc>
        <w:tc>
          <w:tcPr>
            <w:tcW w:type="dxa" w:w="1600"/>
            <w:tcMar>
              <w:top w:type="dxa" w:w="60"/>
              <w:left w:type="dxa" w:w="90"/>
              <w:bottom w:type="dxa" w:w="60"/>
              <w:right w:type="dxa" w:w="90"/>
            </w:tcMar>
            <w:vAlign w:val="center"/>
          </w:tcPr>
          <w:p>
            <w:pPr>
              <w:jc w:val="left"/>
            </w:pPr>
            <w:r>
              <w:rPr>
                <w:b w:val="false"/>
                <w:bCs w:val="false"/>
                <w:color w:val="222222"/>
                <w:sz w:val="19"/>
                <w:szCs w:val="19"/>
              </w:rPr>
              <w:t xml:space="preserve">Int</w:t>
            </w:r>
          </w:p>
        </w:tc>
        <w:tc>
          <w:tcPr>
            <w:tcW w:type="dxa" w:w="5600"/>
            <w:tcMar>
              <w:top w:type="dxa" w:w="60"/>
              <w:left w:type="dxa" w:w="90"/>
              <w:bottom w:type="dxa" w:w="60"/>
              <w:right w:type="dxa" w:w="90"/>
            </w:tcMar>
            <w:vAlign w:val="center"/>
          </w:tcPr>
          <w:p>
            <w:pPr>
              <w:jc w:val="left"/>
            </w:pPr>
            <w:r>
              <w:rPr>
                <w:b w:val="false"/>
                <w:bCs w:val="false"/>
                <w:color w:val="222222"/>
                <w:sz w:val="19"/>
                <w:szCs w:val="19"/>
              </w:rPr>
              <w:t xml:space="preserve">seats_filled incremented via findOneAndUpdate with a capacity guard, not read-then-write</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schedule_ids</w:t>
            </w:r>
          </w:p>
        </w:tc>
        <w:tc>
          <w:tcPr>
            <w:tcW w:type="dxa" w:w="1600"/>
            <w:tcMar>
              <w:top w:type="dxa" w:w="60"/>
              <w:left w:type="dxa" w:w="90"/>
              <w:bottom w:type="dxa" w:w="60"/>
              <w:right w:type="dxa" w:w="90"/>
            </w:tcMar>
            <w:vAlign w:val="center"/>
          </w:tcPr>
          <w:p>
            <w:pPr>
              <w:jc w:val="left"/>
            </w:pPr>
            <w:r>
              <w:rPr>
                <w:b w:val="false"/>
                <w:bCs w:val="false"/>
                <w:color w:val="222222"/>
                <w:sz w:val="19"/>
                <w:szCs w:val="19"/>
              </w:rPr>
              <w:t xml:space="preserve">Array&lt;ObjectId&gt;</w:t>
            </w:r>
          </w:p>
        </w:tc>
        <w:tc>
          <w:tcPr>
            <w:tcW w:type="dxa" w:w="5600"/>
            <w:tcMar>
              <w:top w:type="dxa" w:w="60"/>
              <w:left w:type="dxa" w:w="90"/>
              <w:bottom w:type="dxa" w:w="60"/>
              <w:right w:type="dxa" w:w="90"/>
            </w:tcMar>
            <w:vAlign w:val="center"/>
          </w:tcPr>
          <w:p>
            <w:pPr>
              <w:jc w:val="left"/>
            </w:pPr>
            <w:r>
              <w:rPr>
                <w:b w:val="false"/>
                <w:bCs w:val="false"/>
                <w:color w:val="222222"/>
                <w:sz w:val="19"/>
                <w:szCs w:val="19"/>
              </w:rPr>
              <w:t xml:space="preserve">Ref → class_schedules</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status</w:t>
            </w:r>
          </w:p>
        </w:tc>
        <w:tc>
          <w:tcPr>
            <w:tcW w:type="dxa" w:w="1600"/>
            <w:tcMar>
              <w:top w:type="dxa" w:w="60"/>
              <w:left w:type="dxa" w:w="90"/>
              <w:bottom w:type="dxa" w:w="60"/>
              <w:right w:type="dxa" w:w="90"/>
            </w:tcMar>
            <w:vAlign w:val="center"/>
          </w:tcPr>
          <w:p>
            <w:pPr>
              <w:jc w:val="left"/>
            </w:pPr>
            <w:r>
              <w:rPr>
                <w:b w:val="false"/>
                <w:bCs w:val="false"/>
                <w:color w:val="222222"/>
                <w:sz w:val="19"/>
                <w:szCs w:val="19"/>
              </w:rPr>
              <w:t xml:space="preserve">String (enum)</w:t>
            </w:r>
          </w:p>
        </w:tc>
        <w:tc>
          <w:tcPr>
            <w:tcW w:type="dxa" w:w="5600"/>
            <w:tcMar>
              <w:top w:type="dxa" w:w="60"/>
              <w:left w:type="dxa" w:w="90"/>
              <w:bottom w:type="dxa" w:w="60"/>
              <w:right w:type="dxa" w:w="90"/>
            </w:tcMar>
            <w:vAlign w:val="center"/>
          </w:tcPr>
          <w:p>
            <w:pPr>
              <w:jc w:val="left"/>
            </w:pPr>
            <w:r>
              <w:rPr>
                <w:b w:val="false"/>
                <w:bCs w:val="false"/>
                <w:color w:val="222222"/>
                <w:sz w:val="19"/>
                <w:szCs w:val="19"/>
              </w:rPr>
              <w:t xml:space="preserve">draft | open | closed | archived</w:t>
            </w:r>
          </w:p>
        </w:tc>
      </w:tr>
    </w:tbl>
    <w:p>
      <w:pPr>
        <w:pStyle w:val="Heading2"/>
        <w:spacing w:after="150" w:before="300"/>
      </w:pPr>
      <w:r>
        <w:rPr>
          <w:b/>
          <w:bCs/>
          <w:color w:val="0F1C3D"/>
          <w:sz w:val="24"/>
          <w:szCs w:val="24"/>
        </w:rPr>
        <w:t xml:space="preserve">4.4 Embedding vs. Referencing Decisions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200"/>
      </w:tblGrid>
      <w:tr>
        <w:trPr>
          <w:tblHeader/>
        </w:trPr>
        <w:tc>
          <w:tcPr>
            <w:tcW w:type="dxa" w:w="2800"/>
            <w:shd w:fill="1B2A55" w:val="clear"/>
            <w:tcMar>
              <w:top w:type="dxa" w:w="60"/>
              <w:left w:type="dxa" w:w="90"/>
              <w:bottom w:type="dxa" w:w="60"/>
              <w:right w:type="dxa" w:w="90"/>
            </w:tcMar>
            <w:vAlign w:val="center"/>
          </w:tcPr>
          <w:p>
            <w:pPr>
              <w:jc w:val="left"/>
            </w:pPr>
            <w:r>
              <w:rPr>
                <w:b/>
                <w:bCs/>
                <w:color w:val="FFFFFF"/>
                <w:sz w:val="19"/>
                <w:szCs w:val="19"/>
              </w:rPr>
              <w:t xml:space="preserve">Relationship</w:t>
            </w:r>
          </w:p>
        </w:tc>
        <w:tc>
          <w:tcPr>
            <w:tcW w:type="dxa" w:w="2000"/>
            <w:shd w:fill="1B2A55" w:val="clear"/>
            <w:tcMar>
              <w:top w:type="dxa" w:w="60"/>
              <w:left w:type="dxa" w:w="90"/>
              <w:bottom w:type="dxa" w:w="60"/>
              <w:right w:type="dxa" w:w="90"/>
            </w:tcMar>
            <w:vAlign w:val="center"/>
          </w:tcPr>
          <w:p>
            <w:pPr>
              <w:jc w:val="left"/>
            </w:pPr>
            <w:r>
              <w:rPr>
                <w:b/>
                <w:bCs/>
                <w:color w:val="FFFFFF"/>
                <w:sz w:val="19"/>
                <w:szCs w:val="19"/>
              </w:rPr>
              <w:t xml:space="preserve">Approach</w:t>
            </w:r>
          </w:p>
        </w:tc>
        <w:tc>
          <w:tcPr>
            <w:tcW w:type="dxa" w:w="4200"/>
            <w:shd w:fill="1B2A55" w:val="clear"/>
            <w:tcMar>
              <w:top w:type="dxa" w:w="60"/>
              <w:left w:type="dxa" w:w="90"/>
              <w:bottom w:type="dxa" w:w="60"/>
              <w:right w:type="dxa" w:w="90"/>
            </w:tcMar>
            <w:vAlign w:val="center"/>
          </w:tcPr>
          <w:p>
            <w:pPr>
              <w:jc w:val="left"/>
            </w:pPr>
            <w:r>
              <w:rPr>
                <w:b/>
                <w:bCs/>
                <w:color w:val="FFFFFF"/>
                <w:sz w:val="19"/>
                <w:szCs w:val="19"/>
              </w:rPr>
              <w:t xml:space="preserve">Reason</w:t>
            </w:r>
          </w:p>
        </w:tc>
      </w:tr>
      <w:tr>
        <w:tc>
          <w:tcPr>
            <w:tcW w:type="dxa" w:w="2800"/>
            <w:tcMar>
              <w:top w:type="dxa" w:w="60"/>
              <w:left w:type="dxa" w:w="90"/>
              <w:bottom w:type="dxa" w:w="60"/>
              <w:right w:type="dxa" w:w="90"/>
            </w:tcMar>
            <w:vAlign w:val="center"/>
          </w:tcPr>
          <w:p>
            <w:pPr>
              <w:jc w:val="left"/>
            </w:pPr>
            <w:r>
              <w:rPr>
                <w:b w:val="false"/>
                <w:bCs w:val="false"/>
                <w:color w:val="222222"/>
                <w:sz w:val="19"/>
                <w:szCs w:val="19"/>
              </w:rPr>
              <w:t xml:space="preserve">course_sections.schedule_ids</w:t>
            </w:r>
          </w:p>
        </w:tc>
        <w:tc>
          <w:tcPr>
            <w:tcW w:type="dxa" w:w="2000"/>
            <w:tcMar>
              <w:top w:type="dxa" w:w="60"/>
              <w:left w:type="dxa" w:w="90"/>
              <w:bottom w:type="dxa" w:w="60"/>
              <w:right w:type="dxa" w:w="90"/>
            </w:tcMar>
            <w:vAlign w:val="center"/>
          </w:tcPr>
          <w:p>
            <w:pPr>
              <w:jc w:val="left"/>
            </w:pPr>
            <w:r>
              <w:rPr>
                <w:b w:val="false"/>
                <w:bCs w:val="false"/>
                <w:color w:val="222222"/>
                <w:sz w:val="19"/>
                <w:szCs w:val="19"/>
              </w:rPr>
              <w:t xml:space="preserve">Reference (array of IDs)</w:t>
            </w:r>
          </w:p>
        </w:tc>
        <w:tc>
          <w:tcPr>
            <w:tcW w:type="dxa" w:w="4200"/>
            <w:tcMar>
              <w:top w:type="dxa" w:w="60"/>
              <w:left w:type="dxa" w:w="90"/>
              <w:bottom w:type="dxa" w:w="60"/>
              <w:right w:type="dxa" w:w="90"/>
            </w:tcMar>
            <w:vAlign w:val="center"/>
          </w:tcPr>
          <w:p>
            <w:pPr>
              <w:jc w:val="left"/>
            </w:pPr>
            <w:r>
              <w:rPr>
                <w:b w:val="false"/>
                <w:bCs w:val="false"/>
                <w:color w:val="222222"/>
                <w:sz w:val="19"/>
                <w:szCs w:val="19"/>
              </w:rPr>
              <w:t xml:space="preserve">Schedules can be edited independently and queried on their own for room-clash checks</w:t>
            </w:r>
          </w:p>
        </w:tc>
      </w:tr>
      <w:tr>
        <w:tc>
          <w:tcPr>
            <w:tcW w:type="dxa" w:w="2800"/>
            <w:tcMar>
              <w:top w:type="dxa" w:w="60"/>
              <w:left w:type="dxa" w:w="90"/>
              <w:bottom w:type="dxa" w:w="60"/>
              <w:right w:type="dxa" w:w="90"/>
            </w:tcMar>
            <w:vAlign w:val="center"/>
          </w:tcPr>
          <w:p>
            <w:pPr>
              <w:jc w:val="left"/>
            </w:pPr>
            <w:r>
              <w:rPr>
                <w:b w:val="false"/>
                <w:bCs w:val="false"/>
                <w:color w:val="222222"/>
                <w:sz w:val="19"/>
                <w:szCs w:val="19"/>
              </w:rPr>
              <w:t xml:space="preserve">enrollments.grade</w:t>
            </w:r>
          </w:p>
        </w:tc>
        <w:tc>
          <w:tcPr>
            <w:tcW w:type="dxa" w:w="2000"/>
            <w:tcMar>
              <w:top w:type="dxa" w:w="60"/>
              <w:left w:type="dxa" w:w="90"/>
              <w:bottom w:type="dxa" w:w="60"/>
              <w:right w:type="dxa" w:w="90"/>
            </w:tcMar>
            <w:vAlign w:val="center"/>
          </w:tcPr>
          <w:p>
            <w:pPr>
              <w:jc w:val="left"/>
            </w:pPr>
            <w:r>
              <w:rPr>
                <w:b w:val="false"/>
                <w:bCs w:val="false"/>
                <w:color w:val="222222"/>
                <w:sz w:val="19"/>
                <w:szCs w:val="19"/>
              </w:rPr>
              <w:t xml:space="preserve">Embed</w:t>
            </w:r>
          </w:p>
        </w:tc>
        <w:tc>
          <w:tcPr>
            <w:tcW w:type="dxa" w:w="4200"/>
            <w:tcMar>
              <w:top w:type="dxa" w:w="60"/>
              <w:left w:type="dxa" w:w="90"/>
              <w:bottom w:type="dxa" w:w="60"/>
              <w:right w:type="dxa" w:w="90"/>
            </w:tcMar>
            <w:vAlign w:val="center"/>
          </w:tcPr>
          <w:p>
            <w:pPr>
              <w:jc w:val="left"/>
            </w:pPr>
            <w:r>
              <w:rPr>
                <w:b w:val="false"/>
                <w:bCs w:val="false"/>
                <w:color w:val="222222"/>
                <w:sz w:val="19"/>
                <w:szCs w:val="19"/>
              </w:rPr>
              <w:t xml:space="preserve">Written once, read always with the enrollment, no independent lifecycle</w:t>
            </w:r>
          </w:p>
        </w:tc>
      </w:tr>
      <w:tr>
        <w:tc>
          <w:tcPr>
            <w:tcW w:type="dxa" w:w="2800"/>
            <w:tcMar>
              <w:top w:type="dxa" w:w="60"/>
              <w:left w:type="dxa" w:w="90"/>
              <w:bottom w:type="dxa" w:w="60"/>
              <w:right w:type="dxa" w:w="90"/>
            </w:tcMar>
            <w:vAlign w:val="center"/>
          </w:tcPr>
          <w:p>
            <w:pPr>
              <w:jc w:val="left"/>
            </w:pPr>
            <w:r>
              <w:rPr>
                <w:b w:val="false"/>
                <w:bCs w:val="false"/>
                <w:color w:val="222222"/>
                <w:sz w:val="19"/>
                <w:szCs w:val="19"/>
              </w:rPr>
              <w:t xml:space="preserve">courses.curriculum / syllabus</w:t>
            </w:r>
          </w:p>
        </w:tc>
        <w:tc>
          <w:tcPr>
            <w:tcW w:type="dxa" w:w="2000"/>
            <w:tcMar>
              <w:top w:type="dxa" w:w="60"/>
              <w:left w:type="dxa" w:w="90"/>
              <w:bottom w:type="dxa" w:w="60"/>
              <w:right w:type="dxa" w:w="90"/>
            </w:tcMar>
            <w:vAlign w:val="center"/>
          </w:tcPr>
          <w:p>
            <w:pPr>
              <w:jc w:val="left"/>
            </w:pPr>
            <w:r>
              <w:rPr>
                <w:b w:val="false"/>
                <w:bCs w:val="false"/>
                <w:color w:val="222222"/>
                <w:sz w:val="19"/>
                <w:szCs w:val="19"/>
              </w:rPr>
              <w:t xml:space="preserve">Embed (sub-document array of units)</w:t>
            </w:r>
          </w:p>
        </w:tc>
        <w:tc>
          <w:tcPr>
            <w:tcW w:type="dxa" w:w="4200"/>
            <w:tcMar>
              <w:top w:type="dxa" w:w="60"/>
              <w:left w:type="dxa" w:w="90"/>
              <w:bottom w:type="dxa" w:w="60"/>
              <w:right w:type="dxa" w:w="90"/>
            </w:tcMar>
            <w:vAlign w:val="center"/>
          </w:tcPr>
          <w:p>
            <w:pPr>
              <w:jc w:val="left"/>
            </w:pPr>
            <w:r>
              <w:rPr>
                <w:b w:val="false"/>
                <w:bCs w:val="false"/>
                <w:color w:val="222222"/>
                <w:sz w:val="19"/>
                <w:szCs w:val="19"/>
              </w:rPr>
              <w:t xml:space="preserve">Bounded size, always read together with the course</w:t>
            </w:r>
          </w:p>
        </w:tc>
      </w:tr>
      <w:tr>
        <w:tc>
          <w:tcPr>
            <w:tcW w:type="dxa" w:w="2800"/>
            <w:tcMar>
              <w:top w:type="dxa" w:w="60"/>
              <w:left w:type="dxa" w:w="90"/>
              <w:bottom w:type="dxa" w:w="60"/>
              <w:right w:type="dxa" w:w="90"/>
            </w:tcMar>
            <w:vAlign w:val="center"/>
          </w:tcPr>
          <w:p>
            <w:pPr>
              <w:jc w:val="left"/>
            </w:pPr>
            <w:r>
              <w:rPr>
                <w:b w:val="false"/>
                <w:bCs w:val="false"/>
                <w:color w:val="222222"/>
                <w:sz w:val="19"/>
                <w:szCs w:val="19"/>
              </w:rPr>
              <w:t xml:space="preserve">programs → courses</w:t>
            </w:r>
          </w:p>
        </w:tc>
        <w:tc>
          <w:tcPr>
            <w:tcW w:type="dxa" w:w="2000"/>
            <w:tcMar>
              <w:top w:type="dxa" w:w="60"/>
              <w:left w:type="dxa" w:w="90"/>
              <w:bottom w:type="dxa" w:w="60"/>
              <w:right w:type="dxa" w:w="90"/>
            </w:tcMar>
            <w:vAlign w:val="center"/>
          </w:tcPr>
          <w:p>
            <w:pPr>
              <w:jc w:val="left"/>
            </w:pPr>
            <w:r>
              <w:rPr>
                <w:b w:val="false"/>
                <w:bCs w:val="false"/>
                <w:color w:val="222222"/>
                <w:sz w:val="19"/>
                <w:szCs w:val="19"/>
              </w:rPr>
              <w:t xml:space="preserve">Reference</w:t>
            </w:r>
          </w:p>
        </w:tc>
        <w:tc>
          <w:tcPr>
            <w:tcW w:type="dxa" w:w="4200"/>
            <w:tcMar>
              <w:top w:type="dxa" w:w="60"/>
              <w:left w:type="dxa" w:w="90"/>
              <w:bottom w:type="dxa" w:w="60"/>
              <w:right w:type="dxa" w:w="90"/>
            </w:tcMar>
            <w:vAlign w:val="center"/>
          </w:tcPr>
          <w:p>
            <w:pPr>
              <w:jc w:val="left"/>
            </w:pPr>
            <w:r>
              <w:rPr>
                <w:b w:val="false"/>
                <w:bCs w:val="false"/>
                <w:color w:val="222222"/>
                <w:sz w:val="19"/>
                <w:szCs w:val="19"/>
              </w:rPr>
              <w:t xml:space="preserve">Many-to-many via a program_courses join-array; avoids duplicating course data per program</w:t>
            </w:r>
          </w:p>
        </w:tc>
      </w:tr>
    </w:tbl>
    <w:p>
      <w:r>
        <w:br w:type="page"/>
      </w:r>
    </w:p>
    <w:p>
      <w:pPr>
        <w:pStyle w:val="Heading1"/>
        <w:pBdr>
          <w:bottom w:val="single" w:color="1B2A55" w:sz="12" w:space="4"/>
        </w:pBdr>
        <w:spacing w:after="200" w:before="400"/>
      </w:pPr>
      <w:r>
        <w:rPr>
          <w:b/>
          <w:bCs/>
          <w:color w:val="1B2A55"/>
          <w:sz w:val="30"/>
          <w:szCs w:val="30"/>
        </w:rPr>
        <w:t xml:space="preserve">5. Examination Management — Detailed Schema Design</w:t>
      </w:r>
    </w:p>
    <w:p>
      <w:pPr>
        <w:spacing w:after="140" w:line="276"/>
      </w:pPr>
      <w:r>
        <w:rPr>
          <w:color w:val="222222"/>
          <w:sz w:val="21"/>
          <w:szCs w:val="21"/>
        </w:rPr>
        <w:t xml:space="preserve">Examination Management handles registration, timetabling, hall-ticket generation, question banks, result processing, and revaluation. Results are write-once/append-heavy and are the system-of-record consumed by Academic Management, Alumni (transcripts), and Placement (eligibility).</w:t>
      </w:r>
    </w:p>
    <w:p>
      <w:pPr>
        <w:pStyle w:val="Heading2"/>
        <w:spacing w:after="150" w:before="300"/>
      </w:pPr>
      <w:r>
        <w:rPr>
          <w:b/>
          <w:bCs/>
          <w:color w:val="0F1C3D"/>
          <w:sz w:val="24"/>
          <w:szCs w:val="24"/>
        </w:rPr>
        <w:t xml:space="preserve">5.1 Collections Overview</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200"/>
      </w:tblGrid>
      <w:tr>
        <w:trPr>
          <w:tblHeader/>
        </w:trPr>
        <w:tc>
          <w:tcPr>
            <w:tcW w:type="dxa" w:w="2200"/>
            <w:shd w:fill="1B2A55" w:val="clear"/>
            <w:tcMar>
              <w:top w:type="dxa" w:w="60"/>
              <w:left w:type="dxa" w:w="90"/>
              <w:bottom w:type="dxa" w:w="60"/>
              <w:right w:type="dxa" w:w="90"/>
            </w:tcMar>
            <w:vAlign w:val="center"/>
          </w:tcPr>
          <w:p>
            <w:pPr>
              <w:jc w:val="left"/>
            </w:pPr>
            <w:r>
              <w:rPr>
                <w:b/>
                <w:bCs/>
                <w:color w:val="FFFFFF"/>
                <w:sz w:val="19"/>
                <w:szCs w:val="19"/>
              </w:rPr>
              <w:t xml:space="preserve">Collection</w:t>
            </w:r>
          </w:p>
        </w:tc>
        <w:tc>
          <w:tcPr>
            <w:tcW w:type="dxa" w:w="4000"/>
            <w:shd w:fill="1B2A55" w:val="clear"/>
            <w:tcMar>
              <w:top w:type="dxa" w:w="60"/>
              <w:left w:type="dxa" w:w="90"/>
              <w:bottom w:type="dxa" w:w="60"/>
              <w:right w:type="dxa" w:w="90"/>
            </w:tcMar>
            <w:vAlign w:val="center"/>
          </w:tcPr>
          <w:p>
            <w:pPr>
              <w:jc w:val="left"/>
            </w:pPr>
            <w:r>
              <w:rPr>
                <w:b/>
                <w:bCs/>
                <w:color w:val="FFFFFF"/>
                <w:sz w:val="19"/>
                <w:szCs w:val="19"/>
              </w:rPr>
              <w:t xml:space="preserve">Purpose</w:t>
            </w:r>
          </w:p>
        </w:tc>
        <w:tc>
          <w:tcPr>
            <w:tcW w:type="dxa" w:w="3200"/>
            <w:shd w:fill="1B2A55" w:val="clear"/>
            <w:tcMar>
              <w:top w:type="dxa" w:w="60"/>
              <w:left w:type="dxa" w:w="90"/>
              <w:bottom w:type="dxa" w:w="60"/>
              <w:right w:type="dxa" w:w="90"/>
            </w:tcMar>
            <w:vAlign w:val="center"/>
          </w:tcPr>
          <w:p>
            <w:pPr>
              <w:jc w:val="left"/>
            </w:pPr>
            <w:r>
              <w:rPr>
                <w:b/>
                <w:bCs/>
                <w:color w:val="FFFFFF"/>
                <w:sz w:val="19"/>
                <w:szCs w:val="19"/>
              </w:rPr>
              <w:t xml:space="preserve">Approx. Growth</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exam_registrations</w:t>
            </w:r>
          </w:p>
        </w:tc>
        <w:tc>
          <w:tcPr>
            <w:tcW w:type="dxa" w:w="4000"/>
            <w:tcMar>
              <w:top w:type="dxa" w:w="60"/>
              <w:left w:type="dxa" w:w="90"/>
              <w:bottom w:type="dxa" w:w="60"/>
              <w:right w:type="dxa" w:w="90"/>
            </w:tcMar>
            <w:vAlign w:val="center"/>
          </w:tcPr>
          <w:p>
            <w:pPr>
              <w:jc w:val="left"/>
            </w:pPr>
            <w:r>
              <w:rPr>
                <w:b w:val="false"/>
                <w:bCs w:val="false"/>
                <w:color w:val="222222"/>
                <w:sz w:val="19"/>
                <w:szCs w:val="19"/>
              </w:rPr>
              <w:t xml:space="preserve">Student's registration for a specific exam</w:t>
            </w:r>
          </w:p>
        </w:tc>
        <w:tc>
          <w:tcPr>
            <w:tcW w:type="dxa" w:w="3200"/>
            <w:tcMar>
              <w:top w:type="dxa" w:w="60"/>
              <w:left w:type="dxa" w:w="90"/>
              <w:bottom w:type="dxa" w:w="60"/>
              <w:right w:type="dxa" w:w="90"/>
            </w:tcMar>
            <w:vAlign w:val="center"/>
          </w:tcPr>
          <w:p>
            <w:pPr>
              <w:jc w:val="left"/>
            </w:pPr>
            <w:r>
              <w:rPr>
                <w:b w:val="false"/>
                <w:bCs w:val="false"/>
                <w:color w:val="222222"/>
                <w:sz w:val="19"/>
                <w:szCs w:val="19"/>
              </w:rPr>
              <w:t xml:space="preserve">High — per student per exam</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exam_timetables</w:t>
            </w:r>
          </w:p>
        </w:tc>
        <w:tc>
          <w:tcPr>
            <w:tcW w:type="dxa" w:w="4000"/>
            <w:tcMar>
              <w:top w:type="dxa" w:w="60"/>
              <w:left w:type="dxa" w:w="90"/>
              <w:bottom w:type="dxa" w:w="60"/>
              <w:right w:type="dxa" w:w="90"/>
            </w:tcMar>
            <w:vAlign w:val="center"/>
          </w:tcPr>
          <w:p>
            <w:pPr>
              <w:jc w:val="left"/>
            </w:pPr>
            <w:r>
              <w:rPr>
                <w:b w:val="false"/>
                <w:bCs w:val="false"/>
                <w:color w:val="222222"/>
                <w:sz w:val="19"/>
                <w:szCs w:val="19"/>
              </w:rPr>
              <w:t xml:space="preserve">Date/time/venue grid per term</w:t>
            </w:r>
          </w:p>
        </w:tc>
        <w:tc>
          <w:tcPr>
            <w:tcW w:type="dxa" w:w="3200"/>
            <w:tcMar>
              <w:top w:type="dxa" w:w="60"/>
              <w:left w:type="dxa" w:w="90"/>
              <w:bottom w:type="dxa" w:w="60"/>
              <w:right w:type="dxa" w:w="90"/>
            </w:tcMar>
            <w:vAlign w:val="center"/>
          </w:tcPr>
          <w:p>
            <w:pPr>
              <w:jc w:val="left"/>
            </w:pPr>
            <w:r>
              <w:rPr>
                <w:b w:val="false"/>
                <w:bCs w:val="false"/>
                <w:color w:val="222222"/>
                <w:sz w:val="19"/>
                <w:szCs w:val="19"/>
              </w:rPr>
              <w:t xml:space="preserve">Low</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hall_tickets</w:t>
            </w:r>
          </w:p>
        </w:tc>
        <w:tc>
          <w:tcPr>
            <w:tcW w:type="dxa" w:w="4000"/>
            <w:tcMar>
              <w:top w:type="dxa" w:w="60"/>
              <w:left w:type="dxa" w:w="90"/>
              <w:bottom w:type="dxa" w:w="60"/>
              <w:right w:type="dxa" w:w="90"/>
            </w:tcMar>
            <w:vAlign w:val="center"/>
          </w:tcPr>
          <w:p>
            <w:pPr>
              <w:jc w:val="left"/>
            </w:pPr>
            <w:r>
              <w:rPr>
                <w:b w:val="false"/>
                <w:bCs w:val="false"/>
                <w:color w:val="222222"/>
                <w:sz w:val="19"/>
                <w:szCs w:val="19"/>
              </w:rPr>
              <w:t xml:space="preserve">Generated admit-card documents</w:t>
            </w:r>
          </w:p>
        </w:tc>
        <w:tc>
          <w:tcPr>
            <w:tcW w:type="dxa" w:w="3200"/>
            <w:tcMar>
              <w:top w:type="dxa" w:w="60"/>
              <w:left w:type="dxa" w:w="90"/>
              <w:bottom w:type="dxa" w:w="60"/>
              <w:right w:type="dxa" w:w="90"/>
            </w:tcMar>
            <w:vAlign w:val="center"/>
          </w:tcPr>
          <w:p>
            <w:pPr>
              <w:jc w:val="left"/>
            </w:pPr>
            <w:r>
              <w:rPr>
                <w:b w:val="false"/>
                <w:bCs w:val="false"/>
                <w:color w:val="222222"/>
                <w:sz w:val="19"/>
                <w:szCs w:val="19"/>
              </w:rPr>
              <w:t xml:space="preserve">High, mostly-immutable</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question_banks</w:t>
            </w:r>
          </w:p>
        </w:tc>
        <w:tc>
          <w:tcPr>
            <w:tcW w:type="dxa" w:w="4000"/>
            <w:tcMar>
              <w:top w:type="dxa" w:w="60"/>
              <w:left w:type="dxa" w:w="90"/>
              <w:bottom w:type="dxa" w:w="60"/>
              <w:right w:type="dxa" w:w="90"/>
            </w:tcMar>
            <w:vAlign w:val="center"/>
          </w:tcPr>
          <w:p>
            <w:pPr>
              <w:jc w:val="left"/>
            </w:pPr>
            <w:r>
              <w:rPr>
                <w:b w:val="false"/>
                <w:bCs w:val="false"/>
                <w:color w:val="222222"/>
                <w:sz w:val="19"/>
                <w:szCs w:val="19"/>
              </w:rPr>
              <w:t xml:space="preserve">Question repository tagged by course/topic/difficulty</w:t>
            </w:r>
          </w:p>
        </w:tc>
        <w:tc>
          <w:tcPr>
            <w:tcW w:type="dxa" w:w="3200"/>
            <w:tcMar>
              <w:top w:type="dxa" w:w="60"/>
              <w:left w:type="dxa" w:w="90"/>
              <w:bottom w:type="dxa" w:w="60"/>
              <w:right w:type="dxa" w:w="90"/>
            </w:tcMar>
            <w:vAlign w:val="center"/>
          </w:tcPr>
          <w:p>
            <w:pPr>
              <w:jc w:val="left"/>
            </w:pPr>
            <w:r>
              <w:rPr>
                <w:b w:val="false"/>
                <w:bCs w:val="false"/>
                <w:color w:val="222222"/>
                <w:sz w:val="19"/>
                <w:szCs w:val="19"/>
              </w:rPr>
              <w:t xml:space="preserve">Medium, curated over time</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exam_results</w:t>
            </w:r>
          </w:p>
        </w:tc>
        <w:tc>
          <w:tcPr>
            <w:tcW w:type="dxa" w:w="4000"/>
            <w:tcMar>
              <w:top w:type="dxa" w:w="60"/>
              <w:left w:type="dxa" w:w="90"/>
              <w:bottom w:type="dxa" w:w="60"/>
              <w:right w:type="dxa" w:w="90"/>
            </w:tcMar>
            <w:vAlign w:val="center"/>
          </w:tcPr>
          <w:p>
            <w:pPr>
              <w:jc w:val="left"/>
            </w:pPr>
            <w:r>
              <w:rPr>
                <w:b w:val="false"/>
                <w:bCs w:val="false"/>
                <w:color w:val="222222"/>
                <w:sz w:val="19"/>
                <w:szCs w:val="19"/>
              </w:rPr>
              <w:t xml:space="preserve">Marks, grade, publication status</w:t>
            </w:r>
          </w:p>
        </w:tc>
        <w:tc>
          <w:tcPr>
            <w:tcW w:type="dxa" w:w="3200"/>
            <w:tcMar>
              <w:top w:type="dxa" w:w="60"/>
              <w:left w:type="dxa" w:w="90"/>
              <w:bottom w:type="dxa" w:w="60"/>
              <w:right w:type="dxa" w:w="90"/>
            </w:tcMar>
            <w:vAlign w:val="center"/>
          </w:tcPr>
          <w:p>
            <w:pPr>
              <w:jc w:val="left"/>
            </w:pPr>
            <w:r>
              <w:rPr>
                <w:b w:val="false"/>
                <w:bCs w:val="false"/>
                <w:color w:val="222222"/>
                <w:sz w:val="19"/>
                <w:szCs w:val="19"/>
              </w:rPr>
              <w:t xml:space="preserve">High — append-heavy, never overwritten</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revaluation_requests</w:t>
            </w:r>
          </w:p>
        </w:tc>
        <w:tc>
          <w:tcPr>
            <w:tcW w:type="dxa" w:w="4000"/>
            <w:tcMar>
              <w:top w:type="dxa" w:w="60"/>
              <w:left w:type="dxa" w:w="90"/>
              <w:bottom w:type="dxa" w:w="60"/>
              <w:right w:type="dxa" w:w="90"/>
            </w:tcMar>
            <w:vAlign w:val="center"/>
          </w:tcPr>
          <w:p>
            <w:pPr>
              <w:jc w:val="left"/>
            </w:pPr>
            <w:r>
              <w:rPr>
                <w:b w:val="false"/>
                <w:bCs w:val="false"/>
                <w:color w:val="222222"/>
                <w:sz w:val="19"/>
                <w:szCs w:val="19"/>
              </w:rPr>
              <w:t xml:space="preserve">Re-check/re-eval workflow state</w:t>
            </w:r>
          </w:p>
        </w:tc>
        <w:tc>
          <w:tcPr>
            <w:tcW w:type="dxa" w:w="3200"/>
            <w:tcMar>
              <w:top w:type="dxa" w:w="60"/>
              <w:left w:type="dxa" w:w="90"/>
              <w:bottom w:type="dxa" w:w="60"/>
              <w:right w:type="dxa" w:w="90"/>
            </w:tcMar>
            <w:vAlign w:val="center"/>
          </w:tcPr>
          <w:p>
            <w:pPr>
              <w:jc w:val="left"/>
            </w:pPr>
            <w:r>
              <w:rPr>
                <w:b w:val="false"/>
                <w:bCs w:val="false"/>
                <w:color w:val="222222"/>
                <w:sz w:val="19"/>
                <w:szCs w:val="19"/>
              </w:rPr>
              <w:t xml:space="preserve">Low-Medium</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certificates</w:t>
            </w:r>
          </w:p>
        </w:tc>
        <w:tc>
          <w:tcPr>
            <w:tcW w:type="dxa" w:w="4000"/>
            <w:tcMar>
              <w:top w:type="dxa" w:w="60"/>
              <w:left w:type="dxa" w:w="90"/>
              <w:bottom w:type="dxa" w:w="60"/>
              <w:right w:type="dxa" w:w="90"/>
            </w:tcMar>
            <w:vAlign w:val="center"/>
          </w:tcPr>
          <w:p>
            <w:pPr>
              <w:jc w:val="left"/>
            </w:pPr>
            <w:r>
              <w:rPr>
                <w:b w:val="false"/>
                <w:bCs w:val="false"/>
                <w:color w:val="222222"/>
                <w:sz w:val="19"/>
                <w:szCs w:val="19"/>
              </w:rPr>
              <w:t xml:space="preserve">Issued certificates/marksheets metadata (file lives in Object Storage)</w:t>
            </w:r>
          </w:p>
        </w:tc>
        <w:tc>
          <w:tcPr>
            <w:tcW w:type="dxa" w:w="3200"/>
            <w:tcMar>
              <w:top w:type="dxa" w:w="60"/>
              <w:left w:type="dxa" w:w="90"/>
              <w:bottom w:type="dxa" w:w="60"/>
              <w:right w:type="dxa" w:w="90"/>
            </w:tcMar>
            <w:vAlign w:val="center"/>
          </w:tcPr>
          <w:p>
            <w:pPr>
              <w:jc w:val="left"/>
            </w:pPr>
            <w:r>
              <w:rPr>
                <w:b w:val="false"/>
                <w:bCs w:val="false"/>
                <w:color w:val="222222"/>
                <w:sz w:val="19"/>
                <w:szCs w:val="19"/>
              </w:rPr>
              <w:t xml:space="preserve">Medium</w:t>
            </w:r>
          </w:p>
        </w:tc>
      </w:tr>
    </w:tbl>
    <w:p>
      <w:pPr>
        <w:pStyle w:val="Heading2"/>
        <w:spacing w:after="150" w:before="300"/>
      </w:pPr>
      <w:r>
        <w:rPr>
          <w:b/>
          <w:bCs/>
          <w:color w:val="0F1C3D"/>
          <w:sz w:val="24"/>
          <w:szCs w:val="24"/>
        </w:rPr>
        <w:t xml:space="preserve">5.2 Core Schema — exam_results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400"/>
      </w:tblGrid>
      <w:tr>
        <w:trPr>
          <w:tblHeader/>
        </w:trPr>
        <w:tc>
          <w:tcPr>
            <w:tcW w:type="dxa" w:w="2200"/>
            <w:shd w:fill="1B2A55" w:val="clear"/>
            <w:tcMar>
              <w:top w:type="dxa" w:w="60"/>
              <w:left w:type="dxa" w:w="90"/>
              <w:bottom w:type="dxa" w:w="60"/>
              <w:right w:type="dxa" w:w="90"/>
            </w:tcMar>
            <w:vAlign w:val="center"/>
          </w:tcPr>
          <w:p>
            <w:pPr>
              <w:jc w:val="left"/>
            </w:pPr>
            <w:r>
              <w:rPr>
                <w:b/>
                <w:bCs/>
                <w:color w:val="FFFFFF"/>
                <w:sz w:val="19"/>
                <w:szCs w:val="19"/>
              </w:rPr>
              <w:t xml:space="preserve">Field</w:t>
            </w:r>
          </w:p>
        </w:tc>
        <w:tc>
          <w:tcPr>
            <w:tcW w:type="dxa" w:w="1800"/>
            <w:shd w:fill="1B2A55" w:val="clear"/>
            <w:tcMar>
              <w:top w:type="dxa" w:w="60"/>
              <w:left w:type="dxa" w:w="90"/>
              <w:bottom w:type="dxa" w:w="60"/>
              <w:right w:type="dxa" w:w="90"/>
            </w:tcMar>
            <w:vAlign w:val="center"/>
          </w:tcPr>
          <w:p>
            <w:pPr>
              <w:jc w:val="left"/>
            </w:pPr>
            <w:r>
              <w:rPr>
                <w:b/>
                <w:bCs/>
                <w:color w:val="FFFFFF"/>
                <w:sz w:val="19"/>
                <w:szCs w:val="19"/>
              </w:rPr>
              <w:t xml:space="preserve">Type</w:t>
            </w:r>
          </w:p>
        </w:tc>
        <w:tc>
          <w:tcPr>
            <w:tcW w:type="dxa" w:w="5400"/>
            <w:shd w:fill="1B2A55" w:val="clear"/>
            <w:tcMar>
              <w:top w:type="dxa" w:w="60"/>
              <w:left w:type="dxa" w:w="90"/>
              <w:bottom w:type="dxa" w:w="60"/>
              <w:right w:type="dxa" w:w="90"/>
            </w:tcMar>
            <w:vAlign w:val="center"/>
          </w:tcPr>
          <w:p>
            <w:pPr>
              <w:jc w:val="left"/>
            </w:pPr>
            <w:r>
              <w:rPr>
                <w:b/>
                <w:bCs/>
                <w:color w:val="FFFFFF"/>
                <w:sz w:val="19"/>
                <w:szCs w:val="19"/>
              </w:rPr>
              <w:t xml:space="preserve">Notes</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_id</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ObjectId</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institution_id</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ObjectId</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Shard key leading field</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exam_registration_id</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ObjectId</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Ref → exam_registrations</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student_id</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ObjectId</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Ref → Admin Manager users</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course_id</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ObjectId</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Ref → Academic.courses</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marks_breakdown</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Array&lt;Object&gt;</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Embedded: [{component: 'internal'|'external'|'practical', max, obtained}] — bounded, always read together</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total_obtained / total_max</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Number</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Derived, stored for query performance</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grade_letter / grade_points</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String / Number</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status</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String (enum)</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draft | moderation | published | under_revaluation | finalized</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published_at</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Date, nullable</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Set on transition to published; triggers EnrollmentGradeUpdated event</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revision_of</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ObjectId, nullable</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Points to the prior result document when a revaluation changes marks — original is never mutated in place</w:t>
            </w:r>
          </w:p>
        </w:tc>
      </w:tr>
    </w:tbl>
    <w:p>
      <w:pPr>
        <w:pBdr>
          <w:left w:val="single" w:color="1B2A55" w:sz="18" w:space="6"/>
        </w:pBdr>
        <w:shd w:fill="EEF1F8" w:val="clear"/>
        <w:spacing w:after="200" w:before="100"/>
        <w:ind w:left="120"/>
      </w:pPr>
      <w:r>
        <w:rPr>
          <w:i/>
          <w:iCs/>
          <w:color w:val="0F1C3D"/>
          <w:sz w:val="20"/>
          <w:szCs w:val="20"/>
        </w:rPr>
        <w:t xml:space="preserve">Design note: exam_results is treated as an append-only ledger. A revaluation does not UPDATE the published document — it inserts a new result document with revision_of pointing at the original and status=finalized, and marks the original status=superseded. This preserves a full, auditable history of every mark change, which academic-integrity audits (NAAC/NBA) frequently require.</w:t>
      </w:r>
    </w:p>
    <w:p>
      <w:pPr>
        <w:pStyle w:val="Heading2"/>
        <w:spacing w:after="150" w:before="300"/>
      </w:pPr>
      <w:r>
        <w:rPr>
          <w:b/>
          <w:bCs/>
          <w:color w:val="0F1C3D"/>
          <w:sz w:val="24"/>
          <w:szCs w:val="24"/>
        </w:rPr>
        <w:t xml:space="preserve">5.3 Core Schema — hall_tickets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400"/>
      </w:tblGrid>
      <w:tr>
        <w:trPr>
          <w:tblHeader/>
        </w:trPr>
        <w:tc>
          <w:tcPr>
            <w:tcW w:type="dxa" w:w="2200"/>
            <w:shd w:fill="1B2A55" w:val="clear"/>
            <w:tcMar>
              <w:top w:type="dxa" w:w="60"/>
              <w:left w:type="dxa" w:w="90"/>
              <w:bottom w:type="dxa" w:w="60"/>
              <w:right w:type="dxa" w:w="90"/>
            </w:tcMar>
            <w:vAlign w:val="center"/>
          </w:tcPr>
          <w:p>
            <w:pPr>
              <w:jc w:val="left"/>
            </w:pPr>
            <w:r>
              <w:rPr>
                <w:b/>
                <w:bCs/>
                <w:color w:val="FFFFFF"/>
                <w:sz w:val="19"/>
                <w:szCs w:val="19"/>
              </w:rPr>
              <w:t xml:space="preserve">Field</w:t>
            </w:r>
          </w:p>
        </w:tc>
        <w:tc>
          <w:tcPr>
            <w:tcW w:type="dxa" w:w="1800"/>
            <w:shd w:fill="1B2A55" w:val="clear"/>
            <w:tcMar>
              <w:top w:type="dxa" w:w="60"/>
              <w:left w:type="dxa" w:w="90"/>
              <w:bottom w:type="dxa" w:w="60"/>
              <w:right w:type="dxa" w:w="90"/>
            </w:tcMar>
            <w:vAlign w:val="center"/>
          </w:tcPr>
          <w:p>
            <w:pPr>
              <w:jc w:val="left"/>
            </w:pPr>
            <w:r>
              <w:rPr>
                <w:b/>
                <w:bCs/>
                <w:color w:val="FFFFFF"/>
                <w:sz w:val="19"/>
                <w:szCs w:val="19"/>
              </w:rPr>
              <w:t xml:space="preserve">Type</w:t>
            </w:r>
          </w:p>
        </w:tc>
        <w:tc>
          <w:tcPr>
            <w:tcW w:type="dxa" w:w="5400"/>
            <w:shd w:fill="1B2A55" w:val="clear"/>
            <w:tcMar>
              <w:top w:type="dxa" w:w="60"/>
              <w:left w:type="dxa" w:w="90"/>
              <w:bottom w:type="dxa" w:w="60"/>
              <w:right w:type="dxa" w:w="90"/>
            </w:tcMar>
            <w:vAlign w:val="center"/>
          </w:tcPr>
          <w:p>
            <w:pPr>
              <w:jc w:val="left"/>
            </w:pPr>
            <w:r>
              <w:rPr>
                <w:b/>
                <w:bCs/>
                <w:color w:val="FFFFFF"/>
                <w:sz w:val="19"/>
                <w:szCs w:val="19"/>
              </w:rPr>
              <w:t xml:space="preserve">Notes</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_id</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ObjectId</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institution_id</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ObjectId</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exam_registration_id</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ObjectId</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Ref → exam_registrations</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seat_number / venue / session_slot</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String</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document_ref</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Object</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 bucket, key, checksum } — pointer into Object Storage (S3-compatible), never store the PDF binary in MongoDB</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eligibility_check</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Object</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 fee_cleared: bool, attendance_cleared: bool, checked_at } — snapshotted at generation time</w:t>
            </w:r>
          </w:p>
        </w:tc>
      </w:tr>
    </w:tbl>
    <w:p>
      <w:pPr>
        <w:pStyle w:val="ListParagraph"/>
        <w:numPr>
          <w:ilvl w:val="0"/>
          <w:numId w:val="2"/>
        </w:numPr>
        <w:spacing w:after="60"/>
      </w:pPr>
      <w:r>
        <w:rPr>
          <w:color w:val="222222"/>
          <w:sz w:val="21"/>
          <w:szCs w:val="21"/>
        </w:rPr>
        <w:t xml:space="preserve">eligibility_check is a point-in-time snapshot, deliberately denormalized from Finance and Academic Attendance data, so a hall ticket already issued remains valid even if downstream records later change (audit trail integrity).</w:t>
      </w:r>
    </w:p>
    <w:p>
      <w:r>
        <w:br w:type="page"/>
      </w:r>
    </w:p>
    <w:p>
      <w:pPr>
        <w:pStyle w:val="Heading1"/>
        <w:pBdr>
          <w:bottom w:val="single" w:color="1B2A55" w:sz="12" w:space="4"/>
        </w:pBdr>
        <w:spacing w:after="200" w:before="400"/>
      </w:pPr>
      <w:r>
        <w:rPr>
          <w:b/>
          <w:bCs/>
          <w:color w:val="1B2A55"/>
          <w:sz w:val="30"/>
          <w:szCs w:val="30"/>
        </w:rPr>
        <w:t xml:space="preserve">6. Finance &amp; Accounts — Detailed Schema Design</w:t>
      </w:r>
    </w:p>
    <w:p>
      <w:pPr>
        <w:spacing w:after="140" w:line="276"/>
      </w:pPr>
      <w:r>
        <w:rPr>
          <w:color w:val="222222"/>
          <w:sz w:val="21"/>
          <w:szCs w:val="21"/>
        </w:rPr>
        <w:t xml:space="preserve">Finance &amp; Accounts owns fee structures, invoicing, receipts, scholarships, expenses, budgeting, and payroll integration. This module has the platform's strictest consistency requirements — money must never be lost or double-counted — so it makes the heaviest use of multi-document ACID transactions of any module.</w:t>
      </w:r>
    </w:p>
    <w:p>
      <w:pPr>
        <w:pStyle w:val="Heading2"/>
        <w:spacing w:after="150" w:before="300"/>
      </w:pPr>
      <w:r>
        <w:rPr>
          <w:b/>
          <w:bCs/>
          <w:color w:val="0F1C3D"/>
          <w:sz w:val="24"/>
          <w:szCs w:val="24"/>
        </w:rPr>
        <w:t xml:space="preserve">6.1 Collections Overview</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200"/>
      </w:tblGrid>
      <w:tr>
        <w:trPr>
          <w:tblHeader/>
        </w:trPr>
        <w:tc>
          <w:tcPr>
            <w:tcW w:type="dxa" w:w="2200"/>
            <w:shd w:fill="1B2A55" w:val="clear"/>
            <w:tcMar>
              <w:top w:type="dxa" w:w="60"/>
              <w:left w:type="dxa" w:w="90"/>
              <w:bottom w:type="dxa" w:w="60"/>
              <w:right w:type="dxa" w:w="90"/>
            </w:tcMar>
            <w:vAlign w:val="center"/>
          </w:tcPr>
          <w:p>
            <w:pPr>
              <w:jc w:val="left"/>
            </w:pPr>
            <w:r>
              <w:rPr>
                <w:b/>
                <w:bCs/>
                <w:color w:val="FFFFFF"/>
                <w:sz w:val="19"/>
                <w:szCs w:val="19"/>
              </w:rPr>
              <w:t xml:space="preserve">Collection</w:t>
            </w:r>
          </w:p>
        </w:tc>
        <w:tc>
          <w:tcPr>
            <w:tcW w:type="dxa" w:w="4000"/>
            <w:shd w:fill="1B2A55" w:val="clear"/>
            <w:tcMar>
              <w:top w:type="dxa" w:w="60"/>
              <w:left w:type="dxa" w:w="90"/>
              <w:bottom w:type="dxa" w:w="60"/>
              <w:right w:type="dxa" w:w="90"/>
            </w:tcMar>
            <w:vAlign w:val="center"/>
          </w:tcPr>
          <w:p>
            <w:pPr>
              <w:jc w:val="left"/>
            </w:pPr>
            <w:r>
              <w:rPr>
                <w:b/>
                <w:bCs/>
                <w:color w:val="FFFFFF"/>
                <w:sz w:val="19"/>
                <w:szCs w:val="19"/>
              </w:rPr>
              <w:t xml:space="preserve">Purpose</w:t>
            </w:r>
          </w:p>
        </w:tc>
        <w:tc>
          <w:tcPr>
            <w:tcW w:type="dxa" w:w="3200"/>
            <w:shd w:fill="1B2A55" w:val="clear"/>
            <w:tcMar>
              <w:top w:type="dxa" w:w="60"/>
              <w:left w:type="dxa" w:w="90"/>
              <w:bottom w:type="dxa" w:w="60"/>
              <w:right w:type="dxa" w:w="90"/>
            </w:tcMar>
            <w:vAlign w:val="center"/>
          </w:tcPr>
          <w:p>
            <w:pPr>
              <w:jc w:val="left"/>
            </w:pPr>
            <w:r>
              <w:rPr>
                <w:b/>
                <w:bCs/>
                <w:color w:val="FFFFFF"/>
                <w:sz w:val="19"/>
                <w:szCs w:val="19"/>
              </w:rPr>
              <w:t xml:space="preserve">Approx. Growth</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fee_structures</w:t>
            </w:r>
          </w:p>
        </w:tc>
        <w:tc>
          <w:tcPr>
            <w:tcW w:type="dxa" w:w="4000"/>
            <w:tcMar>
              <w:top w:type="dxa" w:w="60"/>
              <w:left w:type="dxa" w:w="90"/>
              <w:bottom w:type="dxa" w:w="60"/>
              <w:right w:type="dxa" w:w="90"/>
            </w:tcMar>
            <w:vAlign w:val="center"/>
          </w:tcPr>
          <w:p>
            <w:pPr>
              <w:jc w:val="left"/>
            </w:pPr>
            <w:r>
              <w:rPr>
                <w:b w:val="false"/>
                <w:bCs w:val="false"/>
                <w:color w:val="222222"/>
                <w:sz w:val="19"/>
                <w:szCs w:val="19"/>
              </w:rPr>
              <w:t xml:space="preserve">Program/term fee templates &amp; heads (tuition, hostel, exam, etc.)</w:t>
            </w:r>
          </w:p>
        </w:tc>
        <w:tc>
          <w:tcPr>
            <w:tcW w:type="dxa" w:w="3200"/>
            <w:tcMar>
              <w:top w:type="dxa" w:w="60"/>
              <w:left w:type="dxa" w:w="90"/>
              <w:bottom w:type="dxa" w:w="60"/>
              <w:right w:type="dxa" w:w="90"/>
            </w:tcMar>
            <w:vAlign w:val="center"/>
          </w:tcPr>
          <w:p>
            <w:pPr>
              <w:jc w:val="left"/>
            </w:pPr>
            <w:r>
              <w:rPr>
                <w:b w:val="false"/>
                <w:bCs w:val="false"/>
                <w:color w:val="222222"/>
                <w:sz w:val="19"/>
                <w:szCs w:val="19"/>
              </w:rPr>
              <w:t xml:space="preserve">Low</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fee_invoices</w:t>
            </w:r>
          </w:p>
        </w:tc>
        <w:tc>
          <w:tcPr>
            <w:tcW w:type="dxa" w:w="4000"/>
            <w:tcMar>
              <w:top w:type="dxa" w:w="60"/>
              <w:left w:type="dxa" w:w="90"/>
              <w:bottom w:type="dxa" w:w="60"/>
              <w:right w:type="dxa" w:w="90"/>
            </w:tcMar>
            <w:vAlign w:val="center"/>
          </w:tcPr>
          <w:p>
            <w:pPr>
              <w:jc w:val="left"/>
            </w:pPr>
            <w:r>
              <w:rPr>
                <w:b w:val="false"/>
                <w:bCs w:val="false"/>
                <w:color w:val="222222"/>
                <w:sz w:val="19"/>
                <w:szCs w:val="19"/>
              </w:rPr>
              <w:t xml:space="preserve">A billed amount owed by a student for a term/head</w:t>
            </w:r>
          </w:p>
        </w:tc>
        <w:tc>
          <w:tcPr>
            <w:tcW w:type="dxa" w:w="3200"/>
            <w:tcMar>
              <w:top w:type="dxa" w:w="60"/>
              <w:left w:type="dxa" w:w="90"/>
              <w:bottom w:type="dxa" w:w="60"/>
              <w:right w:type="dxa" w:w="90"/>
            </w:tcMar>
            <w:vAlign w:val="center"/>
          </w:tcPr>
          <w:p>
            <w:pPr>
              <w:jc w:val="left"/>
            </w:pPr>
            <w:r>
              <w:rPr>
                <w:b w:val="false"/>
                <w:bCs w:val="false"/>
                <w:color w:val="222222"/>
                <w:sz w:val="19"/>
                <w:szCs w:val="19"/>
              </w:rPr>
              <w:t xml:space="preserve">High</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fee_receipts</w:t>
            </w:r>
          </w:p>
        </w:tc>
        <w:tc>
          <w:tcPr>
            <w:tcW w:type="dxa" w:w="4000"/>
            <w:tcMar>
              <w:top w:type="dxa" w:w="60"/>
              <w:left w:type="dxa" w:w="90"/>
              <w:bottom w:type="dxa" w:w="60"/>
              <w:right w:type="dxa" w:w="90"/>
            </w:tcMar>
            <w:vAlign w:val="center"/>
          </w:tcPr>
          <w:p>
            <w:pPr>
              <w:jc w:val="left"/>
            </w:pPr>
            <w:r>
              <w:rPr>
                <w:b w:val="false"/>
                <w:bCs w:val="false"/>
                <w:color w:val="222222"/>
                <w:sz w:val="19"/>
                <w:szCs w:val="19"/>
              </w:rPr>
              <w:t xml:space="preserve">Immutable payment records against an invoice</w:t>
            </w:r>
          </w:p>
        </w:tc>
        <w:tc>
          <w:tcPr>
            <w:tcW w:type="dxa" w:w="3200"/>
            <w:tcMar>
              <w:top w:type="dxa" w:w="60"/>
              <w:left w:type="dxa" w:w="90"/>
              <w:bottom w:type="dxa" w:w="60"/>
              <w:right w:type="dxa" w:w="90"/>
            </w:tcMar>
            <w:vAlign w:val="center"/>
          </w:tcPr>
          <w:p>
            <w:pPr>
              <w:jc w:val="left"/>
            </w:pPr>
            <w:r>
              <w:rPr>
                <w:b w:val="false"/>
                <w:bCs w:val="false"/>
                <w:color w:val="222222"/>
                <w:sz w:val="19"/>
                <w:szCs w:val="19"/>
              </w:rPr>
              <w:t xml:space="preserve">High, append-only</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scholarships</w:t>
            </w:r>
          </w:p>
        </w:tc>
        <w:tc>
          <w:tcPr>
            <w:tcW w:type="dxa" w:w="4000"/>
            <w:tcMar>
              <w:top w:type="dxa" w:w="60"/>
              <w:left w:type="dxa" w:w="90"/>
              <w:bottom w:type="dxa" w:w="60"/>
              <w:right w:type="dxa" w:w="90"/>
            </w:tcMar>
            <w:vAlign w:val="center"/>
          </w:tcPr>
          <w:p>
            <w:pPr>
              <w:jc w:val="left"/>
            </w:pPr>
            <w:r>
              <w:rPr>
                <w:b w:val="false"/>
                <w:bCs w:val="false"/>
                <w:color w:val="222222"/>
                <w:sz w:val="19"/>
                <w:szCs w:val="19"/>
              </w:rPr>
              <w:t xml:space="preserve">Awarded scholarship/waiver records</w:t>
            </w:r>
          </w:p>
        </w:tc>
        <w:tc>
          <w:tcPr>
            <w:tcW w:type="dxa" w:w="3200"/>
            <w:tcMar>
              <w:top w:type="dxa" w:w="60"/>
              <w:left w:type="dxa" w:w="90"/>
              <w:bottom w:type="dxa" w:w="60"/>
              <w:right w:type="dxa" w:w="90"/>
            </w:tcMar>
            <w:vAlign w:val="center"/>
          </w:tcPr>
          <w:p>
            <w:pPr>
              <w:jc w:val="left"/>
            </w:pPr>
            <w:r>
              <w:rPr>
                <w:b w:val="false"/>
                <w:bCs w:val="false"/>
                <w:color w:val="222222"/>
                <w:sz w:val="19"/>
                <w:szCs w:val="19"/>
              </w:rPr>
              <w:t xml:space="preserve">Medium</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expenses</w:t>
            </w:r>
          </w:p>
        </w:tc>
        <w:tc>
          <w:tcPr>
            <w:tcW w:type="dxa" w:w="4000"/>
            <w:tcMar>
              <w:top w:type="dxa" w:w="60"/>
              <w:left w:type="dxa" w:w="90"/>
              <w:bottom w:type="dxa" w:w="60"/>
              <w:right w:type="dxa" w:w="90"/>
            </w:tcMar>
            <w:vAlign w:val="center"/>
          </w:tcPr>
          <w:p>
            <w:pPr>
              <w:jc w:val="left"/>
            </w:pPr>
            <w:r>
              <w:rPr>
                <w:b w:val="false"/>
                <w:bCs w:val="false"/>
                <w:color w:val="222222"/>
                <w:sz w:val="19"/>
                <w:szCs w:val="19"/>
              </w:rPr>
              <w:t xml:space="preserve">Institutional expenditure entries</w:t>
            </w:r>
          </w:p>
        </w:tc>
        <w:tc>
          <w:tcPr>
            <w:tcW w:type="dxa" w:w="3200"/>
            <w:tcMar>
              <w:top w:type="dxa" w:w="60"/>
              <w:left w:type="dxa" w:w="90"/>
              <w:bottom w:type="dxa" w:w="60"/>
              <w:right w:type="dxa" w:w="90"/>
            </w:tcMar>
            <w:vAlign w:val="center"/>
          </w:tcPr>
          <w:p>
            <w:pPr>
              <w:jc w:val="left"/>
            </w:pPr>
            <w:r>
              <w:rPr>
                <w:b w:val="false"/>
                <w:bCs w:val="false"/>
                <w:color w:val="222222"/>
                <w:sz w:val="19"/>
                <w:szCs w:val="19"/>
              </w:rPr>
              <w:t xml:space="preserve">Medium</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budgets</w:t>
            </w:r>
          </w:p>
        </w:tc>
        <w:tc>
          <w:tcPr>
            <w:tcW w:type="dxa" w:w="4000"/>
            <w:tcMar>
              <w:top w:type="dxa" w:w="60"/>
              <w:left w:type="dxa" w:w="90"/>
              <w:bottom w:type="dxa" w:w="60"/>
              <w:right w:type="dxa" w:w="90"/>
            </w:tcMar>
            <w:vAlign w:val="center"/>
          </w:tcPr>
          <w:p>
            <w:pPr>
              <w:jc w:val="left"/>
            </w:pPr>
            <w:r>
              <w:rPr>
                <w:b w:val="false"/>
                <w:bCs w:val="false"/>
                <w:color w:val="222222"/>
                <w:sz w:val="19"/>
                <w:szCs w:val="19"/>
              </w:rPr>
              <w:t xml:space="preserve">Departmental/annual budget allocations &amp; utilization</w:t>
            </w:r>
          </w:p>
        </w:tc>
        <w:tc>
          <w:tcPr>
            <w:tcW w:type="dxa" w:w="3200"/>
            <w:tcMar>
              <w:top w:type="dxa" w:w="60"/>
              <w:left w:type="dxa" w:w="90"/>
              <w:bottom w:type="dxa" w:w="60"/>
              <w:right w:type="dxa" w:w="90"/>
            </w:tcMar>
            <w:vAlign w:val="center"/>
          </w:tcPr>
          <w:p>
            <w:pPr>
              <w:jc w:val="left"/>
            </w:pPr>
            <w:r>
              <w:rPr>
                <w:b w:val="false"/>
                <w:bCs w:val="false"/>
                <w:color w:val="222222"/>
                <w:sz w:val="19"/>
                <w:szCs w:val="19"/>
              </w:rPr>
              <w:t xml:space="preserve">Low</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financial_reports</w:t>
            </w:r>
          </w:p>
        </w:tc>
        <w:tc>
          <w:tcPr>
            <w:tcW w:type="dxa" w:w="4000"/>
            <w:tcMar>
              <w:top w:type="dxa" w:w="60"/>
              <w:left w:type="dxa" w:w="90"/>
              <w:bottom w:type="dxa" w:w="60"/>
              <w:right w:type="dxa" w:w="90"/>
            </w:tcMar>
            <w:vAlign w:val="center"/>
          </w:tcPr>
          <w:p>
            <w:pPr>
              <w:jc w:val="left"/>
            </w:pPr>
            <w:r>
              <w:rPr>
                <w:b w:val="false"/>
                <w:bCs w:val="false"/>
                <w:color w:val="222222"/>
                <w:sz w:val="19"/>
                <w:szCs w:val="19"/>
              </w:rPr>
              <w:t xml:space="preserve">Generated report metadata (file in Object Storage)</w:t>
            </w:r>
          </w:p>
        </w:tc>
        <w:tc>
          <w:tcPr>
            <w:tcW w:type="dxa" w:w="3200"/>
            <w:tcMar>
              <w:top w:type="dxa" w:w="60"/>
              <w:left w:type="dxa" w:w="90"/>
              <w:bottom w:type="dxa" w:w="60"/>
              <w:right w:type="dxa" w:w="90"/>
            </w:tcMar>
            <w:vAlign w:val="center"/>
          </w:tcPr>
          <w:p>
            <w:pPr>
              <w:jc w:val="left"/>
            </w:pPr>
            <w:r>
              <w:rPr>
                <w:b w:val="false"/>
                <w:bCs w:val="false"/>
                <w:color w:val="222222"/>
                <w:sz w:val="19"/>
                <w:szCs w:val="19"/>
              </w:rPr>
              <w:t xml:space="preserve">Low-Medium</w:t>
            </w:r>
          </w:p>
        </w:tc>
      </w:tr>
    </w:tbl>
    <w:p>
      <w:pPr>
        <w:pStyle w:val="Heading2"/>
        <w:spacing w:after="150" w:before="300"/>
      </w:pPr>
      <w:r>
        <w:rPr>
          <w:b/>
          <w:bCs/>
          <w:color w:val="0F1C3D"/>
          <w:sz w:val="24"/>
          <w:szCs w:val="24"/>
        </w:rPr>
        <w:t xml:space="preserve">6.2 Core Schema — fee_invoices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400"/>
      </w:tblGrid>
      <w:tr>
        <w:trPr>
          <w:tblHeader/>
        </w:trPr>
        <w:tc>
          <w:tcPr>
            <w:tcW w:type="dxa" w:w="2200"/>
            <w:shd w:fill="1B2A55" w:val="clear"/>
            <w:tcMar>
              <w:top w:type="dxa" w:w="60"/>
              <w:left w:type="dxa" w:w="90"/>
              <w:bottom w:type="dxa" w:w="60"/>
              <w:right w:type="dxa" w:w="90"/>
            </w:tcMar>
            <w:vAlign w:val="center"/>
          </w:tcPr>
          <w:p>
            <w:pPr>
              <w:jc w:val="left"/>
            </w:pPr>
            <w:r>
              <w:rPr>
                <w:b/>
                <w:bCs/>
                <w:color w:val="FFFFFF"/>
                <w:sz w:val="19"/>
                <w:szCs w:val="19"/>
              </w:rPr>
              <w:t xml:space="preserve">Field</w:t>
            </w:r>
          </w:p>
        </w:tc>
        <w:tc>
          <w:tcPr>
            <w:tcW w:type="dxa" w:w="1800"/>
            <w:shd w:fill="1B2A55" w:val="clear"/>
            <w:tcMar>
              <w:top w:type="dxa" w:w="60"/>
              <w:left w:type="dxa" w:w="90"/>
              <w:bottom w:type="dxa" w:w="60"/>
              <w:right w:type="dxa" w:w="90"/>
            </w:tcMar>
            <w:vAlign w:val="center"/>
          </w:tcPr>
          <w:p>
            <w:pPr>
              <w:jc w:val="left"/>
            </w:pPr>
            <w:r>
              <w:rPr>
                <w:b/>
                <w:bCs/>
                <w:color w:val="FFFFFF"/>
                <w:sz w:val="19"/>
                <w:szCs w:val="19"/>
              </w:rPr>
              <w:t xml:space="preserve">Type</w:t>
            </w:r>
          </w:p>
        </w:tc>
        <w:tc>
          <w:tcPr>
            <w:tcW w:type="dxa" w:w="5400"/>
            <w:shd w:fill="1B2A55" w:val="clear"/>
            <w:tcMar>
              <w:top w:type="dxa" w:w="60"/>
              <w:left w:type="dxa" w:w="90"/>
              <w:bottom w:type="dxa" w:w="60"/>
              <w:right w:type="dxa" w:w="90"/>
            </w:tcMar>
            <w:vAlign w:val="center"/>
          </w:tcPr>
          <w:p>
            <w:pPr>
              <w:jc w:val="left"/>
            </w:pPr>
            <w:r>
              <w:rPr>
                <w:b/>
                <w:bCs/>
                <w:color w:val="FFFFFF"/>
                <w:sz w:val="19"/>
                <w:szCs w:val="19"/>
              </w:rPr>
              <w:t xml:space="preserve">Notes</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_id</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ObjectId</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institution_id</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ObjectId</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Shard key leading field</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student_id</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ObjectId</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Ref → Admin Manager users</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enrollment_id</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ObjectId, nullable</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Ref → Academic.enrollments — set when the invoice originates from a course enrollment</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fee_structure_id</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ObjectId</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Ref → fee_structures</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line_items</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Array&lt;Object&gt;</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Embedded: [{head, amount, waived_amount}] — bounded, always read/written with the invoice</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total_amount / amount_paid / balance</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Decimal128</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Decimal128 mandatory for currency — never Number/float</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status</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String (enum)</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issued | partially_paid | paid | overdue | waived | cancelled</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due_date</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Date</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version</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Int</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Optimistic-concurrency counter, incremented on every update</w:t>
            </w:r>
          </w:p>
        </w:tc>
      </w:tr>
    </w:tbl>
    <w:p>
      <w:pPr>
        <w:pStyle w:val="Heading2"/>
        <w:spacing w:after="150" w:before="300"/>
      </w:pPr>
      <w:r>
        <w:rPr>
          <w:b/>
          <w:bCs/>
          <w:color w:val="0F1C3D"/>
          <w:sz w:val="24"/>
          <w:szCs w:val="24"/>
        </w:rPr>
        <w:t xml:space="preserve">6.3 Core Schema — fee_receipts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400"/>
      </w:tblGrid>
      <w:tr>
        <w:trPr>
          <w:tblHeader/>
        </w:trPr>
        <w:tc>
          <w:tcPr>
            <w:tcW w:type="dxa" w:w="2200"/>
            <w:shd w:fill="1B2A55" w:val="clear"/>
            <w:tcMar>
              <w:top w:type="dxa" w:w="60"/>
              <w:left w:type="dxa" w:w="90"/>
              <w:bottom w:type="dxa" w:w="60"/>
              <w:right w:type="dxa" w:w="90"/>
            </w:tcMar>
            <w:vAlign w:val="center"/>
          </w:tcPr>
          <w:p>
            <w:pPr>
              <w:jc w:val="left"/>
            </w:pPr>
            <w:r>
              <w:rPr>
                <w:b/>
                <w:bCs/>
                <w:color w:val="FFFFFF"/>
                <w:sz w:val="19"/>
                <w:szCs w:val="19"/>
              </w:rPr>
              <w:t xml:space="preserve">Field</w:t>
            </w:r>
          </w:p>
        </w:tc>
        <w:tc>
          <w:tcPr>
            <w:tcW w:type="dxa" w:w="1800"/>
            <w:shd w:fill="1B2A55" w:val="clear"/>
            <w:tcMar>
              <w:top w:type="dxa" w:w="60"/>
              <w:left w:type="dxa" w:w="90"/>
              <w:bottom w:type="dxa" w:w="60"/>
              <w:right w:type="dxa" w:w="90"/>
            </w:tcMar>
            <w:vAlign w:val="center"/>
          </w:tcPr>
          <w:p>
            <w:pPr>
              <w:jc w:val="left"/>
            </w:pPr>
            <w:r>
              <w:rPr>
                <w:b/>
                <w:bCs/>
                <w:color w:val="FFFFFF"/>
                <w:sz w:val="19"/>
                <w:szCs w:val="19"/>
              </w:rPr>
              <w:t xml:space="preserve">Type</w:t>
            </w:r>
          </w:p>
        </w:tc>
        <w:tc>
          <w:tcPr>
            <w:tcW w:type="dxa" w:w="5400"/>
            <w:shd w:fill="1B2A55" w:val="clear"/>
            <w:tcMar>
              <w:top w:type="dxa" w:w="60"/>
              <w:left w:type="dxa" w:w="90"/>
              <w:bottom w:type="dxa" w:w="60"/>
              <w:right w:type="dxa" w:w="90"/>
            </w:tcMar>
            <w:vAlign w:val="center"/>
          </w:tcPr>
          <w:p>
            <w:pPr>
              <w:jc w:val="left"/>
            </w:pPr>
            <w:r>
              <w:rPr>
                <w:b/>
                <w:bCs/>
                <w:color w:val="FFFFFF"/>
                <w:sz w:val="19"/>
                <w:szCs w:val="19"/>
              </w:rPr>
              <w:t xml:space="preserve">Notes</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_id</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ObjectId</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institution_id</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ObjectId</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fee_invoice_id</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ObjectId</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Ref → fee_invoices</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amount</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Decimal128</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payment_method</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String (enum)</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card | upi | netbanking | dd | cash</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gateway_reference</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Object</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 provider, transaction_id, status } — from the Payment Gateway external system</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receipt_number</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String</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Unique per institution, sequence-generated (see 6.4)</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idempotency_key</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String, unique index</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Prevents duplicate receipt creation on gateway webhook retries</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created_at</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Date</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Immutable — receipts are never edited or deleted, only reversed via a new adjustment record</w:t>
            </w:r>
          </w:p>
        </w:tc>
      </w:tr>
    </w:tbl>
    <w:p>
      <w:pPr>
        <w:pStyle w:val="Heading2"/>
        <w:spacing w:after="150" w:before="300"/>
      </w:pPr>
      <w:r>
        <w:rPr>
          <w:b/>
          <w:bCs/>
          <w:color w:val="0F1C3D"/>
          <w:sz w:val="24"/>
          <w:szCs w:val="24"/>
        </w:rPr>
        <w:t xml:space="preserve">6.4 Transactional Write Pattern</w:t>
      </w:r>
    </w:p>
    <w:p>
      <w:pPr>
        <w:spacing w:after="140" w:line="276"/>
      </w:pPr>
      <w:r>
        <w:rPr>
          <w:color w:val="222222"/>
          <w:sz w:val="21"/>
          <w:szCs w:val="21"/>
        </w:rPr>
        <w:t xml:space="preserve">A fee payment is a two-collection, invariant-critical write: it must update fee_invoices.amount_paid/status AND insert a fee_receipts document atomically, or neither happens. This is implemented as a MongoDB multi-document ACID transaction:</w:t>
      </w:r>
    </w:p>
    <w:p>
      <w:pPr>
        <w:pStyle w:val="ListParagraph"/>
        <w:numPr>
          <w:ilvl w:val="0"/>
          <w:numId w:val="2"/>
        </w:numPr>
        <w:spacing w:after="60"/>
      </w:pPr>
      <w:r>
        <w:rPr>
          <w:color w:val="222222"/>
          <w:sz w:val="21"/>
          <w:szCs w:val="21"/>
        </w:rPr>
        <w:t xml:space="preserve">startSession() → withTransaction(): (1) findOneAndUpdate on fee_invoices with a filter on {_id, version} and $inc on amount_paid/version (optimistic lock), (2) insertOne on fee_receipts with the idempotency_key unique constraint as a duplicate-webhook guard.</w:t>
      </w:r>
    </w:p>
    <w:p>
      <w:pPr>
        <w:pStyle w:val="ListParagraph"/>
        <w:numPr>
          <w:ilvl w:val="0"/>
          <w:numId w:val="2"/>
        </w:numPr>
        <w:spacing w:after="60"/>
      </w:pPr>
      <w:r>
        <w:rPr>
          <w:color w:val="222222"/>
          <w:sz w:val="21"/>
          <w:szCs w:val="21"/>
        </w:rPr>
        <w:t xml:space="preserve">Receipt numbering uses a dedicated counters collection ({_id: 'inst_&lt;id&gt;_receipt'}, seq: Int) incremented via findOneAndUpdate with $inc inside the same transaction, avoiding auto-increment race conditions.</w:t>
      </w:r>
    </w:p>
    <w:p>
      <w:pPr>
        <w:pStyle w:val="ListParagraph"/>
        <w:numPr>
          <w:ilvl w:val="0"/>
          <w:numId w:val="2"/>
        </w:numPr>
        <w:spacing w:after="60"/>
      </w:pPr>
      <w:r>
        <w:rPr>
          <w:color w:val="222222"/>
          <w:sz w:val="21"/>
          <w:szCs w:val="21"/>
        </w:rPr>
        <w:t xml:space="preserve">On commit, the module publishes FeePaid to the Event Bus; Academic Management consumes it to flip the linked enrollment from pending_fee to active (see Section 8 sequence diagram); Notification Engine sends the receipt; Audit &amp; Compliance logs the event.</w:t>
      </w:r>
    </w:p>
    <w:p>
      <w:pPr>
        <w:pBdr>
          <w:left w:val="single" w:color="1B2A55" w:sz="18" w:space="6"/>
        </w:pBdr>
        <w:shd w:fill="EEF1F8" w:val="clear"/>
        <w:spacing w:after="200" w:before="100"/>
        <w:ind w:left="120"/>
      </w:pPr>
      <w:r>
        <w:rPr>
          <w:i/>
          <w:iCs/>
          <w:color w:val="0F1C3D"/>
          <w:sz w:val="20"/>
          <w:szCs w:val="20"/>
        </w:rPr>
        <w:t xml:space="preserve">Design note: Decimal128 is mandatory for every monetary field platform-wide, not just in this module, to avoid floating-point rounding drift across fee/payroll/budget calculations.</w:t>
      </w:r>
    </w:p>
    <w:p>
      <w:r>
        <w:br w:type="page"/>
      </w:r>
    </w:p>
    <w:p>
      <w:pPr>
        <w:pStyle w:val="Heading1"/>
        <w:pBdr>
          <w:bottom w:val="single" w:color="1B2A55" w:sz="12" w:space="4"/>
        </w:pBdr>
        <w:spacing w:after="200" w:before="400"/>
      </w:pPr>
      <w:r>
        <w:rPr>
          <w:b/>
          <w:bCs/>
          <w:color w:val="1B2A55"/>
          <w:sz w:val="30"/>
          <w:szCs w:val="30"/>
        </w:rPr>
        <w:t xml:space="preserve">7. Admin Manager — Detailed Schema Design</w:t>
      </w:r>
    </w:p>
    <w:p>
      <w:pPr>
        <w:spacing w:after="140" w:line="276"/>
      </w:pPr>
      <w:r>
        <w:rPr>
          <w:color w:val="222222"/>
          <w:sz w:val="21"/>
          <w:szCs w:val="21"/>
        </w:rPr>
        <w:t xml:space="preserve">Admin Manager is the central administration module: it owns the platform's identity, role, and permission model (users, roles, RBAC assignments), system configuration, and the immutable audit ledger that every other module writes to. Because every module's students/faculty/staff records are actually role-typed profiles on top of this module's users collection, its schema choices ripple across the whole platform.</w:t>
      </w:r>
    </w:p>
    <w:p>
      <w:pPr>
        <w:pStyle w:val="Heading2"/>
        <w:spacing w:after="150" w:before="300"/>
      </w:pPr>
      <w:r>
        <w:rPr>
          <w:b/>
          <w:bCs/>
          <w:color w:val="0F1C3D"/>
          <w:sz w:val="24"/>
          <w:szCs w:val="24"/>
        </w:rPr>
        <w:t xml:space="preserve">7.1 Collections Overview</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200"/>
      </w:tblGrid>
      <w:tr>
        <w:trPr>
          <w:tblHeader/>
        </w:trPr>
        <w:tc>
          <w:tcPr>
            <w:tcW w:type="dxa" w:w="2200"/>
            <w:shd w:fill="1B2A55" w:val="clear"/>
            <w:tcMar>
              <w:top w:type="dxa" w:w="60"/>
              <w:left w:type="dxa" w:w="90"/>
              <w:bottom w:type="dxa" w:w="60"/>
              <w:right w:type="dxa" w:w="90"/>
            </w:tcMar>
            <w:vAlign w:val="center"/>
          </w:tcPr>
          <w:p>
            <w:pPr>
              <w:jc w:val="left"/>
            </w:pPr>
            <w:r>
              <w:rPr>
                <w:b/>
                <w:bCs/>
                <w:color w:val="FFFFFF"/>
                <w:sz w:val="19"/>
                <w:szCs w:val="19"/>
              </w:rPr>
              <w:t xml:space="preserve">Collection</w:t>
            </w:r>
          </w:p>
        </w:tc>
        <w:tc>
          <w:tcPr>
            <w:tcW w:type="dxa" w:w="4000"/>
            <w:shd w:fill="1B2A55" w:val="clear"/>
            <w:tcMar>
              <w:top w:type="dxa" w:w="60"/>
              <w:left w:type="dxa" w:w="90"/>
              <w:bottom w:type="dxa" w:w="60"/>
              <w:right w:type="dxa" w:w="90"/>
            </w:tcMar>
            <w:vAlign w:val="center"/>
          </w:tcPr>
          <w:p>
            <w:pPr>
              <w:jc w:val="left"/>
            </w:pPr>
            <w:r>
              <w:rPr>
                <w:b/>
                <w:bCs/>
                <w:color w:val="FFFFFF"/>
                <w:sz w:val="19"/>
                <w:szCs w:val="19"/>
              </w:rPr>
              <w:t xml:space="preserve">Purpose</w:t>
            </w:r>
          </w:p>
        </w:tc>
        <w:tc>
          <w:tcPr>
            <w:tcW w:type="dxa" w:w="3200"/>
            <w:shd w:fill="1B2A55" w:val="clear"/>
            <w:tcMar>
              <w:top w:type="dxa" w:w="60"/>
              <w:left w:type="dxa" w:w="90"/>
              <w:bottom w:type="dxa" w:w="60"/>
              <w:right w:type="dxa" w:w="90"/>
            </w:tcMar>
            <w:vAlign w:val="center"/>
          </w:tcPr>
          <w:p>
            <w:pPr>
              <w:jc w:val="left"/>
            </w:pPr>
            <w:r>
              <w:rPr>
                <w:b/>
                <w:bCs/>
                <w:color w:val="FFFFFF"/>
                <w:sz w:val="19"/>
                <w:szCs w:val="19"/>
              </w:rPr>
              <w:t xml:space="preserve">Approx. Growth</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users</w:t>
            </w:r>
          </w:p>
        </w:tc>
        <w:tc>
          <w:tcPr>
            <w:tcW w:type="dxa" w:w="4000"/>
            <w:tcMar>
              <w:top w:type="dxa" w:w="60"/>
              <w:left w:type="dxa" w:w="90"/>
              <w:bottom w:type="dxa" w:w="60"/>
              <w:right w:type="dxa" w:w="90"/>
            </w:tcMar>
            <w:vAlign w:val="center"/>
          </w:tcPr>
          <w:p>
            <w:pPr>
              <w:jc w:val="left"/>
            </w:pPr>
            <w:r>
              <w:rPr>
                <w:b w:val="false"/>
                <w:bCs w:val="false"/>
                <w:color w:val="222222"/>
                <w:sz w:val="19"/>
                <w:szCs w:val="19"/>
              </w:rPr>
              <w:t xml:space="preserve">Single identity record per person, with a role-typed profile sub-document</w:t>
            </w:r>
          </w:p>
        </w:tc>
        <w:tc>
          <w:tcPr>
            <w:tcW w:type="dxa" w:w="3200"/>
            <w:tcMar>
              <w:top w:type="dxa" w:w="60"/>
              <w:left w:type="dxa" w:w="90"/>
              <w:bottom w:type="dxa" w:w="60"/>
              <w:right w:type="dxa" w:w="90"/>
            </w:tcMar>
            <w:vAlign w:val="center"/>
          </w:tcPr>
          <w:p>
            <w:pPr>
              <w:jc w:val="left"/>
            </w:pPr>
            <w:r>
              <w:rPr>
                <w:b w:val="false"/>
                <w:bCs w:val="false"/>
                <w:color w:val="222222"/>
                <w:sz w:val="19"/>
                <w:szCs w:val="19"/>
              </w:rPr>
              <w:t xml:space="preserve">High</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roles</w:t>
            </w:r>
          </w:p>
        </w:tc>
        <w:tc>
          <w:tcPr>
            <w:tcW w:type="dxa" w:w="4000"/>
            <w:tcMar>
              <w:top w:type="dxa" w:w="60"/>
              <w:left w:type="dxa" w:w="90"/>
              <w:bottom w:type="dxa" w:w="60"/>
              <w:right w:type="dxa" w:w="90"/>
            </w:tcMar>
            <w:vAlign w:val="center"/>
          </w:tcPr>
          <w:p>
            <w:pPr>
              <w:jc w:val="left"/>
            </w:pPr>
            <w:r>
              <w:rPr>
                <w:b w:val="false"/>
                <w:bCs w:val="false"/>
                <w:color w:val="222222"/>
                <w:sz w:val="19"/>
                <w:szCs w:val="19"/>
              </w:rPr>
              <w:t xml:space="preserve">Named role definitions (student, faculty, hod, registrar, warden, ...)</w:t>
            </w:r>
          </w:p>
        </w:tc>
        <w:tc>
          <w:tcPr>
            <w:tcW w:type="dxa" w:w="3200"/>
            <w:tcMar>
              <w:top w:type="dxa" w:w="60"/>
              <w:left w:type="dxa" w:w="90"/>
              <w:bottom w:type="dxa" w:w="60"/>
              <w:right w:type="dxa" w:w="90"/>
            </w:tcMar>
            <w:vAlign w:val="center"/>
          </w:tcPr>
          <w:p>
            <w:pPr>
              <w:jc w:val="left"/>
            </w:pPr>
            <w:r>
              <w:rPr>
                <w:b w:val="false"/>
                <w:bCs w:val="false"/>
                <w:color w:val="222222"/>
                <w:sz w:val="19"/>
                <w:szCs w:val="19"/>
              </w:rPr>
              <w:t xml:space="preserve">Low</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permissions</w:t>
            </w:r>
          </w:p>
        </w:tc>
        <w:tc>
          <w:tcPr>
            <w:tcW w:type="dxa" w:w="4000"/>
            <w:tcMar>
              <w:top w:type="dxa" w:w="60"/>
              <w:left w:type="dxa" w:w="90"/>
              <w:bottom w:type="dxa" w:w="60"/>
              <w:right w:type="dxa" w:w="90"/>
            </w:tcMar>
            <w:vAlign w:val="center"/>
          </w:tcPr>
          <w:p>
            <w:pPr>
              <w:jc w:val="left"/>
            </w:pPr>
            <w:r>
              <w:rPr>
                <w:b w:val="false"/>
                <w:bCs w:val="false"/>
                <w:color w:val="222222"/>
                <w:sz w:val="19"/>
                <w:szCs w:val="19"/>
              </w:rPr>
              <w:t xml:space="preserve">Granular permission catalog (resource:action pairs)</w:t>
            </w:r>
          </w:p>
        </w:tc>
        <w:tc>
          <w:tcPr>
            <w:tcW w:type="dxa" w:w="3200"/>
            <w:tcMar>
              <w:top w:type="dxa" w:w="60"/>
              <w:left w:type="dxa" w:w="90"/>
              <w:bottom w:type="dxa" w:w="60"/>
              <w:right w:type="dxa" w:w="90"/>
            </w:tcMar>
            <w:vAlign w:val="center"/>
          </w:tcPr>
          <w:p>
            <w:pPr>
              <w:jc w:val="left"/>
            </w:pPr>
            <w:r>
              <w:rPr>
                <w:b w:val="false"/>
                <w:bCs w:val="false"/>
                <w:color w:val="222222"/>
                <w:sz w:val="19"/>
                <w:szCs w:val="19"/>
              </w:rPr>
              <w:t xml:space="preserve">Low</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role_assignments</w:t>
            </w:r>
          </w:p>
        </w:tc>
        <w:tc>
          <w:tcPr>
            <w:tcW w:type="dxa" w:w="4000"/>
            <w:tcMar>
              <w:top w:type="dxa" w:w="60"/>
              <w:left w:type="dxa" w:w="90"/>
              <w:bottom w:type="dxa" w:w="60"/>
              <w:right w:type="dxa" w:w="90"/>
            </w:tcMar>
            <w:vAlign w:val="center"/>
          </w:tcPr>
          <w:p>
            <w:pPr>
              <w:jc w:val="left"/>
            </w:pPr>
            <w:r>
              <w:rPr>
                <w:b w:val="false"/>
                <w:bCs w:val="false"/>
                <w:color w:val="222222"/>
                <w:sz w:val="19"/>
                <w:szCs w:val="19"/>
              </w:rPr>
              <w:t xml:space="preserve">Many-to-many: user ↔ role, scoped optionally to a department/hostel/etc.</w:t>
            </w:r>
          </w:p>
        </w:tc>
        <w:tc>
          <w:tcPr>
            <w:tcW w:type="dxa" w:w="3200"/>
            <w:tcMar>
              <w:top w:type="dxa" w:w="60"/>
              <w:left w:type="dxa" w:w="90"/>
              <w:bottom w:type="dxa" w:w="60"/>
              <w:right w:type="dxa" w:w="90"/>
            </w:tcMar>
            <w:vAlign w:val="center"/>
          </w:tcPr>
          <w:p>
            <w:pPr>
              <w:jc w:val="left"/>
            </w:pPr>
            <w:r>
              <w:rPr>
                <w:b w:val="false"/>
                <w:bCs w:val="false"/>
                <w:color w:val="222222"/>
                <w:sz w:val="19"/>
                <w:szCs w:val="19"/>
              </w:rPr>
              <w:t xml:space="preserve">Medium</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system_configs</w:t>
            </w:r>
          </w:p>
        </w:tc>
        <w:tc>
          <w:tcPr>
            <w:tcW w:type="dxa" w:w="4000"/>
            <w:tcMar>
              <w:top w:type="dxa" w:w="60"/>
              <w:left w:type="dxa" w:w="90"/>
              <w:bottom w:type="dxa" w:w="60"/>
              <w:right w:type="dxa" w:w="90"/>
            </w:tcMar>
            <w:vAlign w:val="center"/>
          </w:tcPr>
          <w:p>
            <w:pPr>
              <w:jc w:val="left"/>
            </w:pPr>
            <w:r>
              <w:rPr>
                <w:b w:val="false"/>
                <w:bCs w:val="false"/>
                <w:color w:val="222222"/>
                <w:sz w:val="19"/>
                <w:szCs w:val="19"/>
              </w:rPr>
              <w:t xml:space="preserve">Per-tenant feature flags, branding, integration keys</w:t>
            </w:r>
          </w:p>
        </w:tc>
        <w:tc>
          <w:tcPr>
            <w:tcW w:type="dxa" w:w="3200"/>
            <w:tcMar>
              <w:top w:type="dxa" w:w="60"/>
              <w:left w:type="dxa" w:w="90"/>
              <w:bottom w:type="dxa" w:w="60"/>
              <w:right w:type="dxa" w:w="90"/>
            </w:tcMar>
            <w:vAlign w:val="center"/>
          </w:tcPr>
          <w:p>
            <w:pPr>
              <w:jc w:val="left"/>
            </w:pPr>
            <w:r>
              <w:rPr>
                <w:b w:val="false"/>
                <w:bCs w:val="false"/>
                <w:color w:val="222222"/>
                <w:sz w:val="19"/>
                <w:szCs w:val="19"/>
              </w:rPr>
              <w:t xml:space="preserve">Low</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audit_logs</w:t>
            </w:r>
          </w:p>
        </w:tc>
        <w:tc>
          <w:tcPr>
            <w:tcW w:type="dxa" w:w="4000"/>
            <w:tcMar>
              <w:top w:type="dxa" w:w="60"/>
              <w:left w:type="dxa" w:w="90"/>
              <w:bottom w:type="dxa" w:w="60"/>
              <w:right w:type="dxa" w:w="90"/>
            </w:tcMar>
            <w:vAlign w:val="center"/>
          </w:tcPr>
          <w:p>
            <w:pPr>
              <w:jc w:val="left"/>
            </w:pPr>
            <w:r>
              <w:rPr>
                <w:b w:val="false"/>
                <w:bCs w:val="false"/>
                <w:color w:val="222222"/>
                <w:sz w:val="19"/>
                <w:szCs w:val="19"/>
              </w:rPr>
              <w:t xml:space="preserve">Immutable, append-only event ledger for every write across the platform</w:t>
            </w:r>
          </w:p>
        </w:tc>
        <w:tc>
          <w:tcPr>
            <w:tcW w:type="dxa" w:w="3200"/>
            <w:tcMar>
              <w:top w:type="dxa" w:w="60"/>
              <w:left w:type="dxa" w:w="90"/>
              <w:bottom w:type="dxa" w:w="60"/>
              <w:right w:type="dxa" w:w="90"/>
            </w:tcMar>
            <w:vAlign w:val="center"/>
          </w:tcPr>
          <w:p>
            <w:pPr>
              <w:jc w:val="left"/>
            </w:pPr>
            <w:r>
              <w:rPr>
                <w:b w:val="false"/>
                <w:bCs w:val="false"/>
                <w:color w:val="222222"/>
                <w:sz w:val="19"/>
                <w:szCs w:val="19"/>
              </w:rPr>
              <w:t xml:space="preserve">Very High — largest collection platform-wide</w:t>
            </w:r>
          </w:p>
        </w:tc>
      </w:tr>
    </w:tbl>
    <w:p>
      <w:pPr>
        <w:pStyle w:val="Heading2"/>
        <w:spacing w:after="150" w:before="300"/>
      </w:pPr>
      <w:r>
        <w:rPr>
          <w:b/>
          <w:bCs/>
          <w:color w:val="0F1C3D"/>
          <w:sz w:val="24"/>
          <w:szCs w:val="24"/>
        </w:rPr>
        <w:t xml:space="preserve">7.2 Core Schema — users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400"/>
      </w:tblGrid>
      <w:tr>
        <w:trPr>
          <w:tblHeader/>
        </w:trPr>
        <w:tc>
          <w:tcPr>
            <w:tcW w:type="dxa" w:w="2200"/>
            <w:shd w:fill="1B2A55" w:val="clear"/>
            <w:tcMar>
              <w:top w:type="dxa" w:w="60"/>
              <w:left w:type="dxa" w:w="90"/>
              <w:bottom w:type="dxa" w:w="60"/>
              <w:right w:type="dxa" w:w="90"/>
            </w:tcMar>
            <w:vAlign w:val="center"/>
          </w:tcPr>
          <w:p>
            <w:pPr>
              <w:jc w:val="left"/>
            </w:pPr>
            <w:r>
              <w:rPr>
                <w:b/>
                <w:bCs/>
                <w:color w:val="FFFFFF"/>
                <w:sz w:val="19"/>
                <w:szCs w:val="19"/>
              </w:rPr>
              <w:t xml:space="preserve">Field</w:t>
            </w:r>
          </w:p>
        </w:tc>
        <w:tc>
          <w:tcPr>
            <w:tcW w:type="dxa" w:w="1800"/>
            <w:shd w:fill="1B2A55" w:val="clear"/>
            <w:tcMar>
              <w:top w:type="dxa" w:w="60"/>
              <w:left w:type="dxa" w:w="90"/>
              <w:bottom w:type="dxa" w:w="60"/>
              <w:right w:type="dxa" w:w="90"/>
            </w:tcMar>
            <w:vAlign w:val="center"/>
          </w:tcPr>
          <w:p>
            <w:pPr>
              <w:jc w:val="left"/>
            </w:pPr>
            <w:r>
              <w:rPr>
                <w:b/>
                <w:bCs/>
                <w:color w:val="FFFFFF"/>
                <w:sz w:val="19"/>
                <w:szCs w:val="19"/>
              </w:rPr>
              <w:t xml:space="preserve">Type</w:t>
            </w:r>
          </w:p>
        </w:tc>
        <w:tc>
          <w:tcPr>
            <w:tcW w:type="dxa" w:w="5400"/>
            <w:shd w:fill="1B2A55" w:val="clear"/>
            <w:tcMar>
              <w:top w:type="dxa" w:w="60"/>
              <w:left w:type="dxa" w:w="90"/>
              <w:bottom w:type="dxa" w:w="60"/>
              <w:right w:type="dxa" w:w="90"/>
            </w:tcMar>
            <w:vAlign w:val="center"/>
          </w:tcPr>
          <w:p>
            <w:pPr>
              <w:jc w:val="left"/>
            </w:pPr>
            <w:r>
              <w:rPr>
                <w:b/>
                <w:bCs/>
                <w:color w:val="FFFFFF"/>
                <w:sz w:val="19"/>
                <w:szCs w:val="19"/>
              </w:rPr>
              <w:t xml:space="preserve">Notes</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_id</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ObjectId</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institution_id</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ObjectId</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Shard key leading field</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auth</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Object</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 email, phone, password_hash, sso_provider, mfa_enabled } — password_hash never returned by any projection used outside the auth service</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profile_type</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String (enum)</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student | faculty | staff | parent | alumni | admin</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profile</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Object</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Type-specific embedded sub-document, e.g. student: {enrollment_number, program_id, batch_year}; faculty: {employee_code, department_id, designation}</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status</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String (enum)</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active | suspended | deactivated</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created_at / updated_at</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Date</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
            </w:r>
          </w:p>
        </w:tc>
      </w:tr>
    </w:tbl>
    <w:p>
      <w:pPr>
        <w:pBdr>
          <w:left w:val="single" w:color="1B2A55" w:sz="18" w:space="6"/>
        </w:pBdr>
        <w:shd w:fill="EEF1F8" w:val="clear"/>
        <w:spacing w:after="200" w:before="100"/>
        <w:ind w:left="120"/>
      </w:pPr>
      <w:r>
        <w:rPr>
          <w:i/>
          <w:iCs/>
          <w:color w:val="0F1C3D"/>
          <w:sz w:val="20"/>
          <w:szCs w:val="20"/>
        </w:rPr>
        <w:t xml:space="preserve">Design note: a single users collection with a discriminated profile sub-document (rather than one collection per role) keeps identity, auth, and RBAC in one place and avoids the 'which collection is this person in' ambiguity when a person holds two roles (e.g. an alumnus who is also adjunct faculty). Modules reference users._id and read only the profile fields they need via a projection.</w:t>
      </w:r>
    </w:p>
    <w:p>
      <w:pPr>
        <w:pStyle w:val="Heading2"/>
        <w:spacing w:after="150" w:before="300"/>
      </w:pPr>
      <w:r>
        <w:rPr>
          <w:b/>
          <w:bCs/>
          <w:color w:val="0F1C3D"/>
          <w:sz w:val="24"/>
          <w:szCs w:val="24"/>
        </w:rPr>
        <w:t xml:space="preserve">7.3 Core Schema — role_assignments (RBAC)</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400"/>
      </w:tblGrid>
      <w:tr>
        <w:trPr>
          <w:tblHeader/>
        </w:trPr>
        <w:tc>
          <w:tcPr>
            <w:tcW w:type="dxa" w:w="2200"/>
            <w:shd w:fill="1B2A55" w:val="clear"/>
            <w:tcMar>
              <w:top w:type="dxa" w:w="60"/>
              <w:left w:type="dxa" w:w="90"/>
              <w:bottom w:type="dxa" w:w="60"/>
              <w:right w:type="dxa" w:w="90"/>
            </w:tcMar>
            <w:vAlign w:val="center"/>
          </w:tcPr>
          <w:p>
            <w:pPr>
              <w:jc w:val="left"/>
            </w:pPr>
            <w:r>
              <w:rPr>
                <w:b/>
                <w:bCs/>
                <w:color w:val="FFFFFF"/>
                <w:sz w:val="19"/>
                <w:szCs w:val="19"/>
              </w:rPr>
              <w:t xml:space="preserve">Field</w:t>
            </w:r>
          </w:p>
        </w:tc>
        <w:tc>
          <w:tcPr>
            <w:tcW w:type="dxa" w:w="1800"/>
            <w:shd w:fill="1B2A55" w:val="clear"/>
            <w:tcMar>
              <w:top w:type="dxa" w:w="60"/>
              <w:left w:type="dxa" w:w="90"/>
              <w:bottom w:type="dxa" w:w="60"/>
              <w:right w:type="dxa" w:w="90"/>
            </w:tcMar>
            <w:vAlign w:val="center"/>
          </w:tcPr>
          <w:p>
            <w:pPr>
              <w:jc w:val="left"/>
            </w:pPr>
            <w:r>
              <w:rPr>
                <w:b/>
                <w:bCs/>
                <w:color w:val="FFFFFF"/>
                <w:sz w:val="19"/>
                <w:szCs w:val="19"/>
              </w:rPr>
              <w:t xml:space="preserve">Type</w:t>
            </w:r>
          </w:p>
        </w:tc>
        <w:tc>
          <w:tcPr>
            <w:tcW w:type="dxa" w:w="5400"/>
            <w:shd w:fill="1B2A55" w:val="clear"/>
            <w:tcMar>
              <w:top w:type="dxa" w:w="60"/>
              <w:left w:type="dxa" w:w="90"/>
              <w:bottom w:type="dxa" w:w="60"/>
              <w:right w:type="dxa" w:w="90"/>
            </w:tcMar>
            <w:vAlign w:val="center"/>
          </w:tcPr>
          <w:p>
            <w:pPr>
              <w:jc w:val="left"/>
            </w:pPr>
            <w:r>
              <w:rPr>
                <w:b/>
                <w:bCs/>
                <w:color w:val="FFFFFF"/>
                <w:sz w:val="19"/>
                <w:szCs w:val="19"/>
              </w:rPr>
              <w:t xml:space="preserve">Notes</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_id</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ObjectId</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institution_id</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ObjectId</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user_id</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ObjectId</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Ref → users</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role_id</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ObjectId</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Ref → roles</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scope</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Object, nullable</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 scope_type: 'department'|'hostel'|'program', scope_id } — e.g. 'HOD scoped to CSE department'</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granted_by / granted_at</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ObjectId / Date</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expires_at</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Date, nullable</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For time-bound roles (e.g. exam invigilator for one term)</w:t>
            </w:r>
          </w:p>
        </w:tc>
      </w:tr>
    </w:tbl>
    <w:p>
      <w:pPr>
        <w:pStyle w:val="ListParagraph"/>
        <w:numPr>
          <w:ilvl w:val="0"/>
          <w:numId w:val="2"/>
        </w:numPr>
        <w:spacing w:after="60"/>
      </w:pPr>
      <w:r>
        <w:rPr>
          <w:color w:val="222222"/>
          <w:sz w:val="21"/>
          <w:szCs w:val="21"/>
        </w:rPr>
        <w:t xml:space="preserve">Effective permission resolution (role → permissions, plus scope check) is computed at the application/API-Gateway Authorization layer and cached in Redis per session — MongoDB is the source of truth, not the per-request lookup path.</w:t>
      </w:r>
    </w:p>
    <w:p>
      <w:pPr>
        <w:pStyle w:val="Heading2"/>
        <w:spacing w:after="150" w:before="300"/>
      </w:pPr>
      <w:r>
        <w:rPr>
          <w:b/>
          <w:bCs/>
          <w:color w:val="0F1C3D"/>
          <w:sz w:val="24"/>
          <w:szCs w:val="24"/>
        </w:rPr>
        <w:t xml:space="preserve">7.4 Core Schema — audit_logs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400"/>
      </w:tblGrid>
      <w:tr>
        <w:trPr>
          <w:tblHeader/>
        </w:trPr>
        <w:tc>
          <w:tcPr>
            <w:tcW w:type="dxa" w:w="2200"/>
            <w:shd w:fill="1B2A55" w:val="clear"/>
            <w:tcMar>
              <w:top w:type="dxa" w:w="60"/>
              <w:left w:type="dxa" w:w="90"/>
              <w:bottom w:type="dxa" w:w="60"/>
              <w:right w:type="dxa" w:w="90"/>
            </w:tcMar>
            <w:vAlign w:val="center"/>
          </w:tcPr>
          <w:p>
            <w:pPr>
              <w:jc w:val="left"/>
            </w:pPr>
            <w:r>
              <w:rPr>
                <w:b/>
                <w:bCs/>
                <w:color w:val="FFFFFF"/>
                <w:sz w:val="19"/>
                <w:szCs w:val="19"/>
              </w:rPr>
              <w:t xml:space="preserve">Field</w:t>
            </w:r>
          </w:p>
        </w:tc>
        <w:tc>
          <w:tcPr>
            <w:tcW w:type="dxa" w:w="1800"/>
            <w:shd w:fill="1B2A55" w:val="clear"/>
            <w:tcMar>
              <w:top w:type="dxa" w:w="60"/>
              <w:left w:type="dxa" w:w="90"/>
              <w:bottom w:type="dxa" w:w="60"/>
              <w:right w:type="dxa" w:w="90"/>
            </w:tcMar>
            <w:vAlign w:val="center"/>
          </w:tcPr>
          <w:p>
            <w:pPr>
              <w:jc w:val="left"/>
            </w:pPr>
            <w:r>
              <w:rPr>
                <w:b/>
                <w:bCs/>
                <w:color w:val="FFFFFF"/>
                <w:sz w:val="19"/>
                <w:szCs w:val="19"/>
              </w:rPr>
              <w:t xml:space="preserve">Type</w:t>
            </w:r>
          </w:p>
        </w:tc>
        <w:tc>
          <w:tcPr>
            <w:tcW w:type="dxa" w:w="5400"/>
            <w:shd w:fill="1B2A55" w:val="clear"/>
            <w:tcMar>
              <w:top w:type="dxa" w:w="60"/>
              <w:left w:type="dxa" w:w="90"/>
              <w:bottom w:type="dxa" w:w="60"/>
              <w:right w:type="dxa" w:w="90"/>
            </w:tcMar>
            <w:vAlign w:val="center"/>
          </w:tcPr>
          <w:p>
            <w:pPr>
              <w:jc w:val="left"/>
            </w:pPr>
            <w:r>
              <w:rPr>
                <w:b/>
                <w:bCs/>
                <w:color w:val="FFFFFF"/>
                <w:sz w:val="19"/>
                <w:szCs w:val="19"/>
              </w:rPr>
              <w:t xml:space="preserve">Notes</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_id</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ObjectId</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institution_id</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ObjectId</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Shard key leading field</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event_type</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String</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e.g. EnrollmentCreated, FeePaid, RoleGranted, ExamResultPublished</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actor</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Object</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 user_id, role, ip_address }</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target</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Object</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 collection, document_id, module }</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before / after</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Object, nullable</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Diff snapshot for update events; omitted for high-volume read events</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occurred_at</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Date</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Indexed with a TTL-free retention — see Section 9</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source</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String</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Which module/service published the event</w:t>
            </w:r>
          </w:p>
        </w:tc>
      </w:tr>
    </w:tbl>
    <w:p>
      <w:pPr>
        <w:pBdr>
          <w:left w:val="single" w:color="1B2A55" w:sz="18" w:space="6"/>
        </w:pBdr>
        <w:shd w:fill="EEF1F8" w:val="clear"/>
        <w:spacing w:after="200" w:before="100"/>
        <w:ind w:left="120"/>
      </w:pPr>
      <w:r>
        <w:rPr>
          <w:i/>
          <w:iCs/>
          <w:color w:val="0F1C3D"/>
          <w:sz w:val="20"/>
          <w:szCs w:val="20"/>
        </w:rPr>
        <w:t xml:space="preserve">Design note: audit_logs is populated exclusively by Kafka consumers reading the change-stream-derived event bus — no module writes to it directly and synchronously. This keeps every module's own write latency independent of audit-log write volume, and guarantees no module can accidentally corrupt the audit trail.</w:t>
      </w:r>
    </w:p>
    <w:p>
      <w:r>
        <w:br w:type="page"/>
      </w:r>
    </w:p>
    <w:p>
      <w:pPr>
        <w:pStyle w:val="Heading1"/>
        <w:pBdr>
          <w:bottom w:val="single" w:color="1B2A55" w:sz="12" w:space="4"/>
        </w:pBdr>
        <w:spacing w:after="200" w:before="400"/>
      </w:pPr>
      <w:r>
        <w:rPr>
          <w:b/>
          <w:bCs/>
          <w:color w:val="1B2A55"/>
          <w:sz w:val="30"/>
          <w:szCs w:val="30"/>
        </w:rPr>
        <w:t xml:space="preserve">8. Cross-Collection Relationships</w:t>
      </w:r>
    </w:p>
    <w:p>
      <w:pPr>
        <w:spacing w:after="140" w:line="276"/>
      </w:pPr>
      <w:r>
        <w:rPr>
          <w:color w:val="222222"/>
          <w:sz w:val="21"/>
          <w:szCs w:val="21"/>
        </w:rPr>
        <w:t xml:space="preserve">The diagram below shows the relationship structure across the platform's core transactional modules (Academic, Examination, Finance, Admin Manager). The same referencing conventions extend to the nine additional modules detailed in Sections 15-23 — each references Admin Manager's users collection for identity and links to other modules by ID rather than duplicating data, consistent with the platform's overall preference for referencing across module boundaries and embedding only within a single document's natural lifecycle.</w:t>
      </w:r>
    </w:p>
    <w:p>
      <w:pPr>
        <w:spacing w:after="150" w:before="150"/>
        <w:jc w:val="center"/>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810000"/>
                    </a:xfrm>
                    <a:prstGeom prst="rect">
                      <a:avLst/>
                    </a:prstGeom>
                  </pic:spPr>
                </pic:pic>
              </a:graphicData>
            </a:graphic>
          </wp:inline>
        </w:drawing>
      </w:r>
    </w:p>
    <w:p>
      <w:pPr>
        <w:pStyle w:val="Heading2"/>
        <w:spacing w:after="150" w:before="300"/>
      </w:pPr>
      <w:r>
        <w:rPr>
          <w:b/>
          <w:bCs/>
          <w:color w:val="0F1C3D"/>
          <w:sz w:val="24"/>
          <w:szCs w:val="24"/>
        </w:rPr>
        <w:t xml:space="preserve">8.1 Cross-Module Write Sequence — Enrollment → Fee → Confirmation</w:t>
      </w:r>
    </w:p>
    <w:p>
      <w:pPr>
        <w:spacing w:after="140" w:line="276"/>
      </w:pPr>
      <w:r>
        <w:rPr>
          <w:color w:val="222222"/>
          <w:sz w:val="21"/>
          <w:szCs w:val="21"/>
        </w:rPr>
        <w:t xml:space="preserve">The most representative end-to-end write path (mirroring the source architecture's 'Student Enrolls in a Course' scenario) touches Academic, Finance, the Event Bus, Notification Engine, and Audit &amp; Compliance:</w:t>
      </w:r>
    </w:p>
    <w:p>
      <w:pPr>
        <w:spacing w:after="150" w:before="150"/>
        <w:jc w:val="center"/>
      </w:pPr>
      <w:r>
        <w:drawing>
          <wp:inline distT="0" distB="0" distL="0" distR="0">
            <wp:extent cx="5715000" cy="438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4381500"/>
                    </a:xfrm>
                    <a:prstGeom prst="rect">
                      <a:avLst/>
                    </a:prstGeom>
                  </pic:spPr>
                </pic:pic>
              </a:graphicData>
            </a:graphic>
          </wp:inline>
        </w:drawing>
      </w:r>
    </w:p>
    <w:p>
      <w:pPr>
        <w:pStyle w:val="ListParagraph"/>
        <w:numPr>
          <w:ilvl w:val="0"/>
          <w:numId w:val="2"/>
        </w:numPr>
        <w:spacing w:after="60"/>
      </w:pPr>
      <w:r>
        <w:rPr>
          <w:color w:val="222222"/>
          <w:sz w:val="21"/>
          <w:szCs w:val="21"/>
        </w:rPr>
        <w:t xml:space="preserve">Steps 1-2 (enrollment insert + invoice insert) execute inside a single MongoDB transaction because they must succeed or fail together.</w:t>
      </w:r>
    </w:p>
    <w:p>
      <w:pPr>
        <w:pStyle w:val="ListParagraph"/>
        <w:numPr>
          <w:ilvl w:val="0"/>
          <w:numId w:val="2"/>
        </w:numPr>
        <w:spacing w:after="60"/>
      </w:pPr>
      <w:r>
        <w:rPr>
          <w:color w:val="222222"/>
          <w:sz w:val="21"/>
          <w:szCs w:val="21"/>
        </w:rPr>
        <w:t xml:space="preserve">Steps 4+ (notification, audit) are deliberately outside that transaction — they are eventually-consistent side effects delivered via Kafka, so a slow notification provider can never block or fail an enrollment.</w:t>
      </w:r>
    </w:p>
    <w:p>
      <w:r>
        <w:br w:type="page"/>
      </w:r>
    </w:p>
    <w:p>
      <w:pPr>
        <w:pStyle w:val="Heading1"/>
        <w:pBdr>
          <w:bottom w:val="single" w:color="1B2A55" w:sz="12" w:space="4"/>
        </w:pBdr>
        <w:spacing w:after="200" w:before="400"/>
      </w:pPr>
      <w:r>
        <w:rPr>
          <w:b/>
          <w:bCs/>
          <w:color w:val="1B2A55"/>
          <w:sz w:val="30"/>
          <w:szCs w:val="30"/>
        </w:rPr>
        <w:t xml:space="preserve">9. Indexing Strategy</w:t>
      </w:r>
    </w:p>
    <w:p>
      <w:pPr>
        <w:spacing w:after="140" w:line="276"/>
      </w:pPr>
      <w:r>
        <w:rPr>
          <w:color w:val="222222"/>
          <w:sz w:val="21"/>
          <w:szCs w:val="21"/>
        </w:rPr>
        <w:t xml:space="preserve">Every collection follows a common indexing convention, with collection-specific compound indexes layered on top.</w:t>
      </w:r>
    </w:p>
    <w:p>
      <w:pPr>
        <w:pStyle w:val="Heading2"/>
        <w:spacing w:after="150" w:before="300"/>
      </w:pPr>
      <w:r>
        <w:rPr>
          <w:b/>
          <w:bCs/>
          <w:color w:val="0F1C3D"/>
          <w:sz w:val="24"/>
          <w:szCs w:val="24"/>
        </w:rPr>
        <w:t xml:space="preserve">9.1 Platform-Wide Conventions</w:t>
      </w:r>
    </w:p>
    <w:p>
      <w:pPr>
        <w:pStyle w:val="ListParagraph"/>
        <w:numPr>
          <w:ilvl w:val="0"/>
          <w:numId w:val="2"/>
        </w:numPr>
        <w:spacing w:after="60"/>
      </w:pPr>
      <w:r>
        <w:rPr>
          <w:color w:val="222222"/>
          <w:sz w:val="21"/>
          <w:szCs w:val="21"/>
        </w:rPr>
        <w:t xml:space="preserve">Every tenant-scoped collection has institution_id as the leading key of its most-used compound index (and of the shard key, where sharded) — this keeps every common query and every chunk migration tenant-local.</w:t>
      </w:r>
    </w:p>
    <w:p>
      <w:pPr>
        <w:pStyle w:val="ListParagraph"/>
        <w:numPr>
          <w:ilvl w:val="0"/>
          <w:numId w:val="2"/>
        </w:numPr>
        <w:spacing w:after="60"/>
      </w:pPr>
      <w:r>
        <w:rPr>
          <w:color w:val="222222"/>
          <w:sz w:val="21"/>
          <w:szCs w:val="21"/>
        </w:rPr>
        <w:t xml:space="preserve">Every collection has a unique compound index enforcing its natural key, e.g. { institution_id: 1, enrollment_number: 1 } on users, { institution_id: 1, idempotency_key: 1 } on fee_receipts.</w:t>
      </w:r>
    </w:p>
    <w:p>
      <w:pPr>
        <w:pStyle w:val="ListParagraph"/>
        <w:numPr>
          <w:ilvl w:val="0"/>
          <w:numId w:val="2"/>
        </w:numPr>
        <w:spacing w:after="60"/>
      </w:pPr>
      <w:r>
        <w:rPr>
          <w:color w:val="222222"/>
          <w:sz w:val="21"/>
          <w:szCs w:val="21"/>
        </w:rPr>
        <w:t xml:space="preserve">Foreign-key-style reference fields (student_id, course_section_id, fee_invoice_id, etc.) are indexed wherever they are used in a lookup or a $lookup-equivalent application-side join.</w:t>
      </w:r>
    </w:p>
    <w:p>
      <w:pPr>
        <w:pStyle w:val="ListParagraph"/>
        <w:numPr>
          <w:ilvl w:val="0"/>
          <w:numId w:val="2"/>
        </w:numPr>
        <w:spacing w:after="60"/>
      </w:pPr>
      <w:r>
        <w:rPr>
          <w:color w:val="222222"/>
          <w:sz w:val="21"/>
          <w:szCs w:val="21"/>
        </w:rPr>
        <w:t xml:space="preserve">Partial indexes are used for enum-filtered hot queries, e.g. an index on fee_invoices filtered to {status: {$in: ['issued','partially_paid','overdue']}} for the collections dashboard, so the index stays small as paid invoices accumulate.</w:t>
      </w:r>
    </w:p>
    <w:p>
      <w:pPr>
        <w:pStyle w:val="Heading2"/>
        <w:spacing w:after="150" w:before="300"/>
      </w:pPr>
      <w:r>
        <w:rPr>
          <w:b/>
          <w:bCs/>
          <w:color w:val="0F1C3D"/>
          <w:sz w:val="24"/>
          <w:szCs w:val="24"/>
        </w:rPr>
        <w:t xml:space="preserve">9.2 Core-Module Index Definitions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5000"/>
        <w:gridCol w:w="1400"/>
      </w:tblGrid>
      <w:tr>
        <w:trPr>
          <w:tblHeader/>
        </w:trPr>
        <w:tc>
          <w:tcPr>
            <w:tcW w:type="dxa" w:w="2600"/>
            <w:shd w:fill="1B2A55" w:val="clear"/>
            <w:tcMar>
              <w:top w:type="dxa" w:w="60"/>
              <w:left w:type="dxa" w:w="90"/>
              <w:bottom w:type="dxa" w:w="60"/>
              <w:right w:type="dxa" w:w="90"/>
            </w:tcMar>
            <w:vAlign w:val="center"/>
          </w:tcPr>
          <w:p>
            <w:pPr>
              <w:jc w:val="left"/>
            </w:pPr>
            <w:r>
              <w:rPr>
                <w:b/>
                <w:bCs/>
                <w:color w:val="FFFFFF"/>
                <w:sz w:val="19"/>
                <w:szCs w:val="19"/>
              </w:rPr>
              <w:t xml:space="preserve">Collection</w:t>
            </w:r>
          </w:p>
        </w:tc>
        <w:tc>
          <w:tcPr>
            <w:tcW w:type="dxa" w:w="5000"/>
            <w:shd w:fill="1B2A55" w:val="clear"/>
            <w:tcMar>
              <w:top w:type="dxa" w:w="60"/>
              <w:left w:type="dxa" w:w="90"/>
              <w:bottom w:type="dxa" w:w="60"/>
              <w:right w:type="dxa" w:w="90"/>
            </w:tcMar>
            <w:vAlign w:val="center"/>
          </w:tcPr>
          <w:p>
            <w:pPr>
              <w:jc w:val="left"/>
            </w:pPr>
            <w:r>
              <w:rPr>
                <w:b/>
                <w:bCs/>
                <w:color w:val="FFFFFF"/>
                <w:sz w:val="19"/>
                <w:szCs w:val="19"/>
              </w:rPr>
              <w:t xml:space="preserve">Key Indexes</w:t>
            </w:r>
          </w:p>
        </w:tc>
        <w:tc>
          <w:tcPr>
            <w:tcW w:type="dxa" w:w="1400"/>
            <w:shd w:fill="1B2A55" w:val="clear"/>
            <w:tcMar>
              <w:top w:type="dxa" w:w="60"/>
              <w:left w:type="dxa" w:w="90"/>
              <w:bottom w:type="dxa" w:w="60"/>
              <w:right w:type="dxa" w:w="90"/>
            </w:tcMar>
            <w:vAlign w:val="center"/>
          </w:tcPr>
          <w:p>
            <w:pPr>
              <w:jc w:val="left"/>
            </w:pPr>
            <w:r>
              <w:rPr>
                <w:b/>
                <w:bCs/>
                <w:color w:val="FFFFFF"/>
                <w:sz w:val="19"/>
                <w:szCs w:val="19"/>
              </w:rPr>
              <w:t xml:space="preserve">Type</w:t>
            </w:r>
          </w:p>
        </w:tc>
      </w:tr>
      <w:tr>
        <w:tc>
          <w:tcPr>
            <w:tcW w:type="dxa" w:w="2600"/>
            <w:tcMar>
              <w:top w:type="dxa" w:w="60"/>
              <w:left w:type="dxa" w:w="90"/>
              <w:bottom w:type="dxa" w:w="60"/>
              <w:right w:type="dxa" w:w="90"/>
            </w:tcMar>
            <w:vAlign w:val="center"/>
          </w:tcPr>
          <w:p>
            <w:pPr>
              <w:jc w:val="left"/>
            </w:pPr>
            <w:r>
              <w:rPr>
                <w:b w:val="false"/>
                <w:bCs w:val="false"/>
                <w:color w:val="222222"/>
                <w:sz w:val="19"/>
                <w:szCs w:val="19"/>
              </w:rPr>
              <w:t xml:space="preserve">enrollments</w:t>
            </w:r>
          </w:p>
        </w:tc>
        <w:tc>
          <w:tcPr>
            <w:tcW w:type="dxa" w:w="5000"/>
            <w:tcMar>
              <w:top w:type="dxa" w:w="60"/>
              <w:left w:type="dxa" w:w="90"/>
              <w:bottom w:type="dxa" w:w="60"/>
              <w:right w:type="dxa" w:w="90"/>
            </w:tcMar>
            <w:vAlign w:val="center"/>
          </w:tcPr>
          <w:p>
            <w:pPr>
              <w:jc w:val="left"/>
            </w:pPr>
            <w:r>
              <w:rPr>
                <w:b w:val="false"/>
                <w:bCs w:val="false"/>
                <w:color w:val="222222"/>
                <w:sz w:val="19"/>
                <w:szCs w:val="19"/>
              </w:rPr>
              <w:t xml:space="preserve">{institution_id,student_id,term_id} unique; {institution_id,course_section_id,status}</w:t>
            </w:r>
          </w:p>
        </w:tc>
        <w:tc>
          <w:tcPr>
            <w:tcW w:type="dxa" w:w="1400"/>
            <w:tcMar>
              <w:top w:type="dxa" w:w="60"/>
              <w:left w:type="dxa" w:w="90"/>
              <w:bottom w:type="dxa" w:w="60"/>
              <w:right w:type="dxa" w:w="90"/>
            </w:tcMar>
            <w:vAlign w:val="center"/>
          </w:tcPr>
          <w:p>
            <w:pPr>
              <w:jc w:val="left"/>
            </w:pPr>
            <w:r>
              <w:rPr>
                <w:b w:val="false"/>
                <w:bCs w:val="false"/>
                <w:color w:val="222222"/>
                <w:sz w:val="19"/>
                <w:szCs w:val="19"/>
              </w:rPr>
              <w:t xml:space="preserve">Compound</w:t>
            </w:r>
          </w:p>
        </w:tc>
      </w:tr>
      <w:tr>
        <w:tc>
          <w:tcPr>
            <w:tcW w:type="dxa" w:w="2600"/>
            <w:tcMar>
              <w:top w:type="dxa" w:w="60"/>
              <w:left w:type="dxa" w:w="90"/>
              <w:bottom w:type="dxa" w:w="60"/>
              <w:right w:type="dxa" w:w="90"/>
            </w:tcMar>
            <w:vAlign w:val="center"/>
          </w:tcPr>
          <w:p>
            <w:pPr>
              <w:jc w:val="left"/>
            </w:pPr>
            <w:r>
              <w:rPr>
                <w:b w:val="false"/>
                <w:bCs w:val="false"/>
                <w:color w:val="222222"/>
                <w:sz w:val="19"/>
                <w:szCs w:val="19"/>
              </w:rPr>
              <w:t xml:space="preserve">course_sections</w:t>
            </w:r>
          </w:p>
        </w:tc>
        <w:tc>
          <w:tcPr>
            <w:tcW w:type="dxa" w:w="5000"/>
            <w:tcMar>
              <w:top w:type="dxa" w:w="60"/>
              <w:left w:type="dxa" w:w="90"/>
              <w:bottom w:type="dxa" w:w="60"/>
              <w:right w:type="dxa" w:w="90"/>
            </w:tcMar>
            <w:vAlign w:val="center"/>
          </w:tcPr>
          <w:p>
            <w:pPr>
              <w:jc w:val="left"/>
            </w:pPr>
            <w:r>
              <w:rPr>
                <w:b w:val="false"/>
                <w:bCs w:val="false"/>
                <w:color w:val="222222"/>
                <w:sz w:val="19"/>
                <w:szCs w:val="19"/>
              </w:rPr>
              <w:t xml:space="preserve">{institution_id,term_id,faculty_id}; {institution_id,course_id,term_id} unique</w:t>
            </w:r>
          </w:p>
        </w:tc>
        <w:tc>
          <w:tcPr>
            <w:tcW w:type="dxa" w:w="1400"/>
            <w:tcMar>
              <w:top w:type="dxa" w:w="60"/>
              <w:left w:type="dxa" w:w="90"/>
              <w:bottom w:type="dxa" w:w="60"/>
              <w:right w:type="dxa" w:w="90"/>
            </w:tcMar>
            <w:vAlign w:val="center"/>
          </w:tcPr>
          <w:p>
            <w:pPr>
              <w:jc w:val="left"/>
            </w:pPr>
            <w:r>
              <w:rPr>
                <w:b w:val="false"/>
                <w:bCs w:val="false"/>
                <w:color w:val="222222"/>
                <w:sz w:val="19"/>
                <w:szCs w:val="19"/>
              </w:rPr>
              <w:t xml:space="preserve">Compound</w:t>
            </w:r>
          </w:p>
        </w:tc>
      </w:tr>
      <w:tr>
        <w:tc>
          <w:tcPr>
            <w:tcW w:type="dxa" w:w="2600"/>
            <w:tcMar>
              <w:top w:type="dxa" w:w="60"/>
              <w:left w:type="dxa" w:w="90"/>
              <w:bottom w:type="dxa" w:w="60"/>
              <w:right w:type="dxa" w:w="90"/>
            </w:tcMar>
            <w:vAlign w:val="center"/>
          </w:tcPr>
          <w:p>
            <w:pPr>
              <w:jc w:val="left"/>
            </w:pPr>
            <w:r>
              <w:rPr>
                <w:b w:val="false"/>
                <w:bCs w:val="false"/>
                <w:color w:val="222222"/>
                <w:sz w:val="19"/>
                <w:szCs w:val="19"/>
              </w:rPr>
              <w:t xml:space="preserve">exam_results</w:t>
            </w:r>
          </w:p>
        </w:tc>
        <w:tc>
          <w:tcPr>
            <w:tcW w:type="dxa" w:w="5000"/>
            <w:tcMar>
              <w:top w:type="dxa" w:w="60"/>
              <w:left w:type="dxa" w:w="90"/>
              <w:bottom w:type="dxa" w:w="60"/>
              <w:right w:type="dxa" w:w="90"/>
            </w:tcMar>
            <w:vAlign w:val="center"/>
          </w:tcPr>
          <w:p>
            <w:pPr>
              <w:jc w:val="left"/>
            </w:pPr>
            <w:r>
              <w:rPr>
                <w:b w:val="false"/>
                <w:bCs w:val="false"/>
                <w:color w:val="222222"/>
                <w:sz w:val="19"/>
                <w:szCs w:val="19"/>
              </w:rPr>
              <w:t xml:space="preserve">{institution_id,student_id,course_id,status}; {institution_id,exam_registration_id} unique (current revision only, partial)</w:t>
            </w:r>
          </w:p>
        </w:tc>
        <w:tc>
          <w:tcPr>
            <w:tcW w:type="dxa" w:w="1400"/>
            <w:tcMar>
              <w:top w:type="dxa" w:w="60"/>
              <w:left w:type="dxa" w:w="90"/>
              <w:bottom w:type="dxa" w:w="60"/>
              <w:right w:type="dxa" w:w="90"/>
            </w:tcMar>
            <w:vAlign w:val="center"/>
          </w:tcPr>
          <w:p>
            <w:pPr>
              <w:jc w:val="left"/>
            </w:pPr>
            <w:r>
              <w:rPr>
                <w:b w:val="false"/>
                <w:bCs w:val="false"/>
                <w:color w:val="222222"/>
                <w:sz w:val="19"/>
                <w:szCs w:val="19"/>
              </w:rPr>
              <w:t xml:space="preserve">Compound / Partial</w:t>
            </w:r>
          </w:p>
        </w:tc>
      </w:tr>
      <w:tr>
        <w:tc>
          <w:tcPr>
            <w:tcW w:type="dxa" w:w="2600"/>
            <w:tcMar>
              <w:top w:type="dxa" w:w="60"/>
              <w:left w:type="dxa" w:w="90"/>
              <w:bottom w:type="dxa" w:w="60"/>
              <w:right w:type="dxa" w:w="90"/>
            </w:tcMar>
            <w:vAlign w:val="center"/>
          </w:tcPr>
          <w:p>
            <w:pPr>
              <w:jc w:val="left"/>
            </w:pPr>
            <w:r>
              <w:rPr>
                <w:b w:val="false"/>
                <w:bCs w:val="false"/>
                <w:color w:val="222222"/>
                <w:sz w:val="19"/>
                <w:szCs w:val="19"/>
              </w:rPr>
              <w:t xml:space="preserve">hall_tickets</w:t>
            </w:r>
          </w:p>
        </w:tc>
        <w:tc>
          <w:tcPr>
            <w:tcW w:type="dxa" w:w="5000"/>
            <w:tcMar>
              <w:top w:type="dxa" w:w="60"/>
              <w:left w:type="dxa" w:w="90"/>
              <w:bottom w:type="dxa" w:w="60"/>
              <w:right w:type="dxa" w:w="90"/>
            </w:tcMar>
            <w:vAlign w:val="center"/>
          </w:tcPr>
          <w:p>
            <w:pPr>
              <w:jc w:val="left"/>
            </w:pPr>
            <w:r>
              <w:rPr>
                <w:b w:val="false"/>
                <w:bCs w:val="false"/>
                <w:color w:val="222222"/>
                <w:sz w:val="19"/>
                <w:szCs w:val="19"/>
              </w:rPr>
              <w:t xml:space="preserve">{institution_id,exam_registration_id} unique</w:t>
            </w:r>
          </w:p>
        </w:tc>
        <w:tc>
          <w:tcPr>
            <w:tcW w:type="dxa" w:w="1400"/>
            <w:tcMar>
              <w:top w:type="dxa" w:w="60"/>
              <w:left w:type="dxa" w:w="90"/>
              <w:bottom w:type="dxa" w:w="60"/>
              <w:right w:type="dxa" w:w="90"/>
            </w:tcMar>
            <w:vAlign w:val="center"/>
          </w:tcPr>
          <w:p>
            <w:pPr>
              <w:jc w:val="left"/>
            </w:pPr>
            <w:r>
              <w:rPr>
                <w:b w:val="false"/>
                <w:bCs w:val="false"/>
                <w:color w:val="222222"/>
                <w:sz w:val="19"/>
                <w:szCs w:val="19"/>
              </w:rPr>
              <w:t xml:space="preserve">Compound unique</w:t>
            </w:r>
          </w:p>
        </w:tc>
      </w:tr>
      <w:tr>
        <w:tc>
          <w:tcPr>
            <w:tcW w:type="dxa" w:w="2600"/>
            <w:tcMar>
              <w:top w:type="dxa" w:w="60"/>
              <w:left w:type="dxa" w:w="90"/>
              <w:bottom w:type="dxa" w:w="60"/>
              <w:right w:type="dxa" w:w="90"/>
            </w:tcMar>
            <w:vAlign w:val="center"/>
          </w:tcPr>
          <w:p>
            <w:pPr>
              <w:jc w:val="left"/>
            </w:pPr>
            <w:r>
              <w:rPr>
                <w:b w:val="false"/>
                <w:bCs w:val="false"/>
                <w:color w:val="222222"/>
                <w:sz w:val="19"/>
                <w:szCs w:val="19"/>
              </w:rPr>
              <w:t xml:space="preserve">fee_invoices</w:t>
            </w:r>
          </w:p>
        </w:tc>
        <w:tc>
          <w:tcPr>
            <w:tcW w:type="dxa" w:w="5000"/>
            <w:tcMar>
              <w:top w:type="dxa" w:w="60"/>
              <w:left w:type="dxa" w:w="90"/>
              <w:bottom w:type="dxa" w:w="60"/>
              <w:right w:type="dxa" w:w="90"/>
            </w:tcMar>
            <w:vAlign w:val="center"/>
          </w:tcPr>
          <w:p>
            <w:pPr>
              <w:jc w:val="left"/>
            </w:pPr>
            <w:r>
              <w:rPr>
                <w:b w:val="false"/>
                <w:bCs w:val="false"/>
                <w:color w:val="222222"/>
                <w:sz w:val="19"/>
                <w:szCs w:val="19"/>
              </w:rPr>
              <w:t xml:space="preserve">{institution_id,student_id,status,due_date}; {institution_id,enrollment_id}</w:t>
            </w:r>
          </w:p>
        </w:tc>
        <w:tc>
          <w:tcPr>
            <w:tcW w:type="dxa" w:w="1400"/>
            <w:tcMar>
              <w:top w:type="dxa" w:w="60"/>
              <w:left w:type="dxa" w:w="90"/>
              <w:bottom w:type="dxa" w:w="60"/>
              <w:right w:type="dxa" w:w="90"/>
            </w:tcMar>
            <w:vAlign w:val="center"/>
          </w:tcPr>
          <w:p>
            <w:pPr>
              <w:jc w:val="left"/>
            </w:pPr>
            <w:r>
              <w:rPr>
                <w:b w:val="false"/>
                <w:bCs w:val="false"/>
                <w:color w:val="222222"/>
                <w:sz w:val="19"/>
                <w:szCs w:val="19"/>
              </w:rPr>
              <w:t xml:space="preserve">Compound</w:t>
            </w:r>
          </w:p>
        </w:tc>
      </w:tr>
      <w:tr>
        <w:tc>
          <w:tcPr>
            <w:tcW w:type="dxa" w:w="2600"/>
            <w:tcMar>
              <w:top w:type="dxa" w:w="60"/>
              <w:left w:type="dxa" w:w="90"/>
              <w:bottom w:type="dxa" w:w="60"/>
              <w:right w:type="dxa" w:w="90"/>
            </w:tcMar>
            <w:vAlign w:val="center"/>
          </w:tcPr>
          <w:p>
            <w:pPr>
              <w:jc w:val="left"/>
            </w:pPr>
            <w:r>
              <w:rPr>
                <w:b w:val="false"/>
                <w:bCs w:val="false"/>
                <w:color w:val="222222"/>
                <w:sz w:val="19"/>
                <w:szCs w:val="19"/>
              </w:rPr>
              <w:t xml:space="preserve">fee_receipts</w:t>
            </w:r>
          </w:p>
        </w:tc>
        <w:tc>
          <w:tcPr>
            <w:tcW w:type="dxa" w:w="5000"/>
            <w:tcMar>
              <w:top w:type="dxa" w:w="60"/>
              <w:left w:type="dxa" w:w="90"/>
              <w:bottom w:type="dxa" w:w="60"/>
              <w:right w:type="dxa" w:w="90"/>
            </w:tcMar>
            <w:vAlign w:val="center"/>
          </w:tcPr>
          <w:p>
            <w:pPr>
              <w:jc w:val="left"/>
            </w:pPr>
            <w:r>
              <w:rPr>
                <w:b w:val="false"/>
                <w:bCs w:val="false"/>
                <w:color w:val="222222"/>
                <w:sz w:val="19"/>
                <w:szCs w:val="19"/>
              </w:rPr>
              <w:t xml:space="preserve">{institution_id,idempotency_key} unique; {institution_id,fee_invoice_id}</w:t>
            </w:r>
          </w:p>
        </w:tc>
        <w:tc>
          <w:tcPr>
            <w:tcW w:type="dxa" w:w="1400"/>
            <w:tcMar>
              <w:top w:type="dxa" w:w="60"/>
              <w:left w:type="dxa" w:w="90"/>
              <w:bottom w:type="dxa" w:w="60"/>
              <w:right w:type="dxa" w:w="90"/>
            </w:tcMar>
            <w:vAlign w:val="center"/>
          </w:tcPr>
          <w:p>
            <w:pPr>
              <w:jc w:val="left"/>
            </w:pPr>
            <w:r>
              <w:rPr>
                <w:b w:val="false"/>
                <w:bCs w:val="false"/>
                <w:color w:val="222222"/>
                <w:sz w:val="19"/>
                <w:szCs w:val="19"/>
              </w:rPr>
              <w:t xml:space="preserve">Compound unique</w:t>
            </w:r>
          </w:p>
        </w:tc>
      </w:tr>
      <w:tr>
        <w:tc>
          <w:tcPr>
            <w:tcW w:type="dxa" w:w="2600"/>
            <w:tcMar>
              <w:top w:type="dxa" w:w="60"/>
              <w:left w:type="dxa" w:w="90"/>
              <w:bottom w:type="dxa" w:w="60"/>
              <w:right w:type="dxa" w:w="90"/>
            </w:tcMar>
            <w:vAlign w:val="center"/>
          </w:tcPr>
          <w:p>
            <w:pPr>
              <w:jc w:val="left"/>
            </w:pPr>
            <w:r>
              <w:rPr>
                <w:b w:val="false"/>
                <w:bCs w:val="false"/>
                <w:color w:val="222222"/>
                <w:sz w:val="19"/>
                <w:szCs w:val="19"/>
              </w:rPr>
              <w:t xml:space="preserve">users</w:t>
            </w:r>
          </w:p>
        </w:tc>
        <w:tc>
          <w:tcPr>
            <w:tcW w:type="dxa" w:w="5000"/>
            <w:tcMar>
              <w:top w:type="dxa" w:w="60"/>
              <w:left w:type="dxa" w:w="90"/>
              <w:bottom w:type="dxa" w:w="60"/>
              <w:right w:type="dxa" w:w="90"/>
            </w:tcMar>
            <w:vAlign w:val="center"/>
          </w:tcPr>
          <w:p>
            <w:pPr>
              <w:jc w:val="left"/>
            </w:pPr>
            <w:r>
              <w:rPr>
                <w:b w:val="false"/>
                <w:bCs w:val="false"/>
                <w:color w:val="222222"/>
                <w:sz w:val="19"/>
                <w:szCs w:val="19"/>
              </w:rPr>
              <w:t xml:space="preserve">{institution_id,'auth.email'} unique; {institution_id,profile_type,status}</w:t>
            </w:r>
          </w:p>
        </w:tc>
        <w:tc>
          <w:tcPr>
            <w:tcW w:type="dxa" w:w="1400"/>
            <w:tcMar>
              <w:top w:type="dxa" w:w="60"/>
              <w:left w:type="dxa" w:w="90"/>
              <w:bottom w:type="dxa" w:w="60"/>
              <w:right w:type="dxa" w:w="90"/>
            </w:tcMar>
            <w:vAlign w:val="center"/>
          </w:tcPr>
          <w:p>
            <w:pPr>
              <w:jc w:val="left"/>
            </w:pPr>
            <w:r>
              <w:rPr>
                <w:b w:val="false"/>
                <w:bCs w:val="false"/>
                <w:color w:val="222222"/>
                <w:sz w:val="19"/>
                <w:szCs w:val="19"/>
              </w:rPr>
              <w:t xml:space="preserve">Compound unique</w:t>
            </w:r>
          </w:p>
        </w:tc>
      </w:tr>
      <w:tr>
        <w:tc>
          <w:tcPr>
            <w:tcW w:type="dxa" w:w="2600"/>
            <w:tcMar>
              <w:top w:type="dxa" w:w="60"/>
              <w:left w:type="dxa" w:w="90"/>
              <w:bottom w:type="dxa" w:w="60"/>
              <w:right w:type="dxa" w:w="90"/>
            </w:tcMar>
            <w:vAlign w:val="center"/>
          </w:tcPr>
          <w:p>
            <w:pPr>
              <w:jc w:val="left"/>
            </w:pPr>
            <w:r>
              <w:rPr>
                <w:b w:val="false"/>
                <w:bCs w:val="false"/>
                <w:color w:val="222222"/>
                <w:sz w:val="19"/>
                <w:szCs w:val="19"/>
              </w:rPr>
              <w:t xml:space="preserve">role_assignments</w:t>
            </w:r>
          </w:p>
        </w:tc>
        <w:tc>
          <w:tcPr>
            <w:tcW w:type="dxa" w:w="5000"/>
            <w:tcMar>
              <w:top w:type="dxa" w:w="60"/>
              <w:left w:type="dxa" w:w="90"/>
              <w:bottom w:type="dxa" w:w="60"/>
              <w:right w:type="dxa" w:w="90"/>
            </w:tcMar>
            <w:vAlign w:val="center"/>
          </w:tcPr>
          <w:p>
            <w:pPr>
              <w:jc w:val="left"/>
            </w:pPr>
            <w:r>
              <w:rPr>
                <w:b w:val="false"/>
                <w:bCs w:val="false"/>
                <w:color w:val="222222"/>
                <w:sz w:val="19"/>
                <w:szCs w:val="19"/>
              </w:rPr>
              <w:t xml:space="preserve">{institution_id,user_id}; {institution_id,role_id,'scope.scope_id'}</w:t>
            </w:r>
          </w:p>
        </w:tc>
        <w:tc>
          <w:tcPr>
            <w:tcW w:type="dxa" w:w="1400"/>
            <w:tcMar>
              <w:top w:type="dxa" w:w="60"/>
              <w:left w:type="dxa" w:w="90"/>
              <w:bottom w:type="dxa" w:w="60"/>
              <w:right w:type="dxa" w:w="90"/>
            </w:tcMar>
            <w:vAlign w:val="center"/>
          </w:tcPr>
          <w:p>
            <w:pPr>
              <w:jc w:val="left"/>
            </w:pPr>
            <w:r>
              <w:rPr>
                <w:b w:val="false"/>
                <w:bCs w:val="false"/>
                <w:color w:val="222222"/>
                <w:sz w:val="19"/>
                <w:szCs w:val="19"/>
              </w:rPr>
              <w:t xml:space="preserve">Compound</w:t>
            </w:r>
          </w:p>
        </w:tc>
      </w:tr>
      <w:tr>
        <w:tc>
          <w:tcPr>
            <w:tcW w:type="dxa" w:w="2600"/>
            <w:tcMar>
              <w:top w:type="dxa" w:w="60"/>
              <w:left w:type="dxa" w:w="90"/>
              <w:bottom w:type="dxa" w:w="60"/>
              <w:right w:type="dxa" w:w="90"/>
            </w:tcMar>
            <w:vAlign w:val="center"/>
          </w:tcPr>
          <w:p>
            <w:pPr>
              <w:jc w:val="left"/>
            </w:pPr>
            <w:r>
              <w:rPr>
                <w:b w:val="false"/>
                <w:bCs w:val="false"/>
                <w:color w:val="222222"/>
                <w:sz w:val="19"/>
                <w:szCs w:val="19"/>
              </w:rPr>
              <w:t xml:space="preserve">audit_logs</w:t>
            </w:r>
          </w:p>
        </w:tc>
        <w:tc>
          <w:tcPr>
            <w:tcW w:type="dxa" w:w="5000"/>
            <w:tcMar>
              <w:top w:type="dxa" w:w="60"/>
              <w:left w:type="dxa" w:w="90"/>
              <w:bottom w:type="dxa" w:w="60"/>
              <w:right w:type="dxa" w:w="90"/>
            </w:tcMar>
            <w:vAlign w:val="center"/>
          </w:tcPr>
          <w:p>
            <w:pPr>
              <w:jc w:val="left"/>
            </w:pPr>
            <w:r>
              <w:rPr>
                <w:b w:val="false"/>
                <w:bCs w:val="false"/>
                <w:color w:val="222222"/>
                <w:sz w:val="19"/>
                <w:szCs w:val="19"/>
              </w:rPr>
              <w:t xml:space="preserve">{institution_id,occurred_at} desc; {institution_id,'target.document_id'}; {institution_id,event_type,occurred_at}</w:t>
            </w:r>
          </w:p>
        </w:tc>
        <w:tc>
          <w:tcPr>
            <w:tcW w:type="dxa" w:w="1400"/>
            <w:tcMar>
              <w:top w:type="dxa" w:w="60"/>
              <w:left w:type="dxa" w:w="90"/>
              <w:bottom w:type="dxa" w:w="60"/>
              <w:right w:type="dxa" w:w="90"/>
            </w:tcMar>
            <w:vAlign w:val="center"/>
          </w:tcPr>
          <w:p>
            <w:pPr>
              <w:jc w:val="left"/>
            </w:pPr>
            <w:r>
              <w:rPr>
                <w:b w:val="false"/>
                <w:bCs w:val="false"/>
                <w:color w:val="222222"/>
                <w:sz w:val="19"/>
                <w:szCs w:val="19"/>
              </w:rPr>
              <w:t xml:space="preserve">Compound</w:t>
            </w:r>
          </w:p>
        </w:tc>
      </w:tr>
    </w:tbl>
    <w:p>
      <w:pPr>
        <w:pBdr>
          <w:left w:val="single" w:color="1B2A55" w:sz="18" w:space="6"/>
        </w:pBdr>
        <w:shd w:fill="EEF1F8" w:val="clear"/>
        <w:spacing w:after="200" w:before="100"/>
        <w:ind w:left="120"/>
      </w:pPr>
      <w:r>
        <w:rPr>
          <w:i/>
          <w:iCs/>
          <w:color w:val="0F1C3D"/>
          <w:sz w:val="20"/>
          <w:szCs w:val="20"/>
        </w:rPr>
        <w:t xml:space="preserve">All indexes above are illustrative starting points. Actual index selection should be finalized against real query patterns using MongoDB's Query Profiler / Atlas Performance Advisor once production traffic is available — over-indexing write-heavy collections like enrollments and fee_receipts has a real write-latency cost.</w:t>
      </w:r>
    </w:p>
    <w:p>
      <w:r>
        <w:br w:type="page"/>
      </w:r>
    </w:p>
    <w:p>
      <w:pPr>
        <w:pStyle w:val="Heading1"/>
        <w:pBdr>
          <w:bottom w:val="single" w:color="1B2A55" w:sz="12" w:space="4"/>
        </w:pBdr>
        <w:spacing w:after="200" w:before="400"/>
      </w:pPr>
      <w:r>
        <w:rPr>
          <w:b/>
          <w:bCs/>
          <w:color w:val="1B2A55"/>
          <w:sz w:val="30"/>
          <w:szCs w:val="30"/>
        </w:rPr>
        <w:t xml:space="preserve">10. Sharding &amp; Replication Strategy</w:t>
      </w:r>
    </w:p>
    <w:p>
      <w:pPr>
        <w:pStyle w:val="Heading2"/>
        <w:spacing w:after="150" w:before="300"/>
      </w:pPr>
      <w:r>
        <w:rPr>
          <w:b/>
          <w:bCs/>
          <w:color w:val="0F1C3D"/>
          <w:sz w:val="24"/>
          <w:szCs w:val="24"/>
        </w:rPr>
        <w:t xml:space="preserve">10.1 Shard Key Selection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00"/>
      </w:tblGrid>
      <w:tr>
        <w:trPr>
          <w:tblHeader/>
        </w:trPr>
        <w:tc>
          <w:tcPr>
            <w:tcW w:type="dxa" w:w="2600"/>
            <w:shd w:fill="1B2A55" w:val="clear"/>
            <w:tcMar>
              <w:top w:type="dxa" w:w="60"/>
              <w:left w:type="dxa" w:w="90"/>
              <w:bottom w:type="dxa" w:w="60"/>
              <w:right w:type="dxa" w:w="90"/>
            </w:tcMar>
            <w:vAlign w:val="center"/>
          </w:tcPr>
          <w:p>
            <w:pPr>
              <w:jc w:val="left"/>
            </w:pPr>
            <w:r>
              <w:rPr>
                <w:b/>
                <w:bCs/>
                <w:color w:val="FFFFFF"/>
                <w:sz w:val="19"/>
                <w:szCs w:val="19"/>
              </w:rPr>
              <w:t xml:space="preserve">Collection</w:t>
            </w:r>
          </w:p>
        </w:tc>
        <w:tc>
          <w:tcPr>
            <w:tcW w:type="dxa" w:w="3200"/>
            <w:shd w:fill="1B2A55" w:val="clear"/>
            <w:tcMar>
              <w:top w:type="dxa" w:w="60"/>
              <w:left w:type="dxa" w:w="90"/>
              <w:bottom w:type="dxa" w:w="60"/>
              <w:right w:type="dxa" w:w="90"/>
            </w:tcMar>
            <w:vAlign w:val="center"/>
          </w:tcPr>
          <w:p>
            <w:pPr>
              <w:jc w:val="left"/>
            </w:pPr>
            <w:r>
              <w:rPr>
                <w:b/>
                <w:bCs/>
                <w:color w:val="FFFFFF"/>
                <w:sz w:val="19"/>
                <w:szCs w:val="19"/>
              </w:rPr>
              <w:t xml:space="preserve">Shard Key</w:t>
            </w:r>
          </w:p>
        </w:tc>
        <w:tc>
          <w:tcPr>
            <w:tcW w:type="dxa" w:w="3200"/>
            <w:shd w:fill="1B2A55" w:val="clear"/>
            <w:tcMar>
              <w:top w:type="dxa" w:w="60"/>
              <w:left w:type="dxa" w:w="90"/>
              <w:bottom w:type="dxa" w:w="60"/>
              <w:right w:type="dxa" w:w="90"/>
            </w:tcMar>
            <w:vAlign w:val="center"/>
          </w:tcPr>
          <w:p>
            <w:pPr>
              <w:jc w:val="left"/>
            </w:pPr>
            <w:r>
              <w:rPr>
                <w:b/>
                <w:bCs/>
                <w:color w:val="FFFFFF"/>
                <w:sz w:val="19"/>
                <w:szCs w:val="19"/>
              </w:rPr>
              <w:t xml:space="preserve">Rationale</w:t>
            </w:r>
          </w:p>
        </w:tc>
      </w:tr>
      <w:tr>
        <w:tc>
          <w:tcPr>
            <w:tcW w:type="dxa" w:w="2600"/>
            <w:tcMar>
              <w:top w:type="dxa" w:w="60"/>
              <w:left w:type="dxa" w:w="90"/>
              <w:bottom w:type="dxa" w:w="60"/>
              <w:right w:type="dxa" w:w="90"/>
            </w:tcMar>
            <w:vAlign w:val="center"/>
          </w:tcPr>
          <w:p>
            <w:pPr>
              <w:jc w:val="left"/>
            </w:pPr>
            <w:r>
              <w:rPr>
                <w:b w:val="false"/>
                <w:bCs w:val="false"/>
                <w:color w:val="222222"/>
                <w:sz w:val="19"/>
                <w:szCs w:val="19"/>
              </w:rPr>
              <w:t xml:space="preserve">enrollments</w:t>
            </w:r>
          </w:p>
        </w:tc>
        <w:tc>
          <w:tcPr>
            <w:tcW w:type="dxa" w:w="3200"/>
            <w:tcMar>
              <w:top w:type="dxa" w:w="60"/>
              <w:left w:type="dxa" w:w="90"/>
              <w:bottom w:type="dxa" w:w="60"/>
              <w:right w:type="dxa" w:w="90"/>
            </w:tcMar>
            <w:vAlign w:val="center"/>
          </w:tcPr>
          <w:p>
            <w:pPr>
              <w:jc w:val="left"/>
            </w:pPr>
            <w:r>
              <w:rPr>
                <w:b w:val="false"/>
                <w:bCs w:val="false"/>
                <w:color w:val="222222"/>
                <w:sz w:val="19"/>
                <w:szCs w:val="19"/>
              </w:rPr>
              <w:t xml:space="preserve">{institution_id, student_id}</w:t>
            </w:r>
          </w:p>
        </w:tc>
        <w:tc>
          <w:tcPr>
            <w:tcW w:type="dxa" w:w="3200"/>
            <w:tcMar>
              <w:top w:type="dxa" w:w="60"/>
              <w:left w:type="dxa" w:w="90"/>
              <w:bottom w:type="dxa" w:w="60"/>
              <w:right w:type="dxa" w:w="90"/>
            </w:tcMar>
            <w:vAlign w:val="center"/>
          </w:tcPr>
          <w:p>
            <w:pPr>
              <w:jc w:val="left"/>
            </w:pPr>
            <w:r>
              <w:rPr>
                <w:b w:val="false"/>
                <w:bCs w:val="false"/>
                <w:color w:val="222222"/>
                <w:sz w:val="19"/>
                <w:szCs w:val="19"/>
              </w:rPr>
              <w:t xml:space="preserve">High cardinality, tenant-local, matches the dominant query pattern (a student's own enrollments)</w:t>
            </w:r>
          </w:p>
        </w:tc>
      </w:tr>
      <w:tr>
        <w:tc>
          <w:tcPr>
            <w:tcW w:type="dxa" w:w="2600"/>
            <w:tcMar>
              <w:top w:type="dxa" w:w="60"/>
              <w:left w:type="dxa" w:w="90"/>
              <w:bottom w:type="dxa" w:w="60"/>
              <w:right w:type="dxa" w:w="90"/>
            </w:tcMar>
            <w:vAlign w:val="center"/>
          </w:tcPr>
          <w:p>
            <w:pPr>
              <w:jc w:val="left"/>
            </w:pPr>
            <w:r>
              <w:rPr>
                <w:b w:val="false"/>
                <w:bCs w:val="false"/>
                <w:color w:val="222222"/>
                <w:sz w:val="19"/>
                <w:szCs w:val="19"/>
              </w:rPr>
              <w:t xml:space="preserve">exam_results</w:t>
            </w:r>
          </w:p>
        </w:tc>
        <w:tc>
          <w:tcPr>
            <w:tcW w:type="dxa" w:w="3200"/>
            <w:tcMar>
              <w:top w:type="dxa" w:w="60"/>
              <w:left w:type="dxa" w:w="90"/>
              <w:bottom w:type="dxa" w:w="60"/>
              <w:right w:type="dxa" w:w="90"/>
            </w:tcMar>
            <w:vAlign w:val="center"/>
          </w:tcPr>
          <w:p>
            <w:pPr>
              <w:jc w:val="left"/>
            </w:pPr>
            <w:r>
              <w:rPr>
                <w:b w:val="false"/>
                <w:bCs w:val="false"/>
                <w:color w:val="222222"/>
                <w:sz w:val="19"/>
                <w:szCs w:val="19"/>
              </w:rPr>
              <w:t xml:space="preserve">{institution_id, student_id}</w:t>
            </w:r>
          </w:p>
        </w:tc>
        <w:tc>
          <w:tcPr>
            <w:tcW w:type="dxa" w:w="3200"/>
            <w:tcMar>
              <w:top w:type="dxa" w:w="60"/>
              <w:left w:type="dxa" w:w="90"/>
              <w:bottom w:type="dxa" w:w="60"/>
              <w:right w:type="dxa" w:w="90"/>
            </w:tcMar>
            <w:vAlign w:val="center"/>
          </w:tcPr>
          <w:p>
            <w:pPr>
              <w:jc w:val="left"/>
            </w:pPr>
            <w:r>
              <w:rPr>
                <w:b w:val="false"/>
                <w:bCs w:val="false"/>
                <w:color w:val="222222"/>
                <w:sz w:val="19"/>
                <w:szCs w:val="19"/>
              </w:rPr>
              <w:t xml:space="preserve">Same rationale; keeps a student's full result history on one shard</w:t>
            </w:r>
          </w:p>
        </w:tc>
      </w:tr>
      <w:tr>
        <w:tc>
          <w:tcPr>
            <w:tcW w:type="dxa" w:w="2600"/>
            <w:tcMar>
              <w:top w:type="dxa" w:w="60"/>
              <w:left w:type="dxa" w:w="90"/>
              <w:bottom w:type="dxa" w:w="60"/>
              <w:right w:type="dxa" w:w="90"/>
            </w:tcMar>
            <w:vAlign w:val="center"/>
          </w:tcPr>
          <w:p>
            <w:pPr>
              <w:jc w:val="left"/>
            </w:pPr>
            <w:r>
              <w:rPr>
                <w:b w:val="false"/>
                <w:bCs w:val="false"/>
                <w:color w:val="222222"/>
                <w:sz w:val="19"/>
                <w:szCs w:val="19"/>
              </w:rPr>
              <w:t xml:space="preserve">fee_invoices / fee_receipts</w:t>
            </w:r>
          </w:p>
        </w:tc>
        <w:tc>
          <w:tcPr>
            <w:tcW w:type="dxa" w:w="3200"/>
            <w:tcMar>
              <w:top w:type="dxa" w:w="60"/>
              <w:left w:type="dxa" w:w="90"/>
              <w:bottom w:type="dxa" w:w="60"/>
              <w:right w:type="dxa" w:w="90"/>
            </w:tcMar>
            <w:vAlign w:val="center"/>
          </w:tcPr>
          <w:p>
            <w:pPr>
              <w:jc w:val="left"/>
            </w:pPr>
            <w:r>
              <w:rPr>
                <w:b w:val="false"/>
                <w:bCs w:val="false"/>
                <w:color w:val="222222"/>
                <w:sz w:val="19"/>
                <w:szCs w:val="19"/>
              </w:rPr>
              <w:t xml:space="preserve">{institution_id, student_id}</w:t>
            </w:r>
          </w:p>
        </w:tc>
        <w:tc>
          <w:tcPr>
            <w:tcW w:type="dxa" w:w="3200"/>
            <w:tcMar>
              <w:top w:type="dxa" w:w="60"/>
              <w:left w:type="dxa" w:w="90"/>
              <w:bottom w:type="dxa" w:w="60"/>
              <w:right w:type="dxa" w:w="90"/>
            </w:tcMar>
            <w:vAlign w:val="center"/>
          </w:tcPr>
          <w:p>
            <w:pPr>
              <w:jc w:val="left"/>
            </w:pPr>
            <w:r>
              <w:rPr>
                <w:b w:val="false"/>
                <w:bCs w:val="false"/>
                <w:color w:val="222222"/>
                <w:sz w:val="19"/>
                <w:szCs w:val="19"/>
              </w:rPr>
              <w:t xml:space="preserve">Co-locates a student's financial ledger for transaction locality</w:t>
            </w:r>
          </w:p>
        </w:tc>
      </w:tr>
      <w:tr>
        <w:tc>
          <w:tcPr>
            <w:tcW w:type="dxa" w:w="2600"/>
            <w:tcMar>
              <w:top w:type="dxa" w:w="60"/>
              <w:left w:type="dxa" w:w="90"/>
              <w:bottom w:type="dxa" w:w="60"/>
              <w:right w:type="dxa" w:w="90"/>
            </w:tcMar>
            <w:vAlign w:val="center"/>
          </w:tcPr>
          <w:p>
            <w:pPr>
              <w:jc w:val="left"/>
            </w:pPr>
            <w:r>
              <w:rPr>
                <w:b w:val="false"/>
                <w:bCs w:val="false"/>
                <w:color w:val="222222"/>
                <w:sz w:val="19"/>
                <w:szCs w:val="19"/>
              </w:rPr>
              <w:t xml:space="preserve">audit_logs</w:t>
            </w:r>
          </w:p>
        </w:tc>
        <w:tc>
          <w:tcPr>
            <w:tcW w:type="dxa" w:w="3200"/>
            <w:tcMar>
              <w:top w:type="dxa" w:w="60"/>
              <w:left w:type="dxa" w:w="90"/>
              <w:bottom w:type="dxa" w:w="60"/>
              <w:right w:type="dxa" w:w="90"/>
            </w:tcMar>
            <w:vAlign w:val="center"/>
          </w:tcPr>
          <w:p>
            <w:pPr>
              <w:jc w:val="left"/>
            </w:pPr>
            <w:r>
              <w:rPr>
                <w:b w:val="false"/>
                <w:bCs w:val="false"/>
                <w:color w:val="222222"/>
                <w:sz w:val="19"/>
                <w:szCs w:val="19"/>
              </w:rPr>
              <w:t xml:space="preserve">{institution_id, occurred_at}</w:t>
            </w:r>
          </w:p>
        </w:tc>
        <w:tc>
          <w:tcPr>
            <w:tcW w:type="dxa" w:w="3200"/>
            <w:tcMar>
              <w:top w:type="dxa" w:w="60"/>
              <w:left w:type="dxa" w:w="90"/>
              <w:bottom w:type="dxa" w:w="60"/>
              <w:right w:type="dxa" w:w="90"/>
            </w:tcMar>
            <w:vAlign w:val="center"/>
          </w:tcPr>
          <w:p>
            <w:pPr>
              <w:jc w:val="left"/>
            </w:pPr>
            <w:r>
              <w:rPr>
                <w:b w:val="false"/>
                <w:bCs w:val="false"/>
                <w:color w:val="222222"/>
                <w:sz w:val="19"/>
                <w:szCs w:val="19"/>
              </w:rPr>
              <w:t xml:space="preserve">Time-ordered, hashed on institution_id to avoid a monotonically-increasing single-shard hotspot; occurred_at supports range scans for retention/archival jobs</w:t>
            </w:r>
          </w:p>
        </w:tc>
      </w:tr>
      <w:tr>
        <w:tc>
          <w:tcPr>
            <w:tcW w:type="dxa" w:w="2600"/>
            <w:tcMar>
              <w:top w:type="dxa" w:w="60"/>
              <w:left w:type="dxa" w:w="90"/>
              <w:bottom w:type="dxa" w:w="60"/>
              <w:right w:type="dxa" w:w="90"/>
            </w:tcMar>
            <w:vAlign w:val="center"/>
          </w:tcPr>
          <w:p>
            <w:pPr>
              <w:jc w:val="left"/>
            </w:pPr>
            <w:r>
              <w:rPr>
                <w:b w:val="false"/>
                <w:bCs w:val="false"/>
                <w:color w:val="222222"/>
                <w:sz w:val="19"/>
                <w:szCs w:val="19"/>
              </w:rPr>
              <w:t xml:space="preserve">users</w:t>
            </w:r>
          </w:p>
        </w:tc>
        <w:tc>
          <w:tcPr>
            <w:tcW w:type="dxa" w:w="3200"/>
            <w:tcMar>
              <w:top w:type="dxa" w:w="60"/>
              <w:left w:type="dxa" w:w="90"/>
              <w:bottom w:type="dxa" w:w="60"/>
              <w:right w:type="dxa" w:w="90"/>
            </w:tcMar>
            <w:vAlign w:val="center"/>
          </w:tcPr>
          <w:p>
            <w:pPr>
              <w:jc w:val="left"/>
            </w:pPr>
            <w:r>
              <w:rPr>
                <w:b w:val="false"/>
                <w:bCs w:val="false"/>
                <w:color w:val="222222"/>
                <w:sz w:val="19"/>
                <w:szCs w:val="19"/>
              </w:rPr>
              <w:t xml:space="preserve">{institution_id, _id}</w:t>
            </w:r>
          </w:p>
        </w:tc>
        <w:tc>
          <w:tcPr>
            <w:tcW w:type="dxa" w:w="3200"/>
            <w:tcMar>
              <w:top w:type="dxa" w:w="60"/>
              <w:left w:type="dxa" w:w="90"/>
              <w:bottom w:type="dxa" w:w="60"/>
              <w:right w:type="dxa" w:w="90"/>
            </w:tcMar>
            <w:vAlign w:val="center"/>
          </w:tcPr>
          <w:p>
            <w:pPr>
              <w:jc w:val="left"/>
            </w:pPr>
            <w:r>
              <w:rPr>
                <w:b w:val="false"/>
                <w:bCs w:val="false"/>
                <w:color w:val="222222"/>
                <w:sz w:val="19"/>
                <w:szCs w:val="19"/>
              </w:rPr>
              <w:t xml:space="preserve">Lower volume; institution_id alone would still be too coarse at platform scale, hashed _id suffix avoids hotspotting on large-institution onboarding bursts</w:t>
            </w:r>
          </w:p>
        </w:tc>
      </w:tr>
    </w:tbl>
    <w:p>
      <w:pPr>
        <w:pStyle w:val="Heading2"/>
        <w:spacing w:after="150" w:before="300"/>
      </w:pPr>
      <w:r>
        <w:rPr>
          <w:b/>
          <w:bCs/>
          <w:color w:val="0F1C3D"/>
          <w:sz w:val="24"/>
          <w:szCs w:val="24"/>
        </w:rPr>
        <w:t xml:space="preserve">10.2 Zone Sharding for Multi-Institution Isolation</w:t>
      </w:r>
    </w:p>
    <w:p>
      <w:pPr>
        <w:pStyle w:val="ListParagraph"/>
        <w:numPr>
          <w:ilvl w:val="0"/>
          <w:numId w:val="2"/>
        </w:numPr>
        <w:spacing w:after="60"/>
      </w:pPr>
      <w:r>
        <w:rPr>
          <w:color w:val="222222"/>
          <w:sz w:val="21"/>
          <w:szCs w:val="21"/>
        </w:rPr>
        <w:t xml:space="preserve">Shards are grouped into zones (e.g. zone: 'IN-South', zone: 'IN-North', zone: 'dedicated-&lt;large-tenant&gt;'); each institution_id range is tagged to a zone via sh.updateZoneKeyRange().</w:t>
      </w:r>
    </w:p>
    <w:p>
      <w:pPr>
        <w:pStyle w:val="ListParagraph"/>
        <w:numPr>
          <w:ilvl w:val="0"/>
          <w:numId w:val="2"/>
        </w:numPr>
        <w:spacing w:after="60"/>
      </w:pPr>
      <w:r>
        <w:rPr>
          <w:color w:val="222222"/>
          <w:sz w:val="21"/>
          <w:szCs w:val="21"/>
        </w:rPr>
        <w:t xml:space="preserve">This gives large or regulated tenants dedicated shard capacity without a separate cluster, and lets the Tenant Resolver route by geography for latency.</w:t>
      </w:r>
    </w:p>
    <w:p>
      <w:pPr>
        <w:pStyle w:val="Heading2"/>
        <w:spacing w:after="150" w:before="300"/>
      </w:pPr>
      <w:r>
        <w:rPr>
          <w:b/>
          <w:bCs/>
          <w:color w:val="0F1C3D"/>
          <w:sz w:val="24"/>
          <w:szCs w:val="24"/>
        </w:rPr>
        <w:t xml:space="preserve">10.3 Replication</w:t>
      </w:r>
    </w:p>
    <w:p>
      <w:pPr>
        <w:pStyle w:val="ListParagraph"/>
        <w:numPr>
          <w:ilvl w:val="0"/>
          <w:numId w:val="2"/>
        </w:numPr>
        <w:spacing w:after="60"/>
      </w:pPr>
      <w:r>
        <w:rPr>
          <w:color w:val="222222"/>
          <w:sz w:val="21"/>
          <w:szCs w:val="21"/>
        </w:rPr>
        <w:t xml:space="preserve">Every shard is itself a 3-node (minimum) replica set: 1 Primary + 2 Secondaries, with writeConcern: majority for all financial and audit writes, and readConcern: majority for any read feeding a financial decision (fee balance checks, payroll).</w:t>
      </w:r>
    </w:p>
    <w:p>
      <w:pPr>
        <w:pStyle w:val="ListParagraph"/>
        <w:numPr>
          <w:ilvl w:val="0"/>
          <w:numId w:val="2"/>
        </w:numPr>
        <w:spacing w:after="60"/>
      </w:pPr>
      <w:r>
        <w:rPr>
          <w:color w:val="222222"/>
          <w:sz w:val="21"/>
          <w:szCs w:val="21"/>
        </w:rPr>
        <w:t xml:space="preserve">A dedicated hidden Secondary (priority: 0, votes: 0) on the primary transactional shards serves as the Analytics Node, absorbing Insight Engine / reporting queries so they never contend with OLTP traffic on the Primary.</w:t>
      </w:r>
    </w:p>
    <w:p>
      <w:pPr>
        <w:pStyle w:val="ListParagraph"/>
        <w:numPr>
          <w:ilvl w:val="0"/>
          <w:numId w:val="2"/>
        </w:numPr>
        <w:spacing w:after="60"/>
      </w:pPr>
      <w:r>
        <w:rPr>
          <w:color w:val="222222"/>
          <w:sz w:val="21"/>
          <w:szCs w:val="21"/>
        </w:rPr>
        <w:t xml:space="preserve">Read preference defaults to primaryPreferred for module APIs and secondary/secondaryPreferred for the Insight Engine, Analytics dashboards, and the Elasticsearch/Vector DB sync consumers.</w:t>
      </w:r>
    </w:p>
    <w:p>
      <w:r>
        <w:br w:type="page"/>
      </w:r>
    </w:p>
    <w:p>
      <w:pPr>
        <w:pStyle w:val="Heading1"/>
        <w:pBdr>
          <w:bottom w:val="single" w:color="1B2A55" w:sz="12" w:space="4"/>
        </w:pBdr>
        <w:spacing w:after="200" w:before="400"/>
      </w:pPr>
      <w:r>
        <w:rPr>
          <w:b/>
          <w:bCs/>
          <w:color w:val="1B2A55"/>
          <w:sz w:val="30"/>
          <w:szCs w:val="30"/>
        </w:rPr>
        <w:t xml:space="preserve">11. Data Consistency &amp; Transaction Patterns</w:t>
      </w:r>
    </w:p>
    <w:p>
      <w:pPr>
        <w:pStyle w:val="Heading2"/>
        <w:spacing w:after="150" w:before="300"/>
      </w:pPr>
      <w:r>
        <w:rPr>
          <w:b/>
          <w:bCs/>
          <w:color w:val="0F1C3D"/>
          <w:sz w:val="24"/>
          <w:szCs w:val="24"/>
        </w:rPr>
        <w:t xml:space="preserve">11.1 When to Use a Multi-Document Transaction</w:t>
      </w:r>
    </w:p>
    <w:p>
      <w:pPr>
        <w:spacing w:after="140" w:line="276"/>
      </w:pPr>
      <w:r>
        <w:rPr>
          <w:color w:val="222222"/>
          <w:sz w:val="21"/>
          <w:szCs w:val="21"/>
        </w:rPr>
        <w:t xml:space="preserve">Transactions are used only for writes within a single module's collections where an invariant would otherwise be violatable (money, seat capacity, published results). Cross-module consequences are handled via the event-driven saga pattern instead, matching the platform's Event Bus / Workflow Engine layer.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4800"/>
      </w:tblGrid>
      <w:tr>
        <w:trPr>
          <w:tblHeader/>
        </w:trPr>
        <w:tc>
          <w:tcPr>
            <w:tcW w:type="dxa" w:w="4200"/>
            <w:shd w:fill="1B2A55" w:val="clear"/>
            <w:tcMar>
              <w:top w:type="dxa" w:w="60"/>
              <w:left w:type="dxa" w:w="90"/>
              <w:bottom w:type="dxa" w:w="60"/>
              <w:right w:type="dxa" w:w="90"/>
            </w:tcMar>
            <w:vAlign w:val="center"/>
          </w:tcPr>
          <w:p>
            <w:pPr>
              <w:jc w:val="left"/>
            </w:pPr>
            <w:r>
              <w:rPr>
                <w:b/>
                <w:bCs/>
                <w:color w:val="FFFFFF"/>
                <w:sz w:val="19"/>
                <w:szCs w:val="19"/>
              </w:rPr>
              <w:t xml:space="preserve">Scenario</w:t>
            </w:r>
          </w:p>
        </w:tc>
        <w:tc>
          <w:tcPr>
            <w:tcW w:type="dxa" w:w="4800"/>
            <w:shd w:fill="1B2A55" w:val="clear"/>
            <w:tcMar>
              <w:top w:type="dxa" w:w="60"/>
              <w:left w:type="dxa" w:w="90"/>
              <w:bottom w:type="dxa" w:w="60"/>
              <w:right w:type="dxa" w:w="90"/>
            </w:tcMar>
            <w:vAlign w:val="center"/>
          </w:tcPr>
          <w:p>
            <w:pPr>
              <w:jc w:val="left"/>
            </w:pPr>
            <w:r>
              <w:rPr>
                <w:b/>
                <w:bCs/>
                <w:color w:val="FFFFFF"/>
                <w:sz w:val="19"/>
                <w:szCs w:val="19"/>
              </w:rPr>
              <w:t xml:space="preserve">Consistency Pattern</w:t>
            </w:r>
          </w:p>
        </w:tc>
      </w:tr>
      <w:tr>
        <w:tc>
          <w:tcPr>
            <w:tcW w:type="dxa" w:w="4200"/>
            <w:tcMar>
              <w:top w:type="dxa" w:w="60"/>
              <w:left w:type="dxa" w:w="90"/>
              <w:bottom w:type="dxa" w:w="60"/>
              <w:right w:type="dxa" w:w="90"/>
            </w:tcMar>
            <w:vAlign w:val="center"/>
          </w:tcPr>
          <w:p>
            <w:pPr>
              <w:jc w:val="left"/>
            </w:pPr>
            <w:r>
              <w:rPr>
                <w:b w:val="false"/>
                <w:bCs w:val="false"/>
                <w:color w:val="222222"/>
                <w:sz w:val="19"/>
                <w:szCs w:val="19"/>
              </w:rPr>
              <w:t xml:space="preserve">Fee payment (invoice update + receipt insert)</w:t>
            </w:r>
          </w:p>
        </w:tc>
        <w:tc>
          <w:tcPr>
            <w:tcW w:type="dxa" w:w="4800"/>
            <w:tcMar>
              <w:top w:type="dxa" w:w="60"/>
              <w:left w:type="dxa" w:w="90"/>
              <w:bottom w:type="dxa" w:w="60"/>
              <w:right w:type="dxa" w:w="90"/>
            </w:tcMar>
            <w:vAlign w:val="center"/>
          </w:tcPr>
          <w:p>
            <w:pPr>
              <w:jc w:val="left"/>
            </w:pPr>
            <w:r>
              <w:rPr>
                <w:b w:val="false"/>
                <w:bCs w:val="false"/>
                <w:color w:val="222222"/>
                <w:sz w:val="19"/>
                <w:szCs w:val="19"/>
              </w:rPr>
              <w:t xml:space="preserve">ACID transaction, single module (Finance)</w:t>
            </w:r>
          </w:p>
        </w:tc>
      </w:tr>
      <w:tr>
        <w:tc>
          <w:tcPr>
            <w:tcW w:type="dxa" w:w="4200"/>
            <w:tcMar>
              <w:top w:type="dxa" w:w="60"/>
              <w:left w:type="dxa" w:w="90"/>
              <w:bottom w:type="dxa" w:w="60"/>
              <w:right w:type="dxa" w:w="90"/>
            </w:tcMar>
            <w:vAlign w:val="center"/>
          </w:tcPr>
          <w:p>
            <w:pPr>
              <w:jc w:val="left"/>
            </w:pPr>
            <w:r>
              <w:rPr>
                <w:b w:val="false"/>
                <w:bCs w:val="false"/>
                <w:color w:val="222222"/>
                <w:sz w:val="19"/>
                <w:szCs w:val="19"/>
              </w:rPr>
              <w:t xml:space="preserve">Enrollment + auto-generated invoice</w:t>
            </w:r>
          </w:p>
        </w:tc>
        <w:tc>
          <w:tcPr>
            <w:tcW w:type="dxa" w:w="4800"/>
            <w:tcMar>
              <w:top w:type="dxa" w:w="60"/>
              <w:left w:type="dxa" w:w="90"/>
              <w:bottom w:type="dxa" w:w="60"/>
              <w:right w:type="dxa" w:w="90"/>
            </w:tcMar>
            <w:vAlign w:val="center"/>
          </w:tcPr>
          <w:p>
            <w:pPr>
              <w:jc w:val="left"/>
            </w:pPr>
            <w:r>
              <w:rPr>
                <w:b w:val="false"/>
                <w:bCs w:val="false"/>
                <w:color w:val="222222"/>
                <w:sz w:val="19"/>
                <w:szCs w:val="19"/>
              </w:rPr>
              <w:t xml:space="preserve">ACID transaction spanning enrollments + fee_invoices (both owned conceptually by the same write path; see Section 8.1)</w:t>
            </w:r>
          </w:p>
        </w:tc>
      </w:tr>
      <w:tr>
        <w:tc>
          <w:tcPr>
            <w:tcW w:type="dxa" w:w="4200"/>
            <w:tcMar>
              <w:top w:type="dxa" w:w="60"/>
              <w:left w:type="dxa" w:w="90"/>
              <w:bottom w:type="dxa" w:w="60"/>
              <w:right w:type="dxa" w:w="90"/>
            </w:tcMar>
            <w:vAlign w:val="center"/>
          </w:tcPr>
          <w:p>
            <w:pPr>
              <w:jc w:val="left"/>
            </w:pPr>
            <w:r>
              <w:rPr>
                <w:b w:val="false"/>
                <w:bCs w:val="false"/>
                <w:color w:val="222222"/>
                <w:sz w:val="19"/>
                <w:szCs w:val="19"/>
              </w:rPr>
              <w:t xml:space="preserve">Fee paid → enrollment activated</w:t>
            </w:r>
          </w:p>
        </w:tc>
        <w:tc>
          <w:tcPr>
            <w:tcW w:type="dxa" w:w="4800"/>
            <w:tcMar>
              <w:top w:type="dxa" w:w="60"/>
              <w:left w:type="dxa" w:w="90"/>
              <w:bottom w:type="dxa" w:w="60"/>
              <w:right w:type="dxa" w:w="90"/>
            </w:tcMar>
            <w:vAlign w:val="center"/>
          </w:tcPr>
          <w:p>
            <w:pPr>
              <w:jc w:val="left"/>
            </w:pPr>
            <w:r>
              <w:rPr>
                <w:b w:val="false"/>
                <w:bCs w:val="false"/>
                <w:color w:val="222222"/>
                <w:sz w:val="19"/>
                <w:szCs w:val="19"/>
              </w:rPr>
              <w:t xml:space="preserve">Saga via Kafka event (FeePaid consumed by Academic Management) — eventual consistency, retried with an outbox-pattern guarantee</w:t>
            </w:r>
          </w:p>
        </w:tc>
      </w:tr>
      <w:tr>
        <w:tc>
          <w:tcPr>
            <w:tcW w:type="dxa" w:w="4200"/>
            <w:tcMar>
              <w:top w:type="dxa" w:w="60"/>
              <w:left w:type="dxa" w:w="90"/>
              <w:bottom w:type="dxa" w:w="60"/>
              <w:right w:type="dxa" w:w="90"/>
            </w:tcMar>
            <w:vAlign w:val="center"/>
          </w:tcPr>
          <w:p>
            <w:pPr>
              <w:jc w:val="left"/>
            </w:pPr>
            <w:r>
              <w:rPr>
                <w:b w:val="false"/>
                <w:bCs w:val="false"/>
                <w:color w:val="222222"/>
                <w:sz w:val="19"/>
                <w:szCs w:val="19"/>
              </w:rPr>
              <w:t xml:space="preserve">Exam result published → transcript/eligibility update</w:t>
            </w:r>
          </w:p>
        </w:tc>
        <w:tc>
          <w:tcPr>
            <w:tcW w:type="dxa" w:w="4800"/>
            <w:tcMar>
              <w:top w:type="dxa" w:w="60"/>
              <w:left w:type="dxa" w:w="90"/>
              <w:bottom w:type="dxa" w:w="60"/>
              <w:right w:type="dxa" w:w="90"/>
            </w:tcMar>
            <w:vAlign w:val="center"/>
          </w:tcPr>
          <w:p>
            <w:pPr>
              <w:jc w:val="left"/>
            </w:pPr>
            <w:r>
              <w:rPr>
                <w:b w:val="false"/>
                <w:bCs w:val="false"/>
                <w:color w:val="222222"/>
                <w:sz w:val="19"/>
                <w:szCs w:val="19"/>
              </w:rPr>
              <w:t xml:space="preserve">Saga via Kafka event, consumed by Placement (eligibility) and Alumni (transcript) modules</w:t>
            </w:r>
          </w:p>
        </w:tc>
      </w:tr>
      <w:tr>
        <w:tc>
          <w:tcPr>
            <w:tcW w:type="dxa" w:w="4200"/>
            <w:tcMar>
              <w:top w:type="dxa" w:w="60"/>
              <w:left w:type="dxa" w:w="90"/>
              <w:bottom w:type="dxa" w:w="60"/>
              <w:right w:type="dxa" w:w="90"/>
            </w:tcMar>
            <w:vAlign w:val="center"/>
          </w:tcPr>
          <w:p>
            <w:pPr>
              <w:jc w:val="left"/>
            </w:pPr>
            <w:r>
              <w:rPr>
                <w:b w:val="false"/>
                <w:bCs w:val="false"/>
                <w:color w:val="222222"/>
                <w:sz w:val="19"/>
                <w:szCs w:val="19"/>
              </w:rPr>
              <w:t xml:space="preserve">Role granted → permission cache invalidation</w:t>
            </w:r>
          </w:p>
        </w:tc>
        <w:tc>
          <w:tcPr>
            <w:tcW w:type="dxa" w:w="4800"/>
            <w:tcMar>
              <w:top w:type="dxa" w:w="60"/>
              <w:left w:type="dxa" w:w="90"/>
              <w:bottom w:type="dxa" w:w="60"/>
              <w:right w:type="dxa" w:w="90"/>
            </w:tcMar>
            <w:vAlign w:val="center"/>
          </w:tcPr>
          <w:p>
            <w:pPr>
              <w:jc w:val="left"/>
            </w:pPr>
            <w:r>
              <w:rPr>
                <w:b w:val="false"/>
                <w:bCs w:val="false"/>
                <w:color w:val="222222"/>
                <w:sz w:val="19"/>
                <w:szCs w:val="19"/>
              </w:rPr>
              <w:t xml:space="preserve">Saga via Kafka event, consumed by the Authorization layer to bust the Redis permission cache</w:t>
            </w:r>
          </w:p>
        </w:tc>
      </w:tr>
    </w:tbl>
    <w:p>
      <w:pPr>
        <w:pStyle w:val="Heading2"/>
        <w:spacing w:after="150" w:before="300"/>
      </w:pPr>
      <w:r>
        <w:rPr>
          <w:b/>
          <w:bCs/>
          <w:color w:val="0F1C3D"/>
          <w:sz w:val="24"/>
          <w:szCs w:val="24"/>
        </w:rPr>
        <w:t xml:space="preserve">11.2 Outbox Pattern for Reliable Event Publication</w:t>
      </w:r>
    </w:p>
    <w:p>
      <w:pPr>
        <w:pStyle w:val="ListParagraph"/>
        <w:numPr>
          <w:ilvl w:val="0"/>
          <w:numId w:val="2"/>
        </w:numPr>
        <w:spacing w:after="60"/>
      </w:pPr>
      <w:r>
        <w:rPr>
          <w:color w:val="222222"/>
          <w:sz w:val="21"/>
          <w:szCs w:val="21"/>
        </w:rPr>
        <w:t xml:space="preserve">Rather than publishing to Kafka directly inside application code (which can fail silently after a DB commit), each module writes a small outbox_events collection entry inside the same transaction as its business write.</w:t>
      </w:r>
    </w:p>
    <w:p>
      <w:pPr>
        <w:pStyle w:val="ListParagraph"/>
        <w:numPr>
          <w:ilvl w:val="0"/>
          <w:numId w:val="2"/>
        </w:numPr>
        <w:spacing w:after="60"/>
      </w:pPr>
      <w:r>
        <w:rPr>
          <w:color w:val="222222"/>
          <w:sz w:val="21"/>
          <w:szCs w:val="21"/>
        </w:rPr>
        <w:t xml:space="preserve">A change-stream-driven relay process tails outbox_events and publishes to Kafka, then marks the entry published — guaranteeing at-least-once delivery without losing events on a mid-write crash.</w:t>
      </w:r>
    </w:p>
    <w:p>
      <w:r>
        <w:br w:type="page"/>
      </w:r>
    </w:p>
    <w:p>
      <w:pPr>
        <w:pStyle w:val="Heading1"/>
        <w:pBdr>
          <w:bottom w:val="single" w:color="1B2A55" w:sz="12" w:space="4"/>
        </w:pBdr>
        <w:spacing w:after="200" w:before="400"/>
      </w:pPr>
      <w:r>
        <w:rPr>
          <w:b/>
          <w:bCs/>
          <w:color w:val="1B2A55"/>
          <w:sz w:val="30"/>
          <w:szCs w:val="30"/>
        </w:rPr>
        <w:t xml:space="preserve">12. Integration with Redis, Elasticsearch, Vector DB &amp; Object Storage</w:t>
      </w:r>
    </w:p>
    <w:p>
      <w:pPr>
        <w:spacing w:after="140" w:line="276"/>
      </w:pPr>
      <w:r>
        <w:rPr>
          <w:color w:val="222222"/>
          <w:sz w:val="21"/>
          <w:szCs w:val="21"/>
        </w:rPr>
        <w:t xml:space="preserve">MongoDB remains the single source of truth; every other data-layer component is a derived, resyncable view fed by MongoDB Change Streams, matching the Data &amp; Integration Layer in the source architecture.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00"/>
      </w:tblGrid>
      <w:tr>
        <w:trPr>
          <w:tblHeader/>
        </w:trPr>
        <w:tc>
          <w:tcPr>
            <w:tcW w:type="dxa" w:w="2200"/>
            <w:shd w:fill="1B2A55" w:val="clear"/>
            <w:tcMar>
              <w:top w:type="dxa" w:w="60"/>
              <w:left w:type="dxa" w:w="90"/>
              <w:bottom w:type="dxa" w:w="60"/>
              <w:right w:type="dxa" w:w="90"/>
            </w:tcMar>
            <w:vAlign w:val="center"/>
          </w:tcPr>
          <w:p>
            <w:pPr>
              <w:jc w:val="left"/>
            </w:pPr>
            <w:r>
              <w:rPr>
                <w:b/>
                <w:bCs/>
                <w:color w:val="FFFFFF"/>
                <w:sz w:val="19"/>
                <w:szCs w:val="19"/>
              </w:rPr>
              <w:t xml:space="preserve">Component</w:t>
            </w:r>
          </w:p>
        </w:tc>
        <w:tc>
          <w:tcPr>
            <w:tcW w:type="dxa" w:w="3400"/>
            <w:shd w:fill="1B2A55" w:val="clear"/>
            <w:tcMar>
              <w:top w:type="dxa" w:w="60"/>
              <w:left w:type="dxa" w:w="90"/>
              <w:bottom w:type="dxa" w:w="60"/>
              <w:right w:type="dxa" w:w="90"/>
            </w:tcMar>
            <w:vAlign w:val="center"/>
          </w:tcPr>
          <w:p>
            <w:pPr>
              <w:jc w:val="left"/>
            </w:pPr>
            <w:r>
              <w:rPr>
                <w:b/>
                <w:bCs/>
                <w:color w:val="FFFFFF"/>
                <w:sz w:val="19"/>
                <w:szCs w:val="19"/>
              </w:rPr>
              <w:t xml:space="preserve">What Syncs From MongoDB</w:t>
            </w:r>
          </w:p>
        </w:tc>
        <w:tc>
          <w:tcPr>
            <w:tcW w:type="dxa" w:w="3400"/>
            <w:shd w:fill="1B2A55" w:val="clear"/>
            <w:tcMar>
              <w:top w:type="dxa" w:w="60"/>
              <w:left w:type="dxa" w:w="90"/>
              <w:bottom w:type="dxa" w:w="60"/>
              <w:right w:type="dxa" w:w="90"/>
            </w:tcMar>
            <w:vAlign w:val="center"/>
          </w:tcPr>
          <w:p>
            <w:pPr>
              <w:jc w:val="left"/>
            </w:pPr>
            <w:r>
              <w:rPr>
                <w:b/>
                <w:bCs/>
                <w:color w:val="FFFFFF"/>
                <w:sz w:val="19"/>
                <w:szCs w:val="19"/>
              </w:rPr>
              <w:t xml:space="preserve">Sync Mechanism</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Redis</w:t>
            </w:r>
          </w:p>
        </w:tc>
        <w:tc>
          <w:tcPr>
            <w:tcW w:type="dxa" w:w="3400"/>
            <w:tcMar>
              <w:top w:type="dxa" w:w="60"/>
              <w:left w:type="dxa" w:w="90"/>
              <w:bottom w:type="dxa" w:w="60"/>
              <w:right w:type="dxa" w:w="90"/>
            </w:tcMar>
            <w:vAlign w:val="center"/>
          </w:tcPr>
          <w:p>
            <w:pPr>
              <w:jc w:val="left"/>
            </w:pPr>
            <w:r>
              <w:rPr>
                <w:b w:val="false"/>
                <w:bCs w:val="false"/>
                <w:color w:val="222222"/>
                <w:sz w:val="19"/>
                <w:szCs w:val="19"/>
              </w:rPr>
              <w:t xml:space="preserve">Session data, resolved RBAC permissions, hot-path caches (fee balance, seat availability), rate-limit counters</w:t>
            </w:r>
          </w:p>
        </w:tc>
        <w:tc>
          <w:tcPr>
            <w:tcW w:type="dxa" w:w="3400"/>
            <w:tcMar>
              <w:top w:type="dxa" w:w="60"/>
              <w:left w:type="dxa" w:w="90"/>
              <w:bottom w:type="dxa" w:w="60"/>
              <w:right w:type="dxa" w:w="90"/>
            </w:tcMar>
            <w:vAlign w:val="center"/>
          </w:tcPr>
          <w:p>
            <w:pPr>
              <w:jc w:val="left"/>
            </w:pPr>
            <w:r>
              <w:rPr>
                <w:b w:val="false"/>
                <w:bCs w:val="false"/>
                <w:color w:val="222222"/>
                <w:sz w:val="19"/>
                <w:szCs w:val="19"/>
              </w:rPr>
              <w:t xml:space="preserve">Write-through on the API layer + cache-invalidation events consumed from Kafka on relevant changes</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Elasticsearch</w:t>
            </w:r>
          </w:p>
        </w:tc>
        <w:tc>
          <w:tcPr>
            <w:tcW w:type="dxa" w:w="3400"/>
            <w:tcMar>
              <w:top w:type="dxa" w:w="60"/>
              <w:left w:type="dxa" w:w="90"/>
              <w:bottom w:type="dxa" w:w="60"/>
              <w:right w:type="dxa" w:w="90"/>
            </w:tcMar>
            <w:vAlign w:val="center"/>
          </w:tcPr>
          <w:p>
            <w:pPr>
              <w:jc w:val="left"/>
            </w:pPr>
            <w:r>
              <w:rPr>
                <w:b w:val="false"/>
                <w:bCs w:val="false"/>
                <w:color w:val="222222"/>
                <w:sz w:val="19"/>
                <w:szCs w:val="19"/>
              </w:rPr>
              <w:t xml:space="preserve">Full-text/faceted search indexes: course catalog, question banks, library catalog, announcements, alumni directory</w:t>
            </w:r>
          </w:p>
        </w:tc>
        <w:tc>
          <w:tcPr>
            <w:tcW w:type="dxa" w:w="3400"/>
            <w:tcMar>
              <w:top w:type="dxa" w:w="60"/>
              <w:left w:type="dxa" w:w="90"/>
              <w:bottom w:type="dxa" w:w="60"/>
              <w:right w:type="dxa" w:w="90"/>
            </w:tcMar>
            <w:vAlign w:val="center"/>
          </w:tcPr>
          <w:p>
            <w:pPr>
              <w:jc w:val="left"/>
            </w:pPr>
            <w:r>
              <w:rPr>
                <w:b w:val="false"/>
                <w:bCs w:val="false"/>
                <w:color w:val="222222"/>
                <w:sz w:val="19"/>
                <w:szCs w:val="19"/>
              </w:rPr>
              <w:t xml:space="preserve">Change Streams → CDC consumer → bulk index API; near-real-time (seconds)</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Vector Database</w:t>
            </w:r>
          </w:p>
        </w:tc>
        <w:tc>
          <w:tcPr>
            <w:tcW w:type="dxa" w:w="3400"/>
            <w:tcMar>
              <w:top w:type="dxa" w:w="60"/>
              <w:left w:type="dxa" w:w="90"/>
              <w:bottom w:type="dxa" w:w="60"/>
              <w:right w:type="dxa" w:w="90"/>
            </w:tcMar>
            <w:vAlign w:val="center"/>
          </w:tcPr>
          <w:p>
            <w:pPr>
              <w:jc w:val="left"/>
            </w:pPr>
            <w:r>
              <w:rPr>
                <w:b w:val="false"/>
                <w:bCs w:val="false"/>
                <w:color w:val="222222"/>
                <w:sz w:val="19"/>
                <w:szCs w:val="19"/>
              </w:rPr>
              <w:t xml:space="preserve">Embeddings for AI Agents / Insight Engine: course descriptions, LMS content, placement job descriptions, knowledge-graph entities</w:t>
            </w:r>
          </w:p>
        </w:tc>
        <w:tc>
          <w:tcPr>
            <w:tcW w:type="dxa" w:w="3400"/>
            <w:tcMar>
              <w:top w:type="dxa" w:w="60"/>
              <w:left w:type="dxa" w:w="90"/>
              <w:bottom w:type="dxa" w:w="60"/>
              <w:right w:type="dxa" w:w="90"/>
            </w:tcMar>
            <w:vAlign w:val="center"/>
          </w:tcPr>
          <w:p>
            <w:pPr>
              <w:jc w:val="left"/>
            </w:pPr>
            <w:r>
              <w:rPr>
                <w:b w:val="false"/>
                <w:bCs w:val="false"/>
                <w:color w:val="222222"/>
                <w:sz w:val="19"/>
                <w:szCs w:val="19"/>
              </w:rPr>
              <w:t xml:space="preserve">Change Streams → embedding pipeline → upsert; batched, minutes-level latency is acceptable</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Object Storage (S3-compatible)</w:t>
            </w:r>
          </w:p>
        </w:tc>
        <w:tc>
          <w:tcPr>
            <w:tcW w:type="dxa" w:w="3400"/>
            <w:tcMar>
              <w:top w:type="dxa" w:w="60"/>
              <w:left w:type="dxa" w:w="90"/>
              <w:bottom w:type="dxa" w:w="60"/>
              <w:right w:type="dxa" w:w="90"/>
            </w:tcMar>
            <w:vAlign w:val="center"/>
          </w:tcPr>
          <w:p>
            <w:pPr>
              <w:jc w:val="left"/>
            </w:pPr>
            <w:r>
              <w:rPr>
                <w:b w:val="false"/>
                <w:bCs w:val="false"/>
                <w:color w:val="222222"/>
                <w:sz w:val="19"/>
                <w:szCs w:val="19"/>
              </w:rPr>
              <w:t xml:space="preserve">Actual binary files — hall tickets, certificates, receipts PDFs, LMS content assets</w:t>
            </w:r>
          </w:p>
        </w:tc>
        <w:tc>
          <w:tcPr>
            <w:tcW w:type="dxa" w:w="3400"/>
            <w:tcMar>
              <w:top w:type="dxa" w:w="60"/>
              <w:left w:type="dxa" w:w="90"/>
              <w:bottom w:type="dxa" w:w="60"/>
              <w:right w:type="dxa" w:w="90"/>
            </w:tcMar>
            <w:vAlign w:val="center"/>
          </w:tcPr>
          <w:p>
            <w:pPr>
              <w:jc w:val="left"/>
            </w:pPr>
            <w:r>
              <w:rPr>
                <w:b w:val="false"/>
                <w:bCs w:val="false"/>
                <w:color w:val="222222"/>
                <w:sz w:val="19"/>
                <w:szCs w:val="19"/>
              </w:rPr>
              <w:t xml:space="preserve">MongoDB never stores binaries; it stores {bucket, key, checksum} pointers only, per Section 5.3</w:t>
            </w:r>
          </w:p>
        </w:tc>
      </w:tr>
    </w:tbl>
    <w:p>
      <w:pPr>
        <w:pBdr>
          <w:left w:val="single" w:color="1B2A55" w:sz="18" w:space="6"/>
        </w:pBdr>
        <w:shd w:fill="EEF1F8" w:val="clear"/>
        <w:spacing w:after="200" w:before="100"/>
        <w:ind w:left="120"/>
      </w:pPr>
      <w:r>
        <w:rPr>
          <w:i/>
          <w:iCs/>
          <w:color w:val="0F1C3D"/>
          <w:sz w:val="20"/>
          <w:szCs w:val="20"/>
        </w:rPr>
        <w:t xml:space="preserve">Design note: because search and vector indexes are fully derived, they are treated as disposable — a full reindex-from-MongoDB job is a supported, tested operational runbook, not an emergency procedure.</w:t>
      </w:r>
    </w:p>
    <w:p>
      <w:r>
        <w:br w:type="page"/>
      </w:r>
    </w:p>
    <w:p>
      <w:pPr>
        <w:pStyle w:val="Heading1"/>
        <w:pBdr>
          <w:bottom w:val="single" w:color="1B2A55" w:sz="12" w:space="4"/>
        </w:pBdr>
        <w:spacing w:after="200" w:before="400"/>
      </w:pPr>
      <w:r>
        <w:rPr>
          <w:b/>
          <w:bCs/>
          <w:color w:val="1B2A55"/>
          <w:sz w:val="30"/>
          <w:szCs w:val="30"/>
        </w:rPr>
        <w:t xml:space="preserve">13. Backup, Security &amp; Compliance</w:t>
      </w:r>
    </w:p>
    <w:p>
      <w:pPr>
        <w:pStyle w:val="Heading2"/>
        <w:spacing w:after="150" w:before="300"/>
      </w:pPr>
      <w:r>
        <w:rPr>
          <w:b/>
          <w:bCs/>
          <w:color w:val="0F1C3D"/>
          <w:sz w:val="24"/>
          <w:szCs w:val="24"/>
        </w:rPr>
        <w:t xml:space="preserve">13.1 Backup &amp; Archival</w:t>
      </w:r>
    </w:p>
    <w:p>
      <w:pPr>
        <w:pStyle w:val="ListParagraph"/>
        <w:numPr>
          <w:ilvl w:val="0"/>
          <w:numId w:val="2"/>
        </w:numPr>
        <w:spacing w:after="60"/>
      </w:pPr>
      <w:r>
        <w:rPr>
          <w:color w:val="222222"/>
          <w:sz w:val="21"/>
          <w:szCs w:val="21"/>
        </w:rPr>
        <w:t xml:space="preserve">Continuous, oplog-based backups (Atlas continuous backup or equivalent) with point-in-time restore granularity of under 60 seconds for the transactional shards.</w:t>
      </w:r>
    </w:p>
    <w:p>
      <w:pPr>
        <w:pStyle w:val="ListParagraph"/>
        <w:numPr>
          <w:ilvl w:val="0"/>
          <w:numId w:val="2"/>
        </w:numPr>
        <w:spacing w:after="60"/>
      </w:pPr>
      <w:r>
        <w:rPr>
          <w:color w:val="222222"/>
          <w:sz w:val="21"/>
          <w:szCs w:val="21"/>
        </w:rPr>
        <w:t xml:space="preserve">audit_logs and exam_results (superseded revisions) are moved to the Cold-Tier/Analytics shard and ultimately to the Backup &amp; Archive object-storage tier after a configurable active-retention window, rather than being deleted — matching regulatory retention expectations for academic records.</w:t>
      </w:r>
    </w:p>
    <w:p>
      <w:pPr>
        <w:pStyle w:val="ListParagraph"/>
        <w:numPr>
          <w:ilvl w:val="0"/>
          <w:numId w:val="2"/>
        </w:numPr>
        <w:spacing w:after="60"/>
      </w:pPr>
      <w:r>
        <w:rPr>
          <w:color w:val="222222"/>
          <w:sz w:val="21"/>
          <w:szCs w:val="21"/>
        </w:rPr>
        <w:t xml:space="preserve">Quarterly restore drills into an isolated cluster validate that backups are actually restorable, not just captured.</w:t>
      </w:r>
    </w:p>
    <w:p>
      <w:pPr>
        <w:pStyle w:val="Heading2"/>
        <w:spacing w:after="150" w:before="300"/>
      </w:pPr>
      <w:r>
        <w:rPr>
          <w:b/>
          <w:bCs/>
          <w:color w:val="0F1C3D"/>
          <w:sz w:val="24"/>
          <w:szCs w:val="24"/>
        </w:rPr>
        <w:t xml:space="preserve">13.2 Security</w:t>
      </w:r>
    </w:p>
    <w:p>
      <w:pPr>
        <w:pStyle w:val="ListParagraph"/>
        <w:numPr>
          <w:ilvl w:val="0"/>
          <w:numId w:val="2"/>
        </w:numPr>
        <w:spacing w:after="60"/>
      </w:pPr>
      <w:r>
        <w:rPr>
          <w:color w:val="222222"/>
          <w:sz w:val="21"/>
          <w:szCs w:val="21"/>
        </w:rPr>
        <w:t xml:space="preserve">Encryption in transit (TLS) for all client↔mongos and mongos↔shard traffic; encryption at rest via the storage engine's native encryption or the underlying cloud volume encryption.</w:t>
      </w:r>
    </w:p>
    <w:p>
      <w:pPr>
        <w:pStyle w:val="ListParagraph"/>
        <w:numPr>
          <w:ilvl w:val="0"/>
          <w:numId w:val="2"/>
        </w:numPr>
        <w:spacing w:after="60"/>
      </w:pPr>
      <w:r>
        <w:rPr>
          <w:color w:val="222222"/>
          <w:sz w:val="21"/>
          <w:szCs w:val="21"/>
        </w:rPr>
        <w:t xml:space="preserve">Field-level (client-side) encryption for the highest-sensitivity fields — auth.password_hash is already a one-way hash; government-ID-type fields, where an institution stores them, use MongoDB Queryable Encryption so even a database-level breach does not expose plaintext.</w:t>
      </w:r>
    </w:p>
    <w:p>
      <w:pPr>
        <w:pStyle w:val="ListParagraph"/>
        <w:numPr>
          <w:ilvl w:val="0"/>
          <w:numId w:val="2"/>
        </w:numPr>
        <w:spacing w:after="60"/>
      </w:pPr>
      <w:r>
        <w:rPr>
          <w:color w:val="222222"/>
          <w:sz w:val="21"/>
          <w:szCs w:val="21"/>
        </w:rPr>
        <w:t xml:space="preserve">RBAC at the database layer (MongoDB's own users/roles) is scoped to service accounts per module, so a compromised Finance service credential cannot read/write Examination or HR collections — this is defense-in-depth underneath the application-level RBAC described in Section 7.3.</w:t>
      </w:r>
    </w:p>
    <w:p>
      <w:pPr>
        <w:pStyle w:val="ListParagraph"/>
        <w:numPr>
          <w:ilvl w:val="0"/>
          <w:numId w:val="2"/>
        </w:numPr>
        <w:spacing w:after="60"/>
      </w:pPr>
      <w:r>
        <w:rPr>
          <w:color w:val="222222"/>
          <w:sz w:val="21"/>
          <w:szCs w:val="21"/>
        </w:rPr>
        <w:t xml:space="preserve">All schema validators ($jsonSchema) reject documents missing institution_id, preventing an entire class of cross-tenant data leakage bugs at the database layer, not just the application layer.</w:t>
      </w:r>
    </w:p>
    <w:p>
      <w:pPr>
        <w:pStyle w:val="Heading2"/>
        <w:spacing w:after="150" w:before="300"/>
      </w:pPr>
      <w:r>
        <w:rPr>
          <w:b/>
          <w:bCs/>
          <w:color w:val="0F1C3D"/>
          <w:sz w:val="24"/>
          <w:szCs w:val="24"/>
        </w:rPr>
        <w:t xml:space="preserve">13.3 Compliance Alignment</w:t>
      </w:r>
    </w:p>
    <w:p>
      <w:pPr>
        <w:pStyle w:val="ListParagraph"/>
        <w:numPr>
          <w:ilvl w:val="0"/>
          <w:numId w:val="2"/>
        </w:numPr>
        <w:spacing w:after="60"/>
      </w:pPr>
      <w:r>
        <w:rPr>
          <w:color w:val="222222"/>
          <w:sz w:val="21"/>
          <w:szCs w:val="21"/>
        </w:rPr>
        <w:t xml:space="preserve">The append-only exam_results/audit_logs pattern directly supports NAAC/NBA academic-integrity audit trails and UGC-mandated result-record retention.</w:t>
      </w:r>
    </w:p>
    <w:p>
      <w:pPr>
        <w:pStyle w:val="ListParagraph"/>
        <w:numPr>
          <w:ilvl w:val="0"/>
          <w:numId w:val="2"/>
        </w:numPr>
        <w:spacing w:after="60"/>
      </w:pPr>
      <w:r>
        <w:rPr>
          <w:color w:val="222222"/>
          <w:sz w:val="21"/>
          <w:szCs w:val="21"/>
        </w:rPr>
        <w:t xml:space="preserve">Zone sharding supports state-level data-localization requirements where an institution's regulator requires it.</w:t>
      </w:r>
    </w:p>
    <w:p>
      <w:r>
        <w:br w:type="page"/>
      </w:r>
    </w:p>
    <w:p>
      <w:pPr>
        <w:pStyle w:val="Heading1"/>
        <w:pBdr>
          <w:bottom w:val="single" w:color="1B2A55" w:sz="12" w:space="4"/>
        </w:pBdr>
        <w:spacing w:after="200" w:before="400"/>
      </w:pPr>
      <w:r>
        <w:rPr>
          <w:b/>
          <w:bCs/>
          <w:color w:val="1B2A55"/>
          <w:sz w:val="30"/>
          <w:szCs w:val="30"/>
        </w:rPr>
        <w:t xml:space="preserve">14. Representative Aggregation Pipelines</w:t>
      </w:r>
    </w:p>
    <w:p>
      <w:pPr>
        <w:spacing w:after="140" w:line="276"/>
      </w:pPr>
      <w:r>
        <w:rPr>
          <w:color w:val="222222"/>
          <w:sz w:val="21"/>
          <w:szCs w:val="21"/>
        </w:rPr>
        <w:t xml:space="preserve">Two examples of the analytics-style queries the Insight Engine and module dashboards run directly against the Analytics Secondary/Cold-Tier shard.</w:t>
      </w:r>
    </w:p>
    <w:p>
      <w:pPr>
        <w:pStyle w:val="Heading2"/>
        <w:spacing w:after="150" w:before="300"/>
      </w:pPr>
      <w:r>
        <w:rPr>
          <w:b/>
          <w:bCs/>
          <w:color w:val="0F1C3D"/>
          <w:sz w:val="24"/>
          <w:szCs w:val="24"/>
        </w:rPr>
        <w:t xml:space="preserve">14.1 Fee Collection Dashboard — Outstanding Balance by Program</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rPr>
          <w:tblHeader/>
        </w:trPr>
        <w:tc>
          <w:tcPr>
            <w:tcW w:type="dxa" w:w="9200"/>
            <w:shd w:fill="1B2A55" w:val="clear"/>
            <w:tcMar>
              <w:top w:type="dxa" w:w="60"/>
              <w:left w:type="dxa" w:w="90"/>
              <w:bottom w:type="dxa" w:w="60"/>
              <w:right w:type="dxa" w:w="90"/>
            </w:tcMar>
            <w:vAlign w:val="center"/>
          </w:tcPr>
          <w:p>
            <w:pPr>
              <w:jc w:val="left"/>
            </w:pPr>
            <w:r>
              <w:rPr>
                <w:b/>
                <w:bCs/>
                <w:color w:val="FFFFFF"/>
                <w:sz w:val="19"/>
                <w:szCs w:val="19"/>
              </w:rPr>
              <w:t xml:space="preserve">Aggregation Pipeline (fee_invoices)</w:t>
            </w:r>
          </w:p>
        </w:tc>
      </w:tr>
      <w:tr>
        <w:tc>
          <w:tcPr>
            <w:tcW w:type="dxa" w:w="9200"/>
            <w:tcMar>
              <w:top w:type="dxa" w:w="60"/>
              <w:left w:type="dxa" w:w="90"/>
              <w:bottom w:type="dxa" w:w="60"/>
              <w:right w:type="dxa" w:w="90"/>
            </w:tcMar>
            <w:vAlign w:val="center"/>
          </w:tcPr>
          <w:p>
            <w:pPr>
              <w:jc w:val="left"/>
            </w:pPr>
            <w:r>
              <w:rPr>
                <w:rFonts w:ascii="Consolas" w:cs="Consolas" w:eastAsia="Consolas" w:hAnsi="Consolas"/>
                <w:b w:val="false"/>
                <w:bCs w:val="false"/>
                <w:color w:val="222222"/>
                <w:sz w:val="19"/>
                <w:szCs w:val="19"/>
              </w:rPr>
              <w:t xml:space="preserve">db.fee_invoices.aggregate([
  { $match: { institution_id: tenantId, status: { $in: ["issued","partially_paid","overdue"] } } },
  { $lookup: { from: "enrollments", localField: "enrollment_id", foreignField: "_id", as: "enr" } },
  { $unwind: "$enr" },
  { $lookup: { from: "course_sections", localField: "enr.course_section_id", foreignField: "_id", as: "sec" } },
  { $unwind: "$sec" },
  { $lookup: { from: "courses", localField: "sec.course_id", foreignField: "_id", as: "course" } },
  { $unwind: "$course" },
  { $group: {
      _id: "$course.program_id",
      total_outstanding: { $sum: { $subtract: ["$total_amount", "$amount_paid"] } },
      invoice_count: { $sum: 1 }
  } },
  { $sort: { total_outstanding: -1 } }
])</w:t>
            </w:r>
          </w:p>
        </w:tc>
      </w:tr>
    </w:tbl>
    <w:p>
      <w:pPr>
        <w:pStyle w:val="Heading2"/>
        <w:spacing w:after="150" w:before="300"/>
      </w:pPr>
      <w:r>
        <w:rPr>
          <w:b/>
          <w:bCs/>
          <w:color w:val="0F1C3D"/>
          <w:sz w:val="24"/>
          <w:szCs w:val="24"/>
        </w:rPr>
        <w:t xml:space="preserve">14.2 Placement Eligibility Feed — Students Meeting Result Criteria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rPr>
          <w:tblHeader/>
        </w:trPr>
        <w:tc>
          <w:tcPr>
            <w:tcW w:type="dxa" w:w="9200"/>
            <w:shd w:fill="1B2A55" w:val="clear"/>
            <w:tcMar>
              <w:top w:type="dxa" w:w="60"/>
              <w:left w:type="dxa" w:w="90"/>
              <w:bottom w:type="dxa" w:w="60"/>
              <w:right w:type="dxa" w:w="90"/>
            </w:tcMar>
            <w:vAlign w:val="center"/>
          </w:tcPr>
          <w:p>
            <w:pPr>
              <w:jc w:val="left"/>
            </w:pPr>
            <w:r>
              <w:rPr>
                <w:b/>
                <w:bCs/>
                <w:color w:val="FFFFFF"/>
                <w:sz w:val="19"/>
                <w:szCs w:val="19"/>
              </w:rPr>
              <w:t xml:space="preserve">Aggregation Pipeline (exam_results)</w:t>
            </w:r>
          </w:p>
        </w:tc>
      </w:tr>
      <w:tr>
        <w:tc>
          <w:tcPr>
            <w:tcW w:type="dxa" w:w="9200"/>
            <w:tcMar>
              <w:top w:type="dxa" w:w="60"/>
              <w:left w:type="dxa" w:w="90"/>
              <w:bottom w:type="dxa" w:w="60"/>
              <w:right w:type="dxa" w:w="90"/>
            </w:tcMar>
            <w:vAlign w:val="center"/>
          </w:tcPr>
          <w:p>
            <w:pPr>
              <w:jc w:val="left"/>
            </w:pPr>
            <w:r>
              <w:rPr>
                <w:rFonts w:ascii="Consolas" w:cs="Consolas" w:eastAsia="Consolas" w:hAnsi="Consolas"/>
                <w:b w:val="false"/>
                <w:bCs w:val="false"/>
                <w:color w:val="222222"/>
                <w:sz w:val="19"/>
                <w:szCs w:val="19"/>
              </w:rPr>
              <w:t xml:space="preserve">db.exam_results.aggregate([
  { $match: { institution_id: tenantId, status: "published" } },
  { $group: {
      _id: "$student_id",
      avg_gpa: { $avg: "$grade_points" },
      backlog_count: { $sum: { $cond: [{ $lt: ["$grade_points", 4] }, 1, 0] } }
  } },
  { $match: { avg_gpa: { $gte: 6.5 }, backlog_count: 0 } }
])</w:t>
            </w:r>
          </w:p>
        </w:tc>
      </w:tr>
    </w:tbl>
    <w:p>
      <w:pPr>
        <w:pBdr>
          <w:left w:val="single" w:color="1B2A55" w:sz="18" w:space="6"/>
        </w:pBdr>
        <w:shd w:fill="EEF1F8" w:val="clear"/>
        <w:spacing w:after="200" w:before="100"/>
        <w:ind w:left="120"/>
      </w:pPr>
      <w:r>
        <w:rPr>
          <w:i/>
          <w:iCs/>
          <w:color w:val="0F1C3D"/>
          <w:sz w:val="20"/>
          <w:szCs w:val="20"/>
        </w:rPr>
        <w:t xml:space="preserve">These pipelines run on the hidden Analytics Secondary (readPreference: secondary) so they never compete with OLTP writes on the Primary, consistent with the replication design in Section 10.3.</w:t>
      </w:r>
    </w:p>
    <w:p>
      <w:r>
        <w:br w:type="page"/>
      </w:r>
    </w:p>
    <w:p>
      <w:pPr>
        <w:pStyle w:val="Heading1"/>
        <w:pBdr>
          <w:bottom w:val="single" w:color="1B2A55" w:sz="12" w:space="4"/>
        </w:pBdr>
        <w:spacing w:after="200" w:before="400"/>
      </w:pPr>
      <w:r>
        <w:rPr>
          <w:b/>
          <w:bCs/>
          <w:color w:val="1B2A55"/>
          <w:sz w:val="30"/>
          <w:szCs w:val="30"/>
        </w:rPr>
        <w:t xml:space="preserve">15. Learning Management (LMS) — Detailed Schema Design</w:t>
      </w:r>
    </w:p>
    <w:p>
      <w:pPr>
        <w:spacing w:after="140" w:line="276"/>
      </w:pPr>
      <w:r>
        <w:rPr>
          <w:color w:val="222222"/>
          <w:sz w:val="21"/>
          <w:szCs w:val="21"/>
        </w:rPr>
        <w:t xml:space="preserve">LMS holds course content, assignments and submissions, discussions, virtual classroom sessions, and per-student progress tracking. It is read/write heavy on submissions and progress_tracking, and read-mostly on course_content, which is large-payload (video/document references) and therefore stored as pointers into Object Storage, not embedded binary.</w:t>
      </w:r>
    </w:p>
    <w:p>
      <w:pPr>
        <w:pStyle w:val="Heading2"/>
        <w:spacing w:after="150" w:before="300"/>
      </w:pPr>
      <w:r>
        <w:rPr>
          <w:b/>
          <w:bCs/>
          <w:color w:val="0F1C3D"/>
          <w:sz w:val="24"/>
          <w:szCs w:val="24"/>
        </w:rPr>
        <w:t xml:space="preserve">15.1 Collections Overview</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200"/>
      </w:tblGrid>
      <w:tr>
        <w:trPr>
          <w:tblHeader/>
        </w:trPr>
        <w:tc>
          <w:tcPr>
            <w:tcW w:type="dxa" w:w="2200"/>
            <w:shd w:fill="1B2A55" w:val="clear"/>
            <w:tcMar>
              <w:top w:type="dxa" w:w="60"/>
              <w:left w:type="dxa" w:w="90"/>
              <w:bottom w:type="dxa" w:w="60"/>
              <w:right w:type="dxa" w:w="90"/>
            </w:tcMar>
            <w:vAlign w:val="center"/>
          </w:tcPr>
          <w:p>
            <w:pPr>
              <w:jc w:val="left"/>
            </w:pPr>
            <w:r>
              <w:rPr>
                <w:b/>
                <w:bCs/>
                <w:color w:val="FFFFFF"/>
                <w:sz w:val="19"/>
                <w:szCs w:val="19"/>
              </w:rPr>
              <w:t xml:space="preserve">Collection</w:t>
            </w:r>
          </w:p>
        </w:tc>
        <w:tc>
          <w:tcPr>
            <w:tcW w:type="dxa" w:w="4000"/>
            <w:shd w:fill="1B2A55" w:val="clear"/>
            <w:tcMar>
              <w:top w:type="dxa" w:w="60"/>
              <w:left w:type="dxa" w:w="90"/>
              <w:bottom w:type="dxa" w:w="60"/>
              <w:right w:type="dxa" w:w="90"/>
            </w:tcMar>
            <w:vAlign w:val="center"/>
          </w:tcPr>
          <w:p>
            <w:pPr>
              <w:jc w:val="left"/>
            </w:pPr>
            <w:r>
              <w:rPr>
                <w:b/>
                <w:bCs/>
                <w:color w:val="FFFFFF"/>
                <w:sz w:val="19"/>
                <w:szCs w:val="19"/>
              </w:rPr>
              <w:t xml:space="preserve">Purpose</w:t>
            </w:r>
          </w:p>
        </w:tc>
        <w:tc>
          <w:tcPr>
            <w:tcW w:type="dxa" w:w="3200"/>
            <w:shd w:fill="1B2A55" w:val="clear"/>
            <w:tcMar>
              <w:top w:type="dxa" w:w="60"/>
              <w:left w:type="dxa" w:w="90"/>
              <w:bottom w:type="dxa" w:w="60"/>
              <w:right w:type="dxa" w:w="90"/>
            </w:tcMar>
            <w:vAlign w:val="center"/>
          </w:tcPr>
          <w:p>
            <w:pPr>
              <w:jc w:val="left"/>
            </w:pPr>
            <w:r>
              <w:rPr>
                <w:b/>
                <w:bCs/>
                <w:color w:val="FFFFFF"/>
                <w:sz w:val="19"/>
                <w:szCs w:val="19"/>
              </w:rPr>
              <w:t xml:space="preserve">Approx. Growth</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course_content</w:t>
            </w:r>
          </w:p>
        </w:tc>
        <w:tc>
          <w:tcPr>
            <w:tcW w:type="dxa" w:w="4000"/>
            <w:tcMar>
              <w:top w:type="dxa" w:w="60"/>
              <w:left w:type="dxa" w:w="90"/>
              <w:bottom w:type="dxa" w:w="60"/>
              <w:right w:type="dxa" w:w="90"/>
            </w:tcMar>
            <w:vAlign w:val="center"/>
          </w:tcPr>
          <w:p>
            <w:pPr>
              <w:jc w:val="left"/>
            </w:pPr>
            <w:r>
              <w:rPr>
                <w:b w:val="false"/>
                <w:bCs w:val="false"/>
                <w:color w:val="222222"/>
                <w:sz w:val="19"/>
                <w:szCs w:val="19"/>
              </w:rPr>
              <w:t xml:space="preserve">Modules/units/lessons within a course_section, with content pointers</w:t>
            </w:r>
          </w:p>
        </w:tc>
        <w:tc>
          <w:tcPr>
            <w:tcW w:type="dxa" w:w="3200"/>
            <w:tcMar>
              <w:top w:type="dxa" w:w="60"/>
              <w:left w:type="dxa" w:w="90"/>
              <w:bottom w:type="dxa" w:w="60"/>
              <w:right w:type="dxa" w:w="90"/>
            </w:tcMar>
            <w:vAlign w:val="center"/>
          </w:tcPr>
          <w:p>
            <w:pPr>
              <w:jc w:val="left"/>
            </w:pPr>
            <w:r>
              <w:rPr>
                <w:b w:val="false"/>
                <w:bCs w:val="false"/>
                <w:color w:val="222222"/>
                <w:sz w:val="19"/>
                <w:szCs w:val="19"/>
              </w:rPr>
              <w:t xml:space="preserve">Medium</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assignments</w:t>
            </w:r>
          </w:p>
        </w:tc>
        <w:tc>
          <w:tcPr>
            <w:tcW w:type="dxa" w:w="4000"/>
            <w:tcMar>
              <w:top w:type="dxa" w:w="60"/>
              <w:left w:type="dxa" w:w="90"/>
              <w:bottom w:type="dxa" w:w="60"/>
              <w:right w:type="dxa" w:w="90"/>
            </w:tcMar>
            <w:vAlign w:val="center"/>
          </w:tcPr>
          <w:p>
            <w:pPr>
              <w:jc w:val="left"/>
            </w:pPr>
            <w:r>
              <w:rPr>
                <w:b w:val="false"/>
                <w:bCs w:val="false"/>
                <w:color w:val="222222"/>
                <w:sz w:val="19"/>
                <w:szCs w:val="19"/>
              </w:rPr>
              <w:t xml:space="preserve">Assignment definitions per course_section</w:t>
            </w:r>
          </w:p>
        </w:tc>
        <w:tc>
          <w:tcPr>
            <w:tcW w:type="dxa" w:w="3200"/>
            <w:tcMar>
              <w:top w:type="dxa" w:w="60"/>
              <w:left w:type="dxa" w:w="90"/>
              <w:bottom w:type="dxa" w:w="60"/>
              <w:right w:type="dxa" w:w="90"/>
            </w:tcMar>
            <w:vAlign w:val="center"/>
          </w:tcPr>
          <w:p>
            <w:pPr>
              <w:jc w:val="left"/>
            </w:pPr>
            <w:r>
              <w:rPr>
                <w:b w:val="false"/>
                <w:bCs w:val="false"/>
                <w:color w:val="222222"/>
                <w:sz w:val="19"/>
                <w:szCs w:val="19"/>
              </w:rPr>
              <w:t xml:space="preserve">Medium</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submissions</w:t>
            </w:r>
          </w:p>
        </w:tc>
        <w:tc>
          <w:tcPr>
            <w:tcW w:type="dxa" w:w="4000"/>
            <w:tcMar>
              <w:top w:type="dxa" w:w="60"/>
              <w:left w:type="dxa" w:w="90"/>
              <w:bottom w:type="dxa" w:w="60"/>
              <w:right w:type="dxa" w:w="90"/>
            </w:tcMar>
            <w:vAlign w:val="center"/>
          </w:tcPr>
          <w:p>
            <w:pPr>
              <w:jc w:val="left"/>
            </w:pPr>
            <w:r>
              <w:rPr>
                <w:b w:val="false"/>
                <w:bCs w:val="false"/>
                <w:color w:val="222222"/>
                <w:sz w:val="19"/>
                <w:szCs w:val="19"/>
              </w:rPr>
              <w:t xml:space="preserve">Student submissions against an assignment</w:t>
            </w:r>
          </w:p>
        </w:tc>
        <w:tc>
          <w:tcPr>
            <w:tcW w:type="dxa" w:w="3200"/>
            <w:tcMar>
              <w:top w:type="dxa" w:w="60"/>
              <w:left w:type="dxa" w:w="90"/>
              <w:bottom w:type="dxa" w:w="60"/>
              <w:right w:type="dxa" w:w="90"/>
            </w:tcMar>
            <w:vAlign w:val="center"/>
          </w:tcPr>
          <w:p>
            <w:pPr>
              <w:jc w:val="left"/>
            </w:pPr>
            <w:r>
              <w:rPr>
                <w:b w:val="false"/>
                <w:bCs w:val="false"/>
                <w:color w:val="222222"/>
                <w:sz w:val="19"/>
                <w:szCs w:val="19"/>
              </w:rPr>
              <w:t xml:space="preserve">High</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discussion_threads</w:t>
            </w:r>
          </w:p>
        </w:tc>
        <w:tc>
          <w:tcPr>
            <w:tcW w:type="dxa" w:w="4000"/>
            <w:tcMar>
              <w:top w:type="dxa" w:w="60"/>
              <w:left w:type="dxa" w:w="90"/>
              <w:bottom w:type="dxa" w:w="60"/>
              <w:right w:type="dxa" w:w="90"/>
            </w:tcMar>
            <w:vAlign w:val="center"/>
          </w:tcPr>
          <w:p>
            <w:pPr>
              <w:jc w:val="left"/>
            </w:pPr>
            <w:r>
              <w:rPr>
                <w:b w:val="false"/>
                <w:bCs w:val="false"/>
                <w:color w:val="222222"/>
                <w:sz w:val="19"/>
                <w:szCs w:val="19"/>
              </w:rPr>
              <w:t xml:space="preserve">Forum threads/replies scoped to a course_section</w:t>
            </w:r>
          </w:p>
        </w:tc>
        <w:tc>
          <w:tcPr>
            <w:tcW w:type="dxa" w:w="3200"/>
            <w:tcMar>
              <w:top w:type="dxa" w:w="60"/>
              <w:left w:type="dxa" w:w="90"/>
              <w:bottom w:type="dxa" w:w="60"/>
              <w:right w:type="dxa" w:w="90"/>
            </w:tcMar>
            <w:vAlign w:val="center"/>
          </w:tcPr>
          <w:p>
            <w:pPr>
              <w:jc w:val="left"/>
            </w:pPr>
            <w:r>
              <w:rPr>
                <w:b w:val="false"/>
                <w:bCs w:val="false"/>
                <w:color w:val="222222"/>
                <w:sz w:val="19"/>
                <w:szCs w:val="19"/>
              </w:rPr>
              <w:t xml:space="preserve">Medium-High</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virtual_classrooms</w:t>
            </w:r>
          </w:p>
        </w:tc>
        <w:tc>
          <w:tcPr>
            <w:tcW w:type="dxa" w:w="4000"/>
            <w:tcMar>
              <w:top w:type="dxa" w:w="60"/>
              <w:left w:type="dxa" w:w="90"/>
              <w:bottom w:type="dxa" w:w="60"/>
              <w:right w:type="dxa" w:w="90"/>
            </w:tcMar>
            <w:vAlign w:val="center"/>
          </w:tcPr>
          <w:p>
            <w:pPr>
              <w:jc w:val="left"/>
            </w:pPr>
            <w:r>
              <w:rPr>
                <w:b w:val="false"/>
                <w:bCs w:val="false"/>
                <w:color w:val="222222"/>
                <w:sz w:val="19"/>
                <w:szCs w:val="19"/>
              </w:rPr>
              <w:t xml:space="preserve">Scheduled/recorded live-session metadata</w:t>
            </w:r>
          </w:p>
        </w:tc>
        <w:tc>
          <w:tcPr>
            <w:tcW w:type="dxa" w:w="3200"/>
            <w:tcMar>
              <w:top w:type="dxa" w:w="60"/>
              <w:left w:type="dxa" w:w="90"/>
              <w:bottom w:type="dxa" w:w="60"/>
              <w:right w:type="dxa" w:w="90"/>
            </w:tcMar>
            <w:vAlign w:val="center"/>
          </w:tcPr>
          <w:p>
            <w:pPr>
              <w:jc w:val="left"/>
            </w:pPr>
            <w:r>
              <w:rPr>
                <w:b w:val="false"/>
                <w:bCs w:val="false"/>
                <w:color w:val="222222"/>
                <w:sz w:val="19"/>
                <w:szCs w:val="19"/>
              </w:rPr>
              <w:t xml:space="preserve">Medium</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progress_tracking</w:t>
            </w:r>
          </w:p>
        </w:tc>
        <w:tc>
          <w:tcPr>
            <w:tcW w:type="dxa" w:w="4000"/>
            <w:tcMar>
              <w:top w:type="dxa" w:w="60"/>
              <w:left w:type="dxa" w:w="90"/>
              <w:bottom w:type="dxa" w:w="60"/>
              <w:right w:type="dxa" w:w="90"/>
            </w:tcMar>
            <w:vAlign w:val="center"/>
          </w:tcPr>
          <w:p>
            <w:pPr>
              <w:jc w:val="left"/>
            </w:pPr>
            <w:r>
              <w:rPr>
                <w:b w:val="false"/>
                <w:bCs w:val="false"/>
                <w:color w:val="222222"/>
                <w:sz w:val="19"/>
                <w:szCs w:val="19"/>
              </w:rPr>
              <w:t xml:space="preserve">Per-student completion state across course_content</w:t>
            </w:r>
          </w:p>
        </w:tc>
        <w:tc>
          <w:tcPr>
            <w:tcW w:type="dxa" w:w="3200"/>
            <w:tcMar>
              <w:top w:type="dxa" w:w="60"/>
              <w:left w:type="dxa" w:w="90"/>
              <w:bottom w:type="dxa" w:w="60"/>
              <w:right w:type="dxa" w:w="90"/>
            </w:tcMar>
            <w:vAlign w:val="center"/>
          </w:tcPr>
          <w:p>
            <w:pPr>
              <w:jc w:val="left"/>
            </w:pPr>
            <w:r>
              <w:rPr>
                <w:b w:val="false"/>
                <w:bCs w:val="false"/>
                <w:color w:val="222222"/>
                <w:sz w:val="19"/>
                <w:szCs w:val="19"/>
              </w:rPr>
              <w:t xml:space="preserve">High</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badges</w:t>
            </w:r>
          </w:p>
        </w:tc>
        <w:tc>
          <w:tcPr>
            <w:tcW w:type="dxa" w:w="4000"/>
            <w:tcMar>
              <w:top w:type="dxa" w:w="60"/>
              <w:left w:type="dxa" w:w="90"/>
              <w:bottom w:type="dxa" w:w="60"/>
              <w:right w:type="dxa" w:w="90"/>
            </w:tcMar>
            <w:vAlign w:val="center"/>
          </w:tcPr>
          <w:p>
            <w:pPr>
              <w:jc w:val="left"/>
            </w:pPr>
            <w:r>
              <w:rPr>
                <w:b w:val="false"/>
                <w:bCs w:val="false"/>
                <w:color w:val="222222"/>
                <w:sz w:val="19"/>
                <w:szCs w:val="19"/>
              </w:rPr>
              <w:t xml:space="preserve">Earned achievement/badge records</w:t>
            </w:r>
          </w:p>
        </w:tc>
        <w:tc>
          <w:tcPr>
            <w:tcW w:type="dxa" w:w="3200"/>
            <w:tcMar>
              <w:top w:type="dxa" w:w="60"/>
              <w:left w:type="dxa" w:w="90"/>
              <w:bottom w:type="dxa" w:w="60"/>
              <w:right w:type="dxa" w:w="90"/>
            </w:tcMar>
            <w:vAlign w:val="center"/>
          </w:tcPr>
          <w:p>
            <w:pPr>
              <w:jc w:val="left"/>
            </w:pPr>
            <w:r>
              <w:rPr>
                <w:b w:val="false"/>
                <w:bCs w:val="false"/>
                <w:color w:val="222222"/>
                <w:sz w:val="19"/>
                <w:szCs w:val="19"/>
              </w:rPr>
              <w:t xml:space="preserve">Low-Medium</w:t>
            </w:r>
          </w:p>
        </w:tc>
      </w:tr>
    </w:tbl>
    <w:p>
      <w:pPr>
        <w:pStyle w:val="Heading2"/>
        <w:spacing w:after="150" w:before="300"/>
      </w:pPr>
      <w:r>
        <w:rPr>
          <w:b/>
          <w:bCs/>
          <w:color w:val="0F1C3D"/>
          <w:sz w:val="24"/>
          <w:szCs w:val="24"/>
        </w:rPr>
        <w:t xml:space="preserve">15.2 Core Schema — submissions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400"/>
      </w:tblGrid>
      <w:tr>
        <w:trPr>
          <w:tblHeader/>
        </w:trPr>
        <w:tc>
          <w:tcPr>
            <w:tcW w:type="dxa" w:w="2200"/>
            <w:shd w:fill="1B2A55" w:val="clear"/>
            <w:tcMar>
              <w:top w:type="dxa" w:w="60"/>
              <w:left w:type="dxa" w:w="90"/>
              <w:bottom w:type="dxa" w:w="60"/>
              <w:right w:type="dxa" w:w="90"/>
            </w:tcMar>
            <w:vAlign w:val="center"/>
          </w:tcPr>
          <w:p>
            <w:pPr>
              <w:jc w:val="left"/>
            </w:pPr>
            <w:r>
              <w:rPr>
                <w:b/>
                <w:bCs/>
                <w:color w:val="FFFFFF"/>
                <w:sz w:val="19"/>
                <w:szCs w:val="19"/>
              </w:rPr>
              <w:t xml:space="preserve">Field</w:t>
            </w:r>
          </w:p>
        </w:tc>
        <w:tc>
          <w:tcPr>
            <w:tcW w:type="dxa" w:w="1800"/>
            <w:shd w:fill="1B2A55" w:val="clear"/>
            <w:tcMar>
              <w:top w:type="dxa" w:w="60"/>
              <w:left w:type="dxa" w:w="90"/>
              <w:bottom w:type="dxa" w:w="60"/>
              <w:right w:type="dxa" w:w="90"/>
            </w:tcMar>
            <w:vAlign w:val="center"/>
          </w:tcPr>
          <w:p>
            <w:pPr>
              <w:jc w:val="left"/>
            </w:pPr>
            <w:r>
              <w:rPr>
                <w:b/>
                <w:bCs/>
                <w:color w:val="FFFFFF"/>
                <w:sz w:val="19"/>
                <w:szCs w:val="19"/>
              </w:rPr>
              <w:t xml:space="preserve">Type</w:t>
            </w:r>
          </w:p>
        </w:tc>
        <w:tc>
          <w:tcPr>
            <w:tcW w:type="dxa" w:w="5400"/>
            <w:shd w:fill="1B2A55" w:val="clear"/>
            <w:tcMar>
              <w:top w:type="dxa" w:w="60"/>
              <w:left w:type="dxa" w:w="90"/>
              <w:bottom w:type="dxa" w:w="60"/>
              <w:right w:type="dxa" w:w="90"/>
            </w:tcMar>
            <w:vAlign w:val="center"/>
          </w:tcPr>
          <w:p>
            <w:pPr>
              <w:jc w:val="left"/>
            </w:pPr>
            <w:r>
              <w:rPr>
                <w:b/>
                <w:bCs/>
                <w:color w:val="FFFFFF"/>
                <w:sz w:val="19"/>
                <w:szCs w:val="19"/>
              </w:rPr>
              <w:t xml:space="preserve">Notes</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_id</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ObjectId</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institution_id</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ObjectId</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Shard key leading field</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assignment_id</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ObjectId</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Ref → assignments</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student_id</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ObjectId</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Ref → Admin Manager users</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content_ref</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Object</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 bucket, key, checksum } — pointer into Object Storage, same convention as hall_tickets/certificates</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submitted_at</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Date</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attempt_number</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Int</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Supports multi-attempt assignments; combined with assignment_id+student_id forms the natural key</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grading</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Object, nullable</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 score, max_score, feedback, graded_by, graded_at } — embedded, single lifecycle with the submission</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status</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String (enum)</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submitted | late | graded | resubmission_requested</w:t>
            </w:r>
          </w:p>
        </w:tc>
      </w:tr>
    </w:tbl>
    <w:p>
      <w:pPr>
        <w:pStyle w:val="Heading2"/>
        <w:spacing w:after="150" w:before="300"/>
      </w:pPr>
      <w:r>
        <w:rPr>
          <w:b/>
          <w:bCs/>
          <w:color w:val="0F1C3D"/>
          <w:sz w:val="24"/>
          <w:szCs w:val="24"/>
        </w:rPr>
        <w:t xml:space="preserve">15.3 Core Schema — progress_tracking</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400"/>
      </w:tblGrid>
      <w:tr>
        <w:trPr>
          <w:tblHeader/>
        </w:trPr>
        <w:tc>
          <w:tcPr>
            <w:tcW w:type="dxa" w:w="2200"/>
            <w:shd w:fill="1B2A55" w:val="clear"/>
            <w:tcMar>
              <w:top w:type="dxa" w:w="60"/>
              <w:left w:type="dxa" w:w="90"/>
              <w:bottom w:type="dxa" w:w="60"/>
              <w:right w:type="dxa" w:w="90"/>
            </w:tcMar>
            <w:vAlign w:val="center"/>
          </w:tcPr>
          <w:p>
            <w:pPr>
              <w:jc w:val="left"/>
            </w:pPr>
            <w:r>
              <w:rPr>
                <w:b/>
                <w:bCs/>
                <w:color w:val="FFFFFF"/>
                <w:sz w:val="19"/>
                <w:szCs w:val="19"/>
              </w:rPr>
              <w:t xml:space="preserve">Field</w:t>
            </w:r>
          </w:p>
        </w:tc>
        <w:tc>
          <w:tcPr>
            <w:tcW w:type="dxa" w:w="1800"/>
            <w:shd w:fill="1B2A55" w:val="clear"/>
            <w:tcMar>
              <w:top w:type="dxa" w:w="60"/>
              <w:left w:type="dxa" w:w="90"/>
              <w:bottom w:type="dxa" w:w="60"/>
              <w:right w:type="dxa" w:w="90"/>
            </w:tcMar>
            <w:vAlign w:val="center"/>
          </w:tcPr>
          <w:p>
            <w:pPr>
              <w:jc w:val="left"/>
            </w:pPr>
            <w:r>
              <w:rPr>
                <w:b/>
                <w:bCs/>
                <w:color w:val="FFFFFF"/>
                <w:sz w:val="19"/>
                <w:szCs w:val="19"/>
              </w:rPr>
              <w:t xml:space="preserve">Type</w:t>
            </w:r>
          </w:p>
        </w:tc>
        <w:tc>
          <w:tcPr>
            <w:tcW w:type="dxa" w:w="5400"/>
            <w:shd w:fill="1B2A55" w:val="clear"/>
            <w:tcMar>
              <w:top w:type="dxa" w:w="60"/>
              <w:left w:type="dxa" w:w="90"/>
              <w:bottom w:type="dxa" w:w="60"/>
              <w:right w:type="dxa" w:w="90"/>
            </w:tcMar>
            <w:vAlign w:val="center"/>
          </w:tcPr>
          <w:p>
            <w:pPr>
              <w:jc w:val="left"/>
            </w:pPr>
            <w:r>
              <w:rPr>
                <w:b/>
                <w:bCs/>
                <w:color w:val="FFFFFF"/>
                <w:sz w:val="19"/>
                <w:szCs w:val="19"/>
              </w:rPr>
              <w:t xml:space="preserve">Notes</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_id</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ObjectId</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institution_id</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ObjectId</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student_id</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ObjectId</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Ref → Admin Manager users</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course_section_id</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ObjectId</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Ref → Academic.course_sections</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completed_content_ids</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Array&lt;ObjectId&gt;</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Ref → course_content; append-only set, grows monotonically</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completion_percentage</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Number</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Denormalized rollup, recomputed on each content-completion event</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last_activity_at</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Date</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
            </w:r>
          </w:p>
        </w:tc>
      </w:tr>
    </w:tbl>
    <w:p>
      <w:pPr>
        <w:pStyle w:val="Heading2"/>
        <w:spacing w:after="150" w:before="300"/>
      </w:pPr>
      <w:r>
        <w:rPr>
          <w:b/>
          <w:bCs/>
          <w:color w:val="0F1C3D"/>
          <w:sz w:val="24"/>
          <w:szCs w:val="24"/>
        </w:rPr>
        <w:t xml:space="preserve">15.4 Embedding vs. Referencing Decisions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200"/>
      </w:tblGrid>
      <w:tr>
        <w:trPr>
          <w:tblHeader/>
        </w:trPr>
        <w:tc>
          <w:tcPr>
            <w:tcW w:type="dxa" w:w="2800"/>
            <w:shd w:fill="1B2A55" w:val="clear"/>
            <w:tcMar>
              <w:top w:type="dxa" w:w="60"/>
              <w:left w:type="dxa" w:w="90"/>
              <w:bottom w:type="dxa" w:w="60"/>
              <w:right w:type="dxa" w:w="90"/>
            </w:tcMar>
            <w:vAlign w:val="center"/>
          </w:tcPr>
          <w:p>
            <w:pPr>
              <w:jc w:val="left"/>
            </w:pPr>
            <w:r>
              <w:rPr>
                <w:b/>
                <w:bCs/>
                <w:color w:val="FFFFFF"/>
                <w:sz w:val="19"/>
                <w:szCs w:val="19"/>
              </w:rPr>
              <w:t xml:space="preserve">Relationship</w:t>
            </w:r>
          </w:p>
        </w:tc>
        <w:tc>
          <w:tcPr>
            <w:tcW w:type="dxa" w:w="2000"/>
            <w:shd w:fill="1B2A55" w:val="clear"/>
            <w:tcMar>
              <w:top w:type="dxa" w:w="60"/>
              <w:left w:type="dxa" w:w="90"/>
              <w:bottom w:type="dxa" w:w="60"/>
              <w:right w:type="dxa" w:w="90"/>
            </w:tcMar>
            <w:vAlign w:val="center"/>
          </w:tcPr>
          <w:p>
            <w:pPr>
              <w:jc w:val="left"/>
            </w:pPr>
            <w:r>
              <w:rPr>
                <w:b/>
                <w:bCs/>
                <w:color w:val="FFFFFF"/>
                <w:sz w:val="19"/>
                <w:szCs w:val="19"/>
              </w:rPr>
              <w:t xml:space="preserve">Approach</w:t>
            </w:r>
          </w:p>
        </w:tc>
        <w:tc>
          <w:tcPr>
            <w:tcW w:type="dxa" w:w="4200"/>
            <w:shd w:fill="1B2A55" w:val="clear"/>
            <w:tcMar>
              <w:top w:type="dxa" w:w="60"/>
              <w:left w:type="dxa" w:w="90"/>
              <w:bottom w:type="dxa" w:w="60"/>
              <w:right w:type="dxa" w:w="90"/>
            </w:tcMar>
            <w:vAlign w:val="center"/>
          </w:tcPr>
          <w:p>
            <w:pPr>
              <w:jc w:val="left"/>
            </w:pPr>
            <w:r>
              <w:rPr>
                <w:b/>
                <w:bCs/>
                <w:color w:val="FFFFFF"/>
                <w:sz w:val="19"/>
                <w:szCs w:val="19"/>
              </w:rPr>
              <w:t xml:space="preserve">Reason</w:t>
            </w:r>
          </w:p>
        </w:tc>
      </w:tr>
      <w:tr>
        <w:tc>
          <w:tcPr>
            <w:tcW w:type="dxa" w:w="2800"/>
            <w:tcMar>
              <w:top w:type="dxa" w:w="60"/>
              <w:left w:type="dxa" w:w="90"/>
              <w:bottom w:type="dxa" w:w="60"/>
              <w:right w:type="dxa" w:w="90"/>
            </w:tcMar>
            <w:vAlign w:val="center"/>
          </w:tcPr>
          <w:p>
            <w:pPr>
              <w:jc w:val="left"/>
            </w:pPr>
            <w:r>
              <w:rPr>
                <w:b w:val="false"/>
                <w:bCs w:val="false"/>
                <w:color w:val="222222"/>
                <w:sz w:val="19"/>
                <w:szCs w:val="19"/>
              </w:rPr>
              <w:t xml:space="preserve">submissions.grading</w:t>
            </w:r>
          </w:p>
        </w:tc>
        <w:tc>
          <w:tcPr>
            <w:tcW w:type="dxa" w:w="2000"/>
            <w:tcMar>
              <w:top w:type="dxa" w:w="60"/>
              <w:left w:type="dxa" w:w="90"/>
              <w:bottom w:type="dxa" w:w="60"/>
              <w:right w:type="dxa" w:w="90"/>
            </w:tcMar>
            <w:vAlign w:val="center"/>
          </w:tcPr>
          <w:p>
            <w:pPr>
              <w:jc w:val="left"/>
            </w:pPr>
            <w:r>
              <w:rPr>
                <w:b w:val="false"/>
                <w:bCs w:val="false"/>
                <w:color w:val="222222"/>
                <w:sz w:val="19"/>
                <w:szCs w:val="19"/>
              </w:rPr>
              <w:t xml:space="preserve">Embed</w:t>
            </w:r>
          </w:p>
        </w:tc>
        <w:tc>
          <w:tcPr>
            <w:tcW w:type="dxa" w:w="4200"/>
            <w:tcMar>
              <w:top w:type="dxa" w:w="60"/>
              <w:left w:type="dxa" w:w="90"/>
              <w:bottom w:type="dxa" w:w="60"/>
              <w:right w:type="dxa" w:w="90"/>
            </w:tcMar>
            <w:vAlign w:val="center"/>
          </w:tcPr>
          <w:p>
            <w:pPr>
              <w:jc w:val="left"/>
            </w:pPr>
            <w:r>
              <w:rPr>
                <w:b w:val="false"/>
                <w:bCs w:val="false"/>
                <w:color w:val="222222"/>
                <w:sz w:val="19"/>
                <w:szCs w:val="19"/>
              </w:rPr>
              <w:t xml:space="preserve">Written once by a grader, always read with the submission, no independent lifecycle</w:t>
            </w:r>
          </w:p>
        </w:tc>
      </w:tr>
      <w:tr>
        <w:tc>
          <w:tcPr>
            <w:tcW w:type="dxa" w:w="2800"/>
            <w:tcMar>
              <w:top w:type="dxa" w:w="60"/>
              <w:left w:type="dxa" w:w="90"/>
              <w:bottom w:type="dxa" w:w="60"/>
              <w:right w:type="dxa" w:w="90"/>
            </w:tcMar>
            <w:vAlign w:val="center"/>
          </w:tcPr>
          <w:p>
            <w:pPr>
              <w:jc w:val="left"/>
            </w:pPr>
            <w:r>
              <w:rPr>
                <w:b w:val="false"/>
                <w:bCs w:val="false"/>
                <w:color w:val="222222"/>
                <w:sz w:val="19"/>
                <w:szCs w:val="19"/>
              </w:rPr>
              <w:t xml:space="preserve">course_content binary/video</w:t>
            </w:r>
          </w:p>
        </w:tc>
        <w:tc>
          <w:tcPr>
            <w:tcW w:type="dxa" w:w="2000"/>
            <w:tcMar>
              <w:top w:type="dxa" w:w="60"/>
              <w:left w:type="dxa" w:w="90"/>
              <w:bottom w:type="dxa" w:w="60"/>
              <w:right w:type="dxa" w:w="90"/>
            </w:tcMar>
            <w:vAlign w:val="center"/>
          </w:tcPr>
          <w:p>
            <w:pPr>
              <w:jc w:val="left"/>
            </w:pPr>
            <w:r>
              <w:rPr>
                <w:b w:val="false"/>
                <w:bCs w:val="false"/>
                <w:color w:val="222222"/>
                <w:sz w:val="19"/>
                <w:szCs w:val="19"/>
              </w:rPr>
              <w:t xml:space="preserve">Reference (content_ref pointer)</w:t>
            </w:r>
          </w:p>
        </w:tc>
        <w:tc>
          <w:tcPr>
            <w:tcW w:type="dxa" w:w="4200"/>
            <w:tcMar>
              <w:top w:type="dxa" w:w="60"/>
              <w:left w:type="dxa" w:w="90"/>
              <w:bottom w:type="dxa" w:w="60"/>
              <w:right w:type="dxa" w:w="90"/>
            </w:tcMar>
            <w:vAlign w:val="center"/>
          </w:tcPr>
          <w:p>
            <w:pPr>
              <w:jc w:val="left"/>
            </w:pPr>
            <w:r>
              <w:rPr>
                <w:b w:val="false"/>
                <w:bCs w:val="false"/>
                <w:color w:val="222222"/>
                <w:sz w:val="19"/>
                <w:szCs w:val="19"/>
              </w:rPr>
              <w:t xml:space="preserve">Large payloads belong in Object Storage, not MongoDB documents</w:t>
            </w:r>
          </w:p>
        </w:tc>
      </w:tr>
      <w:tr>
        <w:tc>
          <w:tcPr>
            <w:tcW w:type="dxa" w:w="2800"/>
            <w:tcMar>
              <w:top w:type="dxa" w:w="60"/>
              <w:left w:type="dxa" w:w="90"/>
              <w:bottom w:type="dxa" w:w="60"/>
              <w:right w:type="dxa" w:w="90"/>
            </w:tcMar>
            <w:vAlign w:val="center"/>
          </w:tcPr>
          <w:p>
            <w:pPr>
              <w:jc w:val="left"/>
            </w:pPr>
            <w:r>
              <w:rPr>
                <w:b w:val="false"/>
                <w:bCs w:val="false"/>
                <w:color w:val="222222"/>
                <w:sz w:val="19"/>
                <w:szCs w:val="19"/>
              </w:rPr>
              <w:t xml:space="preserve">discussion_threads replies</w:t>
            </w:r>
          </w:p>
        </w:tc>
        <w:tc>
          <w:tcPr>
            <w:tcW w:type="dxa" w:w="2000"/>
            <w:tcMar>
              <w:top w:type="dxa" w:w="60"/>
              <w:left w:type="dxa" w:w="90"/>
              <w:bottom w:type="dxa" w:w="60"/>
              <w:right w:type="dxa" w:w="90"/>
            </w:tcMar>
            <w:vAlign w:val="center"/>
          </w:tcPr>
          <w:p>
            <w:pPr>
              <w:jc w:val="left"/>
            </w:pPr>
            <w:r>
              <w:rPr>
                <w:b w:val="false"/>
                <w:bCs w:val="false"/>
                <w:color w:val="222222"/>
                <w:sz w:val="19"/>
                <w:szCs w:val="19"/>
              </w:rPr>
              <w:t xml:space="preserve">Reference (separate documents, thread_id foreign key), not embedded array</w:t>
            </w:r>
          </w:p>
        </w:tc>
        <w:tc>
          <w:tcPr>
            <w:tcW w:type="dxa" w:w="4200"/>
            <w:tcMar>
              <w:top w:type="dxa" w:w="60"/>
              <w:left w:type="dxa" w:w="90"/>
              <w:bottom w:type="dxa" w:w="60"/>
              <w:right w:type="dxa" w:w="90"/>
            </w:tcMar>
            <w:vAlign w:val="center"/>
          </w:tcPr>
          <w:p>
            <w:pPr>
              <w:jc w:val="left"/>
            </w:pPr>
            <w:r>
              <w:rPr>
                <w:b w:val="false"/>
                <w:bCs w:val="false"/>
                <w:color w:val="222222"/>
                <w:sz w:val="19"/>
                <w:szCs w:val="19"/>
              </w:rPr>
              <w:t xml:space="preserve">Threads can grow unbounded; embedding would breach the 16MB document limit on popular threads</w:t>
            </w:r>
          </w:p>
        </w:tc>
      </w:tr>
      <w:tr>
        <w:tc>
          <w:tcPr>
            <w:tcW w:type="dxa" w:w="2800"/>
            <w:tcMar>
              <w:top w:type="dxa" w:w="60"/>
              <w:left w:type="dxa" w:w="90"/>
              <w:bottom w:type="dxa" w:w="60"/>
              <w:right w:type="dxa" w:w="90"/>
            </w:tcMar>
            <w:vAlign w:val="center"/>
          </w:tcPr>
          <w:p>
            <w:pPr>
              <w:jc w:val="left"/>
            </w:pPr>
            <w:r>
              <w:rPr>
                <w:b w:val="false"/>
                <w:bCs w:val="false"/>
                <w:color w:val="222222"/>
                <w:sz w:val="19"/>
                <w:szCs w:val="19"/>
              </w:rPr>
              <w:t xml:space="preserve">progress_tracking.completed_content_ids</w:t>
            </w:r>
          </w:p>
        </w:tc>
        <w:tc>
          <w:tcPr>
            <w:tcW w:type="dxa" w:w="2000"/>
            <w:tcMar>
              <w:top w:type="dxa" w:w="60"/>
              <w:left w:type="dxa" w:w="90"/>
              <w:bottom w:type="dxa" w:w="60"/>
              <w:right w:type="dxa" w:w="90"/>
            </w:tcMar>
            <w:vAlign w:val="center"/>
          </w:tcPr>
          <w:p>
            <w:pPr>
              <w:jc w:val="left"/>
            </w:pPr>
            <w:r>
              <w:rPr>
                <w:b w:val="false"/>
                <w:bCs w:val="false"/>
                <w:color w:val="222222"/>
                <w:sz w:val="19"/>
                <w:szCs w:val="19"/>
              </w:rPr>
              <w:t xml:space="preserve">Embed (array of IDs, not full content docs)</w:t>
            </w:r>
          </w:p>
        </w:tc>
        <w:tc>
          <w:tcPr>
            <w:tcW w:type="dxa" w:w="4200"/>
            <w:tcMar>
              <w:top w:type="dxa" w:w="60"/>
              <w:left w:type="dxa" w:w="90"/>
              <w:bottom w:type="dxa" w:w="60"/>
              <w:right w:type="dxa" w:w="90"/>
            </w:tcMar>
            <w:vAlign w:val="center"/>
          </w:tcPr>
          <w:p>
            <w:pPr>
              <w:jc w:val="left"/>
            </w:pPr>
            <w:r>
              <w:rPr>
                <w:b w:val="false"/>
                <w:bCs w:val="false"/>
                <w:color w:val="222222"/>
                <w:sz w:val="19"/>
                <w:szCs w:val="19"/>
              </w:rPr>
              <w:t xml:space="preserve">Bounded by course size, avoids an extra lookup for the common 'is this done' check</w:t>
            </w:r>
          </w:p>
        </w:tc>
      </w:tr>
    </w:tbl>
    <w:p>
      <w:pPr>
        <w:pBdr>
          <w:left w:val="single" w:color="1B2A55" w:sz="18" w:space="6"/>
        </w:pBdr>
        <w:shd w:fill="EEF1F8" w:val="clear"/>
        <w:spacing w:after="200" w:before="100"/>
        <w:ind w:left="120"/>
      </w:pPr>
      <w:r>
        <w:rPr>
          <w:i/>
          <w:iCs/>
          <w:color w:val="0F1C3D"/>
          <w:sz w:val="20"/>
          <w:szCs w:val="20"/>
        </w:rPr>
        <w:t xml:space="preserve">Design note: discussion_threads is deliberately NOT modeled as one document per thread with an embedded replies array, unlike the bounded embeds used elsewhere in this document — a popular thread's reply count is unbounded, so replies are their own documents referencing thread_id, mirroring the same reasoning applied to audit_logs and exam_results being separate append-only collections rather than embedded arrays.</w:t>
      </w:r>
    </w:p>
    <w:p>
      <w:r>
        <w:br w:type="page"/>
      </w:r>
    </w:p>
    <w:p>
      <w:pPr>
        <w:pStyle w:val="Heading1"/>
        <w:pBdr>
          <w:bottom w:val="single" w:color="1B2A55" w:sz="12" w:space="4"/>
        </w:pBdr>
        <w:spacing w:after="200" w:before="400"/>
      </w:pPr>
      <w:r>
        <w:rPr>
          <w:b/>
          <w:bCs/>
          <w:color w:val="1B2A55"/>
          <w:sz w:val="30"/>
          <w:szCs w:val="30"/>
        </w:rPr>
        <w:t xml:space="preserve">16. Human Resource Management — Detailed Schema Design</w:t>
      </w:r>
    </w:p>
    <w:p>
      <w:pPr>
        <w:spacing w:after="140" w:line="276"/>
      </w:pPr>
      <w:r>
        <w:rPr>
          <w:color w:val="222222"/>
          <w:sz w:val="21"/>
          <w:szCs w:val="21"/>
        </w:rPr>
        <w:t xml:space="preserve">HR Management covers the employee lifecycle — onboarding, leave, attendance/timesheets, performance, training, and payroll. Its payroll_runs collection shares the Finance module's strict monetary conventions (Decimal128, ACID transactions), since a payroll run ultimately produces Finance expense entries.</w:t>
      </w:r>
    </w:p>
    <w:p>
      <w:pPr>
        <w:pStyle w:val="Heading2"/>
        <w:spacing w:after="150" w:before="300"/>
      </w:pPr>
      <w:r>
        <w:rPr>
          <w:b/>
          <w:bCs/>
          <w:color w:val="0F1C3D"/>
          <w:sz w:val="24"/>
          <w:szCs w:val="24"/>
        </w:rPr>
        <w:t xml:space="preserve">16.1 Collections Overview</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200"/>
      </w:tblGrid>
      <w:tr>
        <w:trPr>
          <w:tblHeader/>
        </w:trPr>
        <w:tc>
          <w:tcPr>
            <w:tcW w:type="dxa" w:w="2200"/>
            <w:shd w:fill="1B2A55" w:val="clear"/>
            <w:tcMar>
              <w:top w:type="dxa" w:w="60"/>
              <w:left w:type="dxa" w:w="90"/>
              <w:bottom w:type="dxa" w:w="60"/>
              <w:right w:type="dxa" w:w="90"/>
            </w:tcMar>
            <w:vAlign w:val="center"/>
          </w:tcPr>
          <w:p>
            <w:pPr>
              <w:jc w:val="left"/>
            </w:pPr>
            <w:r>
              <w:rPr>
                <w:b/>
                <w:bCs/>
                <w:color w:val="FFFFFF"/>
                <w:sz w:val="19"/>
                <w:szCs w:val="19"/>
              </w:rPr>
              <w:t xml:space="preserve">Collection</w:t>
            </w:r>
          </w:p>
        </w:tc>
        <w:tc>
          <w:tcPr>
            <w:tcW w:type="dxa" w:w="4000"/>
            <w:shd w:fill="1B2A55" w:val="clear"/>
            <w:tcMar>
              <w:top w:type="dxa" w:w="60"/>
              <w:left w:type="dxa" w:w="90"/>
              <w:bottom w:type="dxa" w:w="60"/>
              <w:right w:type="dxa" w:w="90"/>
            </w:tcMar>
            <w:vAlign w:val="center"/>
          </w:tcPr>
          <w:p>
            <w:pPr>
              <w:jc w:val="left"/>
            </w:pPr>
            <w:r>
              <w:rPr>
                <w:b/>
                <w:bCs/>
                <w:color w:val="FFFFFF"/>
                <w:sz w:val="19"/>
                <w:szCs w:val="19"/>
              </w:rPr>
              <w:t xml:space="preserve">Purpose</w:t>
            </w:r>
          </w:p>
        </w:tc>
        <w:tc>
          <w:tcPr>
            <w:tcW w:type="dxa" w:w="3200"/>
            <w:shd w:fill="1B2A55" w:val="clear"/>
            <w:tcMar>
              <w:top w:type="dxa" w:w="60"/>
              <w:left w:type="dxa" w:w="90"/>
              <w:bottom w:type="dxa" w:w="60"/>
              <w:right w:type="dxa" w:w="90"/>
            </w:tcMar>
            <w:vAlign w:val="center"/>
          </w:tcPr>
          <w:p>
            <w:pPr>
              <w:jc w:val="left"/>
            </w:pPr>
            <w:r>
              <w:rPr>
                <w:b/>
                <w:bCs/>
                <w:color w:val="FFFFFF"/>
                <w:sz w:val="19"/>
                <w:szCs w:val="19"/>
              </w:rPr>
              <w:t xml:space="preserve">Approx. Growth</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employees</w:t>
            </w:r>
          </w:p>
        </w:tc>
        <w:tc>
          <w:tcPr>
            <w:tcW w:type="dxa" w:w="4000"/>
            <w:tcMar>
              <w:top w:type="dxa" w:w="60"/>
              <w:left w:type="dxa" w:w="90"/>
              <w:bottom w:type="dxa" w:w="60"/>
              <w:right w:type="dxa" w:w="90"/>
            </w:tcMar>
            <w:vAlign w:val="center"/>
          </w:tcPr>
          <w:p>
            <w:pPr>
              <w:jc w:val="left"/>
            </w:pPr>
            <w:r>
              <w:rPr>
                <w:b w:val="false"/>
                <w:bCs w:val="false"/>
                <w:color w:val="222222"/>
                <w:sz w:val="19"/>
                <w:szCs w:val="19"/>
              </w:rPr>
              <w:t xml:space="preserve">Employment record layered on top of the Admin Manager users profile</w:t>
            </w:r>
          </w:p>
        </w:tc>
        <w:tc>
          <w:tcPr>
            <w:tcW w:type="dxa" w:w="3200"/>
            <w:tcMar>
              <w:top w:type="dxa" w:w="60"/>
              <w:left w:type="dxa" w:w="90"/>
              <w:bottom w:type="dxa" w:w="60"/>
              <w:right w:type="dxa" w:w="90"/>
            </w:tcMar>
            <w:vAlign w:val="center"/>
          </w:tcPr>
          <w:p>
            <w:pPr>
              <w:jc w:val="left"/>
            </w:pPr>
            <w:r>
              <w:rPr>
                <w:b w:val="false"/>
                <w:bCs w:val="false"/>
                <w:color w:val="222222"/>
                <w:sz w:val="19"/>
                <w:szCs w:val="19"/>
              </w:rPr>
              <w:t xml:space="preserve">Low-Medium</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onboarding_cases</w:t>
            </w:r>
          </w:p>
        </w:tc>
        <w:tc>
          <w:tcPr>
            <w:tcW w:type="dxa" w:w="4000"/>
            <w:tcMar>
              <w:top w:type="dxa" w:w="60"/>
              <w:left w:type="dxa" w:w="90"/>
              <w:bottom w:type="dxa" w:w="60"/>
              <w:right w:type="dxa" w:w="90"/>
            </w:tcMar>
            <w:vAlign w:val="center"/>
          </w:tcPr>
          <w:p>
            <w:pPr>
              <w:jc w:val="left"/>
            </w:pPr>
            <w:r>
              <w:rPr>
                <w:b w:val="false"/>
                <w:bCs w:val="false"/>
                <w:color w:val="222222"/>
                <w:sz w:val="19"/>
                <w:szCs w:val="19"/>
              </w:rPr>
              <w:t xml:space="preserve">New-hire onboarding checklist/workflow state</w:t>
            </w:r>
          </w:p>
        </w:tc>
        <w:tc>
          <w:tcPr>
            <w:tcW w:type="dxa" w:w="3200"/>
            <w:tcMar>
              <w:top w:type="dxa" w:w="60"/>
              <w:left w:type="dxa" w:w="90"/>
              <w:bottom w:type="dxa" w:w="60"/>
              <w:right w:type="dxa" w:w="90"/>
            </w:tcMar>
            <w:vAlign w:val="center"/>
          </w:tcPr>
          <w:p>
            <w:pPr>
              <w:jc w:val="left"/>
            </w:pPr>
            <w:r>
              <w:rPr>
                <w:b w:val="false"/>
                <w:bCs w:val="false"/>
                <w:color w:val="222222"/>
                <w:sz w:val="19"/>
                <w:szCs w:val="19"/>
              </w:rPr>
              <w:t xml:space="preserve">Low</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leave_requests</w:t>
            </w:r>
          </w:p>
        </w:tc>
        <w:tc>
          <w:tcPr>
            <w:tcW w:type="dxa" w:w="4000"/>
            <w:tcMar>
              <w:top w:type="dxa" w:w="60"/>
              <w:left w:type="dxa" w:w="90"/>
              <w:bottom w:type="dxa" w:w="60"/>
              <w:right w:type="dxa" w:w="90"/>
            </w:tcMar>
            <w:vAlign w:val="center"/>
          </w:tcPr>
          <w:p>
            <w:pPr>
              <w:jc w:val="left"/>
            </w:pPr>
            <w:r>
              <w:rPr>
                <w:b w:val="false"/>
                <w:bCs w:val="false"/>
                <w:color w:val="222222"/>
                <w:sz w:val="19"/>
                <w:szCs w:val="19"/>
              </w:rPr>
              <w:t xml:space="preserve">Leave application and approval workflow</w:t>
            </w:r>
          </w:p>
        </w:tc>
        <w:tc>
          <w:tcPr>
            <w:tcW w:type="dxa" w:w="3200"/>
            <w:tcMar>
              <w:top w:type="dxa" w:w="60"/>
              <w:left w:type="dxa" w:w="90"/>
              <w:bottom w:type="dxa" w:w="60"/>
              <w:right w:type="dxa" w:w="90"/>
            </w:tcMar>
            <w:vAlign w:val="center"/>
          </w:tcPr>
          <w:p>
            <w:pPr>
              <w:jc w:val="left"/>
            </w:pPr>
            <w:r>
              <w:rPr>
                <w:b w:val="false"/>
                <w:bCs w:val="false"/>
                <w:color w:val="222222"/>
                <w:sz w:val="19"/>
                <w:szCs w:val="19"/>
              </w:rPr>
              <w:t xml:space="preserve">Medium</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attendance_timesheets</w:t>
            </w:r>
          </w:p>
        </w:tc>
        <w:tc>
          <w:tcPr>
            <w:tcW w:type="dxa" w:w="4000"/>
            <w:tcMar>
              <w:top w:type="dxa" w:w="60"/>
              <w:left w:type="dxa" w:w="90"/>
              <w:bottom w:type="dxa" w:w="60"/>
              <w:right w:type="dxa" w:w="90"/>
            </w:tcMar>
            <w:vAlign w:val="center"/>
          </w:tcPr>
          <w:p>
            <w:pPr>
              <w:jc w:val="left"/>
            </w:pPr>
            <w:r>
              <w:rPr>
                <w:b w:val="false"/>
                <w:bCs w:val="false"/>
                <w:color w:val="222222"/>
                <w:sz w:val="19"/>
                <w:szCs w:val="19"/>
              </w:rPr>
              <w:t xml:space="preserve">Daily/period attendance and hours</w:t>
            </w:r>
          </w:p>
        </w:tc>
        <w:tc>
          <w:tcPr>
            <w:tcW w:type="dxa" w:w="3200"/>
            <w:tcMar>
              <w:top w:type="dxa" w:w="60"/>
              <w:left w:type="dxa" w:w="90"/>
              <w:bottom w:type="dxa" w:w="60"/>
              <w:right w:type="dxa" w:w="90"/>
            </w:tcMar>
            <w:vAlign w:val="center"/>
          </w:tcPr>
          <w:p>
            <w:pPr>
              <w:jc w:val="left"/>
            </w:pPr>
            <w:r>
              <w:rPr>
                <w:b w:val="false"/>
                <w:bCs w:val="false"/>
                <w:color w:val="222222"/>
                <w:sz w:val="19"/>
                <w:szCs w:val="19"/>
              </w:rPr>
              <w:t xml:space="preserve">High</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performance_reviews</w:t>
            </w:r>
          </w:p>
        </w:tc>
        <w:tc>
          <w:tcPr>
            <w:tcW w:type="dxa" w:w="4000"/>
            <w:tcMar>
              <w:top w:type="dxa" w:w="60"/>
              <w:left w:type="dxa" w:w="90"/>
              <w:bottom w:type="dxa" w:w="60"/>
              <w:right w:type="dxa" w:w="90"/>
            </w:tcMar>
            <w:vAlign w:val="center"/>
          </w:tcPr>
          <w:p>
            <w:pPr>
              <w:jc w:val="left"/>
            </w:pPr>
            <w:r>
              <w:rPr>
                <w:b w:val="false"/>
                <w:bCs w:val="false"/>
                <w:color w:val="222222"/>
                <w:sz w:val="19"/>
                <w:szCs w:val="19"/>
              </w:rPr>
              <w:t xml:space="preserve">Periodic review records</w:t>
            </w:r>
          </w:p>
        </w:tc>
        <w:tc>
          <w:tcPr>
            <w:tcW w:type="dxa" w:w="3200"/>
            <w:tcMar>
              <w:top w:type="dxa" w:w="60"/>
              <w:left w:type="dxa" w:w="90"/>
              <w:bottom w:type="dxa" w:w="60"/>
              <w:right w:type="dxa" w:w="90"/>
            </w:tcMar>
            <w:vAlign w:val="center"/>
          </w:tcPr>
          <w:p>
            <w:pPr>
              <w:jc w:val="left"/>
            </w:pPr>
            <w:r>
              <w:rPr>
                <w:b w:val="false"/>
                <w:bCs w:val="false"/>
                <w:color w:val="222222"/>
                <w:sz w:val="19"/>
                <w:szCs w:val="19"/>
              </w:rPr>
              <w:t xml:space="preserve">Low-Medium</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training_records</w:t>
            </w:r>
          </w:p>
        </w:tc>
        <w:tc>
          <w:tcPr>
            <w:tcW w:type="dxa" w:w="4000"/>
            <w:tcMar>
              <w:top w:type="dxa" w:w="60"/>
              <w:left w:type="dxa" w:w="90"/>
              <w:bottom w:type="dxa" w:w="60"/>
              <w:right w:type="dxa" w:w="90"/>
            </w:tcMar>
            <w:vAlign w:val="center"/>
          </w:tcPr>
          <w:p>
            <w:pPr>
              <w:jc w:val="left"/>
            </w:pPr>
            <w:r>
              <w:rPr>
                <w:b w:val="false"/>
                <w:bCs w:val="false"/>
                <w:color w:val="222222"/>
                <w:sz w:val="19"/>
                <w:szCs w:val="19"/>
              </w:rPr>
              <w:t xml:space="preserve">Completed/enrolled training programs</w:t>
            </w:r>
          </w:p>
        </w:tc>
        <w:tc>
          <w:tcPr>
            <w:tcW w:type="dxa" w:w="3200"/>
            <w:tcMar>
              <w:top w:type="dxa" w:w="60"/>
              <w:left w:type="dxa" w:w="90"/>
              <w:bottom w:type="dxa" w:w="60"/>
              <w:right w:type="dxa" w:w="90"/>
            </w:tcMar>
            <w:vAlign w:val="center"/>
          </w:tcPr>
          <w:p>
            <w:pPr>
              <w:jc w:val="left"/>
            </w:pPr>
            <w:r>
              <w:rPr>
                <w:b w:val="false"/>
                <w:bCs w:val="false"/>
                <w:color w:val="222222"/>
                <w:sz w:val="19"/>
                <w:szCs w:val="19"/>
              </w:rPr>
              <w:t xml:space="preserve">Medium</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payroll_runs</w:t>
            </w:r>
          </w:p>
        </w:tc>
        <w:tc>
          <w:tcPr>
            <w:tcW w:type="dxa" w:w="4000"/>
            <w:tcMar>
              <w:top w:type="dxa" w:w="60"/>
              <w:left w:type="dxa" w:w="90"/>
              <w:bottom w:type="dxa" w:w="60"/>
              <w:right w:type="dxa" w:w="90"/>
            </w:tcMar>
            <w:vAlign w:val="center"/>
          </w:tcPr>
          <w:p>
            <w:pPr>
              <w:jc w:val="left"/>
            </w:pPr>
            <w:r>
              <w:rPr>
                <w:b w:val="false"/>
                <w:bCs w:val="false"/>
                <w:color w:val="222222"/>
                <w:sz w:val="19"/>
                <w:szCs w:val="19"/>
              </w:rPr>
              <w:t xml:space="preserve">Per-cycle payroll computation and disbursement record</w:t>
            </w:r>
          </w:p>
        </w:tc>
        <w:tc>
          <w:tcPr>
            <w:tcW w:type="dxa" w:w="3200"/>
            <w:tcMar>
              <w:top w:type="dxa" w:w="60"/>
              <w:left w:type="dxa" w:w="90"/>
              <w:bottom w:type="dxa" w:w="60"/>
              <w:right w:type="dxa" w:w="90"/>
            </w:tcMar>
            <w:vAlign w:val="center"/>
          </w:tcPr>
          <w:p>
            <w:pPr>
              <w:jc w:val="left"/>
            </w:pPr>
            <w:r>
              <w:rPr>
                <w:b w:val="false"/>
                <w:bCs w:val="false"/>
                <w:color w:val="222222"/>
                <w:sz w:val="19"/>
                <w:szCs w:val="19"/>
              </w:rPr>
              <w:t xml:space="preserve">Medium, strict consistency</w:t>
            </w:r>
          </w:p>
        </w:tc>
      </w:tr>
    </w:tbl>
    <w:p>
      <w:pPr>
        <w:pStyle w:val="Heading2"/>
        <w:spacing w:after="150" w:before="300"/>
      </w:pPr>
      <w:r>
        <w:rPr>
          <w:b/>
          <w:bCs/>
          <w:color w:val="0F1C3D"/>
          <w:sz w:val="24"/>
          <w:szCs w:val="24"/>
        </w:rPr>
        <w:t xml:space="preserve">16.2 Core Schema — employees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400"/>
      </w:tblGrid>
      <w:tr>
        <w:trPr>
          <w:tblHeader/>
        </w:trPr>
        <w:tc>
          <w:tcPr>
            <w:tcW w:type="dxa" w:w="2200"/>
            <w:shd w:fill="1B2A55" w:val="clear"/>
            <w:tcMar>
              <w:top w:type="dxa" w:w="60"/>
              <w:left w:type="dxa" w:w="90"/>
              <w:bottom w:type="dxa" w:w="60"/>
              <w:right w:type="dxa" w:w="90"/>
            </w:tcMar>
            <w:vAlign w:val="center"/>
          </w:tcPr>
          <w:p>
            <w:pPr>
              <w:jc w:val="left"/>
            </w:pPr>
            <w:r>
              <w:rPr>
                <w:b/>
                <w:bCs/>
                <w:color w:val="FFFFFF"/>
                <w:sz w:val="19"/>
                <w:szCs w:val="19"/>
              </w:rPr>
              <w:t xml:space="preserve">Field</w:t>
            </w:r>
          </w:p>
        </w:tc>
        <w:tc>
          <w:tcPr>
            <w:tcW w:type="dxa" w:w="1800"/>
            <w:shd w:fill="1B2A55" w:val="clear"/>
            <w:tcMar>
              <w:top w:type="dxa" w:w="60"/>
              <w:left w:type="dxa" w:w="90"/>
              <w:bottom w:type="dxa" w:w="60"/>
              <w:right w:type="dxa" w:w="90"/>
            </w:tcMar>
            <w:vAlign w:val="center"/>
          </w:tcPr>
          <w:p>
            <w:pPr>
              <w:jc w:val="left"/>
            </w:pPr>
            <w:r>
              <w:rPr>
                <w:b/>
                <w:bCs/>
                <w:color w:val="FFFFFF"/>
                <w:sz w:val="19"/>
                <w:szCs w:val="19"/>
              </w:rPr>
              <w:t xml:space="preserve">Type</w:t>
            </w:r>
          </w:p>
        </w:tc>
        <w:tc>
          <w:tcPr>
            <w:tcW w:type="dxa" w:w="5400"/>
            <w:shd w:fill="1B2A55" w:val="clear"/>
            <w:tcMar>
              <w:top w:type="dxa" w:w="60"/>
              <w:left w:type="dxa" w:w="90"/>
              <w:bottom w:type="dxa" w:w="60"/>
              <w:right w:type="dxa" w:w="90"/>
            </w:tcMar>
            <w:vAlign w:val="center"/>
          </w:tcPr>
          <w:p>
            <w:pPr>
              <w:jc w:val="left"/>
            </w:pPr>
            <w:r>
              <w:rPr>
                <w:b/>
                <w:bCs/>
                <w:color w:val="FFFFFF"/>
                <w:sz w:val="19"/>
                <w:szCs w:val="19"/>
              </w:rPr>
              <w:t xml:space="preserve">Notes</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_id</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ObjectId</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institution_id</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ObjectId</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Shard key leading field</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user_id</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ObjectId</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Ref → Admin Manager users (profile_type=faculty|staff)</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employee_code</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String</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Unique per institution</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department_id</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ObjectId</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designation</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String</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employment_type</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String (enum)</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permanent | contract | visiting | probation</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date_of_joining</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Date</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reporting_to</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ObjectId, nullable</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Ref → employees (self-reference for org hierarchy)</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status</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String (enum)</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active | on_leave | separated</w:t>
            </w:r>
          </w:p>
        </w:tc>
      </w:tr>
    </w:tbl>
    <w:p>
      <w:pPr>
        <w:pBdr>
          <w:left w:val="single" w:color="1B2A55" w:sz="18" w:space="6"/>
        </w:pBdr>
        <w:shd w:fill="EEF1F8" w:val="clear"/>
        <w:spacing w:after="200" w:before="100"/>
        <w:ind w:left="120"/>
      </w:pPr>
      <w:r>
        <w:rPr>
          <w:i/>
          <w:iCs/>
          <w:color w:val="0F1C3D"/>
          <w:sz w:val="20"/>
          <w:szCs w:val="20"/>
        </w:rPr>
        <w:t xml:space="preserve">Design note: employees is a separate collection from users (Admin Manager) rather than folding employment fields into users.profile, because HR-specific fields (department, designation, reporting line) change on a different cadence and under different write-permissions than identity/auth fields — keeping them separate limits the blast radius of an HR data-correction to the HR module's own collection.</w:t>
      </w:r>
    </w:p>
    <w:p>
      <w:pPr>
        <w:pStyle w:val="Heading2"/>
        <w:spacing w:after="150" w:before="300"/>
      </w:pPr>
      <w:r>
        <w:rPr>
          <w:b/>
          <w:bCs/>
          <w:color w:val="0F1C3D"/>
          <w:sz w:val="24"/>
          <w:szCs w:val="24"/>
        </w:rPr>
        <w:t xml:space="preserve">16.3 Core Schema — payroll_runs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400"/>
      </w:tblGrid>
      <w:tr>
        <w:trPr>
          <w:tblHeader/>
        </w:trPr>
        <w:tc>
          <w:tcPr>
            <w:tcW w:type="dxa" w:w="2200"/>
            <w:shd w:fill="1B2A55" w:val="clear"/>
            <w:tcMar>
              <w:top w:type="dxa" w:w="60"/>
              <w:left w:type="dxa" w:w="90"/>
              <w:bottom w:type="dxa" w:w="60"/>
              <w:right w:type="dxa" w:w="90"/>
            </w:tcMar>
            <w:vAlign w:val="center"/>
          </w:tcPr>
          <w:p>
            <w:pPr>
              <w:jc w:val="left"/>
            </w:pPr>
            <w:r>
              <w:rPr>
                <w:b/>
                <w:bCs/>
                <w:color w:val="FFFFFF"/>
                <w:sz w:val="19"/>
                <w:szCs w:val="19"/>
              </w:rPr>
              <w:t xml:space="preserve">Field</w:t>
            </w:r>
          </w:p>
        </w:tc>
        <w:tc>
          <w:tcPr>
            <w:tcW w:type="dxa" w:w="1800"/>
            <w:shd w:fill="1B2A55" w:val="clear"/>
            <w:tcMar>
              <w:top w:type="dxa" w:w="60"/>
              <w:left w:type="dxa" w:w="90"/>
              <w:bottom w:type="dxa" w:w="60"/>
              <w:right w:type="dxa" w:w="90"/>
            </w:tcMar>
            <w:vAlign w:val="center"/>
          </w:tcPr>
          <w:p>
            <w:pPr>
              <w:jc w:val="left"/>
            </w:pPr>
            <w:r>
              <w:rPr>
                <w:b/>
                <w:bCs/>
                <w:color w:val="FFFFFF"/>
                <w:sz w:val="19"/>
                <w:szCs w:val="19"/>
              </w:rPr>
              <w:t xml:space="preserve">Type</w:t>
            </w:r>
          </w:p>
        </w:tc>
        <w:tc>
          <w:tcPr>
            <w:tcW w:type="dxa" w:w="5400"/>
            <w:shd w:fill="1B2A55" w:val="clear"/>
            <w:tcMar>
              <w:top w:type="dxa" w:w="60"/>
              <w:left w:type="dxa" w:w="90"/>
              <w:bottom w:type="dxa" w:w="60"/>
              <w:right w:type="dxa" w:w="90"/>
            </w:tcMar>
            <w:vAlign w:val="center"/>
          </w:tcPr>
          <w:p>
            <w:pPr>
              <w:jc w:val="left"/>
            </w:pPr>
            <w:r>
              <w:rPr>
                <w:b/>
                <w:bCs/>
                <w:color w:val="FFFFFF"/>
                <w:sz w:val="19"/>
                <w:szCs w:val="19"/>
              </w:rPr>
              <w:t xml:space="preserve">Notes</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_id</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ObjectId</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institution_id</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ObjectId</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employee_id</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ObjectId</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Ref → employees</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period</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String</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e.g. '2026-08'</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line_items</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Array&lt;Object&gt;</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Embedded: [{component: 'basic'|'hra'|'deduction', amount}] — bounded, single payslip lifecycle</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gross_amount / net_amount</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Decimal128</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Currency fields — Decimal128 mandatory, same convention as Finance</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status</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String (enum)</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draft | approved | disbursed | reversed</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disbursed_at</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Date, nullable</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idempotency_key</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String, unique index</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Same duplicate-disbursement guard pattern as Finance.fee_receipts</w:t>
            </w:r>
          </w:p>
        </w:tc>
      </w:tr>
    </w:tbl>
    <w:p>
      <w:pPr>
        <w:pStyle w:val="ListParagraph"/>
        <w:numPr>
          <w:ilvl w:val="0"/>
          <w:numId w:val="2"/>
        </w:numPr>
        <w:spacing w:after="60"/>
      </w:pPr>
      <w:r>
        <w:rPr>
          <w:color w:val="222222"/>
          <w:sz w:val="21"/>
          <w:szCs w:val="21"/>
        </w:rPr>
        <w:t xml:space="preserve">On status → disbursed, the module publishes a PayrollDisbursed event; Finance &amp; Accounts consumes it to create the corresponding expenses entry — an eventually-consistent saga, not a cross-module transaction, following the same pattern as the Fee Payment → Enrollment Activated flow in Section 8.1/11.1.</w:t>
      </w:r>
    </w:p>
    <w:p>
      <w:pPr>
        <w:pStyle w:val="Heading2"/>
        <w:spacing w:after="150" w:before="300"/>
      </w:pPr>
      <w:r>
        <w:rPr>
          <w:b/>
          <w:bCs/>
          <w:color w:val="0F1C3D"/>
          <w:sz w:val="24"/>
          <w:szCs w:val="24"/>
        </w:rPr>
        <w:t xml:space="preserve">16.4 Embedding vs. Referencing Decisions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200"/>
      </w:tblGrid>
      <w:tr>
        <w:trPr>
          <w:tblHeader/>
        </w:trPr>
        <w:tc>
          <w:tcPr>
            <w:tcW w:type="dxa" w:w="2800"/>
            <w:shd w:fill="1B2A55" w:val="clear"/>
            <w:tcMar>
              <w:top w:type="dxa" w:w="60"/>
              <w:left w:type="dxa" w:w="90"/>
              <w:bottom w:type="dxa" w:w="60"/>
              <w:right w:type="dxa" w:w="90"/>
            </w:tcMar>
            <w:vAlign w:val="center"/>
          </w:tcPr>
          <w:p>
            <w:pPr>
              <w:jc w:val="left"/>
            </w:pPr>
            <w:r>
              <w:rPr>
                <w:b/>
                <w:bCs/>
                <w:color w:val="FFFFFF"/>
                <w:sz w:val="19"/>
                <w:szCs w:val="19"/>
              </w:rPr>
              <w:t xml:space="preserve">Relationship</w:t>
            </w:r>
          </w:p>
        </w:tc>
        <w:tc>
          <w:tcPr>
            <w:tcW w:type="dxa" w:w="2000"/>
            <w:shd w:fill="1B2A55" w:val="clear"/>
            <w:tcMar>
              <w:top w:type="dxa" w:w="60"/>
              <w:left w:type="dxa" w:w="90"/>
              <w:bottom w:type="dxa" w:w="60"/>
              <w:right w:type="dxa" w:w="90"/>
            </w:tcMar>
            <w:vAlign w:val="center"/>
          </w:tcPr>
          <w:p>
            <w:pPr>
              <w:jc w:val="left"/>
            </w:pPr>
            <w:r>
              <w:rPr>
                <w:b/>
                <w:bCs/>
                <w:color w:val="FFFFFF"/>
                <w:sz w:val="19"/>
                <w:szCs w:val="19"/>
              </w:rPr>
              <w:t xml:space="preserve">Approach</w:t>
            </w:r>
          </w:p>
        </w:tc>
        <w:tc>
          <w:tcPr>
            <w:tcW w:type="dxa" w:w="4200"/>
            <w:shd w:fill="1B2A55" w:val="clear"/>
            <w:tcMar>
              <w:top w:type="dxa" w:w="60"/>
              <w:left w:type="dxa" w:w="90"/>
              <w:bottom w:type="dxa" w:w="60"/>
              <w:right w:type="dxa" w:w="90"/>
            </w:tcMar>
            <w:vAlign w:val="center"/>
          </w:tcPr>
          <w:p>
            <w:pPr>
              <w:jc w:val="left"/>
            </w:pPr>
            <w:r>
              <w:rPr>
                <w:b/>
                <w:bCs/>
                <w:color w:val="FFFFFF"/>
                <w:sz w:val="19"/>
                <w:szCs w:val="19"/>
              </w:rPr>
              <w:t xml:space="preserve">Reason</w:t>
            </w:r>
          </w:p>
        </w:tc>
      </w:tr>
      <w:tr>
        <w:tc>
          <w:tcPr>
            <w:tcW w:type="dxa" w:w="2800"/>
            <w:tcMar>
              <w:top w:type="dxa" w:w="60"/>
              <w:left w:type="dxa" w:w="90"/>
              <w:bottom w:type="dxa" w:w="60"/>
              <w:right w:type="dxa" w:w="90"/>
            </w:tcMar>
            <w:vAlign w:val="center"/>
          </w:tcPr>
          <w:p>
            <w:pPr>
              <w:jc w:val="left"/>
            </w:pPr>
            <w:r>
              <w:rPr>
                <w:b w:val="false"/>
                <w:bCs w:val="false"/>
                <w:color w:val="222222"/>
                <w:sz w:val="19"/>
                <w:szCs w:val="19"/>
              </w:rPr>
              <w:t xml:space="preserve">payroll_runs.line_items</w:t>
            </w:r>
          </w:p>
        </w:tc>
        <w:tc>
          <w:tcPr>
            <w:tcW w:type="dxa" w:w="2000"/>
            <w:tcMar>
              <w:top w:type="dxa" w:w="60"/>
              <w:left w:type="dxa" w:w="90"/>
              <w:bottom w:type="dxa" w:w="60"/>
              <w:right w:type="dxa" w:w="90"/>
            </w:tcMar>
            <w:vAlign w:val="center"/>
          </w:tcPr>
          <w:p>
            <w:pPr>
              <w:jc w:val="left"/>
            </w:pPr>
            <w:r>
              <w:rPr>
                <w:b w:val="false"/>
                <w:bCs w:val="false"/>
                <w:color w:val="222222"/>
                <w:sz w:val="19"/>
                <w:szCs w:val="19"/>
              </w:rPr>
              <w:t xml:space="preserve">Embed</w:t>
            </w:r>
          </w:p>
        </w:tc>
        <w:tc>
          <w:tcPr>
            <w:tcW w:type="dxa" w:w="4200"/>
            <w:tcMar>
              <w:top w:type="dxa" w:w="60"/>
              <w:left w:type="dxa" w:w="90"/>
              <w:bottom w:type="dxa" w:w="60"/>
              <w:right w:type="dxa" w:w="90"/>
            </w:tcMar>
            <w:vAlign w:val="center"/>
          </w:tcPr>
          <w:p>
            <w:pPr>
              <w:jc w:val="left"/>
            </w:pPr>
            <w:r>
              <w:rPr>
                <w:b w:val="false"/>
                <w:bCs w:val="false"/>
                <w:color w:val="222222"/>
                <w:sz w:val="19"/>
                <w:szCs w:val="19"/>
              </w:rPr>
              <w:t xml:space="preserve">Bounded payslip components, always read/written together</w:t>
            </w:r>
          </w:p>
        </w:tc>
      </w:tr>
      <w:tr>
        <w:tc>
          <w:tcPr>
            <w:tcW w:type="dxa" w:w="2800"/>
            <w:tcMar>
              <w:top w:type="dxa" w:w="60"/>
              <w:left w:type="dxa" w:w="90"/>
              <w:bottom w:type="dxa" w:w="60"/>
              <w:right w:type="dxa" w:w="90"/>
            </w:tcMar>
            <w:vAlign w:val="center"/>
          </w:tcPr>
          <w:p>
            <w:pPr>
              <w:jc w:val="left"/>
            </w:pPr>
            <w:r>
              <w:rPr>
                <w:b w:val="false"/>
                <w:bCs w:val="false"/>
                <w:color w:val="222222"/>
                <w:sz w:val="19"/>
                <w:szCs w:val="19"/>
              </w:rPr>
              <w:t xml:space="preserve">employees.reporting_to</w:t>
            </w:r>
          </w:p>
        </w:tc>
        <w:tc>
          <w:tcPr>
            <w:tcW w:type="dxa" w:w="2000"/>
            <w:tcMar>
              <w:top w:type="dxa" w:w="60"/>
              <w:left w:type="dxa" w:w="90"/>
              <w:bottom w:type="dxa" w:w="60"/>
              <w:right w:type="dxa" w:w="90"/>
            </w:tcMar>
            <w:vAlign w:val="center"/>
          </w:tcPr>
          <w:p>
            <w:pPr>
              <w:jc w:val="left"/>
            </w:pPr>
            <w:r>
              <w:rPr>
                <w:b w:val="false"/>
                <w:bCs w:val="false"/>
                <w:color w:val="222222"/>
                <w:sz w:val="19"/>
                <w:szCs w:val="19"/>
              </w:rPr>
              <w:t xml:space="preserve">Reference (self-referencing)</w:t>
            </w:r>
          </w:p>
        </w:tc>
        <w:tc>
          <w:tcPr>
            <w:tcW w:type="dxa" w:w="4200"/>
            <w:tcMar>
              <w:top w:type="dxa" w:w="60"/>
              <w:left w:type="dxa" w:w="90"/>
              <w:bottom w:type="dxa" w:w="60"/>
              <w:right w:type="dxa" w:w="90"/>
            </w:tcMar>
            <w:vAlign w:val="center"/>
          </w:tcPr>
          <w:p>
            <w:pPr>
              <w:jc w:val="left"/>
            </w:pPr>
            <w:r>
              <w:rPr>
                <w:b w:val="false"/>
                <w:bCs w:val="false"/>
                <w:color w:val="222222"/>
                <w:sz w:val="19"/>
                <w:szCs w:val="19"/>
              </w:rPr>
              <w:t xml:space="preserve">Org hierarchy changes independently of the employee's own record</w:t>
            </w:r>
          </w:p>
        </w:tc>
      </w:tr>
      <w:tr>
        <w:tc>
          <w:tcPr>
            <w:tcW w:type="dxa" w:w="2800"/>
            <w:tcMar>
              <w:top w:type="dxa" w:w="60"/>
              <w:left w:type="dxa" w:w="90"/>
              <w:bottom w:type="dxa" w:w="60"/>
              <w:right w:type="dxa" w:w="90"/>
            </w:tcMar>
            <w:vAlign w:val="center"/>
          </w:tcPr>
          <w:p>
            <w:pPr>
              <w:jc w:val="left"/>
            </w:pPr>
            <w:r>
              <w:rPr>
                <w:b w:val="false"/>
                <w:bCs w:val="false"/>
                <w:color w:val="222222"/>
                <w:sz w:val="19"/>
                <w:szCs w:val="19"/>
              </w:rPr>
              <w:t xml:space="preserve">attendance_timesheets</w:t>
            </w:r>
          </w:p>
        </w:tc>
        <w:tc>
          <w:tcPr>
            <w:tcW w:type="dxa" w:w="2000"/>
            <w:tcMar>
              <w:top w:type="dxa" w:w="60"/>
              <w:left w:type="dxa" w:w="90"/>
              <w:bottom w:type="dxa" w:w="60"/>
              <w:right w:type="dxa" w:w="90"/>
            </w:tcMar>
            <w:vAlign w:val="center"/>
          </w:tcPr>
          <w:p>
            <w:pPr>
              <w:jc w:val="left"/>
            </w:pPr>
            <w:r>
              <w:rPr>
                <w:b w:val="false"/>
                <w:bCs w:val="false"/>
                <w:color w:val="222222"/>
                <w:sz w:val="19"/>
                <w:szCs w:val="19"/>
              </w:rPr>
              <w:t xml:space="preserve">Separate collection, referencing employee_id</w:t>
            </w:r>
          </w:p>
        </w:tc>
        <w:tc>
          <w:tcPr>
            <w:tcW w:type="dxa" w:w="4200"/>
            <w:tcMar>
              <w:top w:type="dxa" w:w="60"/>
              <w:left w:type="dxa" w:w="90"/>
              <w:bottom w:type="dxa" w:w="60"/>
              <w:right w:type="dxa" w:w="90"/>
            </w:tcMar>
            <w:vAlign w:val="center"/>
          </w:tcPr>
          <w:p>
            <w:pPr>
              <w:jc w:val="left"/>
            </w:pPr>
            <w:r>
              <w:rPr>
                <w:b w:val="false"/>
                <w:bCs w:val="false"/>
                <w:color w:val="222222"/>
                <w:sz w:val="19"/>
                <w:szCs w:val="19"/>
              </w:rPr>
              <w:t xml:space="preserve">High write volume — kept out of the employees document to avoid unbounded growth and write contention</w:t>
            </w:r>
          </w:p>
        </w:tc>
      </w:tr>
    </w:tbl>
    <w:p>
      <w:r>
        <w:br w:type="page"/>
      </w:r>
    </w:p>
    <w:p>
      <w:pPr>
        <w:pStyle w:val="Heading1"/>
        <w:pBdr>
          <w:bottom w:val="single" w:color="1B2A55" w:sz="12" w:space="4"/>
        </w:pBdr>
        <w:spacing w:after="200" w:before="400"/>
      </w:pPr>
      <w:r>
        <w:rPr>
          <w:b/>
          <w:bCs/>
          <w:color w:val="1B2A55"/>
          <w:sz w:val="30"/>
          <w:szCs w:val="30"/>
        </w:rPr>
        <w:t xml:space="preserve">17. Library Management — Detailed Schema Design</w:t>
      </w:r>
    </w:p>
    <w:p>
      <w:pPr>
        <w:spacing w:after="140" w:line="276"/>
      </w:pPr>
      <w:r>
        <w:rPr>
          <w:color w:val="222222"/>
          <w:sz w:val="21"/>
          <w:szCs w:val="21"/>
        </w:rPr>
        <w:t xml:space="preserve">Library Management is a catalog-and-circulation system: a searchable catalog (synced to Elasticsearch per Section 12), circulation transactions, digital assets, memberships, and fines. Circulation is the module's transactional core — checking out a book must atomically decrement available copies.</w:t>
      </w:r>
    </w:p>
    <w:p>
      <w:pPr>
        <w:pStyle w:val="Heading2"/>
        <w:spacing w:after="150" w:before="300"/>
      </w:pPr>
      <w:r>
        <w:rPr>
          <w:b/>
          <w:bCs/>
          <w:color w:val="0F1C3D"/>
          <w:sz w:val="24"/>
          <w:szCs w:val="24"/>
        </w:rPr>
        <w:t xml:space="preserve">17.1 Collections Overview</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200"/>
      </w:tblGrid>
      <w:tr>
        <w:trPr>
          <w:tblHeader/>
        </w:trPr>
        <w:tc>
          <w:tcPr>
            <w:tcW w:type="dxa" w:w="2200"/>
            <w:shd w:fill="1B2A55" w:val="clear"/>
            <w:tcMar>
              <w:top w:type="dxa" w:w="60"/>
              <w:left w:type="dxa" w:w="90"/>
              <w:bottom w:type="dxa" w:w="60"/>
              <w:right w:type="dxa" w:w="90"/>
            </w:tcMar>
            <w:vAlign w:val="center"/>
          </w:tcPr>
          <w:p>
            <w:pPr>
              <w:jc w:val="left"/>
            </w:pPr>
            <w:r>
              <w:rPr>
                <w:b/>
                <w:bCs/>
                <w:color w:val="FFFFFF"/>
                <w:sz w:val="19"/>
                <w:szCs w:val="19"/>
              </w:rPr>
              <w:t xml:space="preserve">Collection</w:t>
            </w:r>
          </w:p>
        </w:tc>
        <w:tc>
          <w:tcPr>
            <w:tcW w:type="dxa" w:w="4000"/>
            <w:shd w:fill="1B2A55" w:val="clear"/>
            <w:tcMar>
              <w:top w:type="dxa" w:w="60"/>
              <w:left w:type="dxa" w:w="90"/>
              <w:bottom w:type="dxa" w:w="60"/>
              <w:right w:type="dxa" w:w="90"/>
            </w:tcMar>
            <w:vAlign w:val="center"/>
          </w:tcPr>
          <w:p>
            <w:pPr>
              <w:jc w:val="left"/>
            </w:pPr>
            <w:r>
              <w:rPr>
                <w:b/>
                <w:bCs/>
                <w:color w:val="FFFFFF"/>
                <w:sz w:val="19"/>
                <w:szCs w:val="19"/>
              </w:rPr>
              <w:t xml:space="preserve">Purpose</w:t>
            </w:r>
          </w:p>
        </w:tc>
        <w:tc>
          <w:tcPr>
            <w:tcW w:type="dxa" w:w="3200"/>
            <w:shd w:fill="1B2A55" w:val="clear"/>
            <w:tcMar>
              <w:top w:type="dxa" w:w="60"/>
              <w:left w:type="dxa" w:w="90"/>
              <w:bottom w:type="dxa" w:w="60"/>
              <w:right w:type="dxa" w:w="90"/>
            </w:tcMar>
            <w:vAlign w:val="center"/>
          </w:tcPr>
          <w:p>
            <w:pPr>
              <w:jc w:val="left"/>
            </w:pPr>
            <w:r>
              <w:rPr>
                <w:b/>
                <w:bCs/>
                <w:color w:val="FFFFFF"/>
                <w:sz w:val="19"/>
                <w:szCs w:val="19"/>
              </w:rPr>
              <w:t xml:space="preserve">Approx. Growth</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catalog_items</w:t>
            </w:r>
          </w:p>
        </w:tc>
        <w:tc>
          <w:tcPr>
            <w:tcW w:type="dxa" w:w="4000"/>
            <w:tcMar>
              <w:top w:type="dxa" w:w="60"/>
              <w:left w:type="dxa" w:w="90"/>
              <w:bottom w:type="dxa" w:w="60"/>
              <w:right w:type="dxa" w:w="90"/>
            </w:tcMar>
            <w:vAlign w:val="center"/>
          </w:tcPr>
          <w:p>
            <w:pPr>
              <w:jc w:val="left"/>
            </w:pPr>
            <w:r>
              <w:rPr>
                <w:b w:val="false"/>
                <w:bCs w:val="false"/>
                <w:color w:val="222222"/>
                <w:sz w:val="19"/>
                <w:szCs w:val="19"/>
              </w:rPr>
              <w:t xml:space="preserve">Books/journals/media catalog with copy counts</w:t>
            </w:r>
          </w:p>
        </w:tc>
        <w:tc>
          <w:tcPr>
            <w:tcW w:type="dxa" w:w="3200"/>
            <w:tcMar>
              <w:top w:type="dxa" w:w="60"/>
              <w:left w:type="dxa" w:w="90"/>
              <w:bottom w:type="dxa" w:w="60"/>
              <w:right w:type="dxa" w:w="90"/>
            </w:tcMar>
            <w:vAlign w:val="center"/>
          </w:tcPr>
          <w:p>
            <w:pPr>
              <w:jc w:val="left"/>
            </w:pPr>
            <w:r>
              <w:rPr>
                <w:b w:val="false"/>
                <w:bCs w:val="false"/>
                <w:color w:val="222222"/>
                <w:sz w:val="19"/>
                <w:szCs w:val="19"/>
              </w:rPr>
              <w:t xml:space="preserve">Medium</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book_circulations</w:t>
            </w:r>
          </w:p>
        </w:tc>
        <w:tc>
          <w:tcPr>
            <w:tcW w:type="dxa" w:w="4000"/>
            <w:tcMar>
              <w:top w:type="dxa" w:w="60"/>
              <w:left w:type="dxa" w:w="90"/>
              <w:bottom w:type="dxa" w:w="60"/>
              <w:right w:type="dxa" w:w="90"/>
            </w:tcMar>
            <w:vAlign w:val="center"/>
          </w:tcPr>
          <w:p>
            <w:pPr>
              <w:jc w:val="left"/>
            </w:pPr>
            <w:r>
              <w:rPr>
                <w:b w:val="false"/>
                <w:bCs w:val="false"/>
                <w:color w:val="222222"/>
                <w:sz w:val="19"/>
                <w:szCs w:val="19"/>
              </w:rPr>
              <w:t xml:space="preserve">Issue/return/renewal transaction records</w:t>
            </w:r>
          </w:p>
        </w:tc>
        <w:tc>
          <w:tcPr>
            <w:tcW w:type="dxa" w:w="3200"/>
            <w:tcMar>
              <w:top w:type="dxa" w:w="60"/>
              <w:left w:type="dxa" w:w="90"/>
              <w:bottom w:type="dxa" w:w="60"/>
              <w:right w:type="dxa" w:w="90"/>
            </w:tcMar>
            <w:vAlign w:val="center"/>
          </w:tcPr>
          <w:p>
            <w:pPr>
              <w:jc w:val="left"/>
            </w:pPr>
            <w:r>
              <w:rPr>
                <w:b w:val="false"/>
                <w:bCs w:val="false"/>
                <w:color w:val="222222"/>
                <w:sz w:val="19"/>
                <w:szCs w:val="19"/>
              </w:rPr>
              <w:t xml:space="preserve">High</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digital_library_assets</w:t>
            </w:r>
          </w:p>
        </w:tc>
        <w:tc>
          <w:tcPr>
            <w:tcW w:type="dxa" w:w="4000"/>
            <w:tcMar>
              <w:top w:type="dxa" w:w="60"/>
              <w:left w:type="dxa" w:w="90"/>
              <w:bottom w:type="dxa" w:w="60"/>
              <w:right w:type="dxa" w:w="90"/>
            </w:tcMar>
            <w:vAlign w:val="center"/>
          </w:tcPr>
          <w:p>
            <w:pPr>
              <w:jc w:val="left"/>
            </w:pPr>
            <w:r>
              <w:rPr>
                <w:b w:val="false"/>
                <w:bCs w:val="false"/>
                <w:color w:val="222222"/>
                <w:sz w:val="19"/>
                <w:szCs w:val="19"/>
              </w:rPr>
              <w:t xml:space="preserve">E-book/e-resource metadata with access pointers</w:t>
            </w:r>
          </w:p>
        </w:tc>
        <w:tc>
          <w:tcPr>
            <w:tcW w:type="dxa" w:w="3200"/>
            <w:tcMar>
              <w:top w:type="dxa" w:w="60"/>
              <w:left w:type="dxa" w:w="90"/>
              <w:bottom w:type="dxa" w:w="60"/>
              <w:right w:type="dxa" w:w="90"/>
            </w:tcMar>
            <w:vAlign w:val="center"/>
          </w:tcPr>
          <w:p>
            <w:pPr>
              <w:jc w:val="left"/>
            </w:pPr>
            <w:r>
              <w:rPr>
                <w:b w:val="false"/>
                <w:bCs w:val="false"/>
                <w:color w:val="222222"/>
                <w:sz w:val="19"/>
                <w:szCs w:val="19"/>
              </w:rPr>
              <w:t xml:space="preserve">Medium</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memberships</w:t>
            </w:r>
          </w:p>
        </w:tc>
        <w:tc>
          <w:tcPr>
            <w:tcW w:type="dxa" w:w="4000"/>
            <w:tcMar>
              <w:top w:type="dxa" w:w="60"/>
              <w:left w:type="dxa" w:w="90"/>
              <w:bottom w:type="dxa" w:w="60"/>
              <w:right w:type="dxa" w:w="90"/>
            </w:tcMar>
            <w:vAlign w:val="center"/>
          </w:tcPr>
          <w:p>
            <w:pPr>
              <w:jc w:val="left"/>
            </w:pPr>
            <w:r>
              <w:rPr>
                <w:b w:val="false"/>
                <w:bCs w:val="false"/>
                <w:color w:val="222222"/>
                <w:sz w:val="19"/>
                <w:szCs w:val="19"/>
              </w:rPr>
              <w:t xml:space="preserve">Per-user library membership status and limits</w:t>
            </w:r>
          </w:p>
        </w:tc>
        <w:tc>
          <w:tcPr>
            <w:tcW w:type="dxa" w:w="3200"/>
            <w:tcMar>
              <w:top w:type="dxa" w:w="60"/>
              <w:left w:type="dxa" w:w="90"/>
              <w:bottom w:type="dxa" w:w="60"/>
              <w:right w:type="dxa" w:w="90"/>
            </w:tcMar>
            <w:vAlign w:val="center"/>
          </w:tcPr>
          <w:p>
            <w:pPr>
              <w:jc w:val="left"/>
            </w:pPr>
            <w:r>
              <w:rPr>
                <w:b w:val="false"/>
                <w:bCs w:val="false"/>
                <w:color w:val="222222"/>
                <w:sz w:val="19"/>
                <w:szCs w:val="19"/>
              </w:rPr>
              <w:t xml:space="preserve">Medium</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fines</w:t>
            </w:r>
          </w:p>
        </w:tc>
        <w:tc>
          <w:tcPr>
            <w:tcW w:type="dxa" w:w="4000"/>
            <w:tcMar>
              <w:top w:type="dxa" w:w="60"/>
              <w:left w:type="dxa" w:w="90"/>
              <w:bottom w:type="dxa" w:w="60"/>
              <w:right w:type="dxa" w:w="90"/>
            </w:tcMar>
            <w:vAlign w:val="center"/>
          </w:tcPr>
          <w:p>
            <w:pPr>
              <w:jc w:val="left"/>
            </w:pPr>
            <w:r>
              <w:rPr>
                <w:b w:val="false"/>
                <w:bCs w:val="false"/>
                <w:color w:val="222222"/>
                <w:sz w:val="19"/>
                <w:szCs w:val="19"/>
              </w:rPr>
              <w:t xml:space="preserve">Overdue/damage fine records, linked to Finance for collection</w:t>
            </w:r>
          </w:p>
        </w:tc>
        <w:tc>
          <w:tcPr>
            <w:tcW w:type="dxa" w:w="3200"/>
            <w:tcMar>
              <w:top w:type="dxa" w:w="60"/>
              <w:left w:type="dxa" w:w="90"/>
              <w:bottom w:type="dxa" w:w="60"/>
              <w:right w:type="dxa" w:w="90"/>
            </w:tcMar>
            <w:vAlign w:val="center"/>
          </w:tcPr>
          <w:p>
            <w:pPr>
              <w:jc w:val="left"/>
            </w:pPr>
            <w:r>
              <w:rPr>
                <w:b w:val="false"/>
                <w:bCs w:val="false"/>
                <w:color w:val="222222"/>
                <w:sz w:val="19"/>
                <w:szCs w:val="19"/>
              </w:rPr>
              <w:t xml:space="preserve">Low-Medium</w:t>
            </w:r>
          </w:p>
        </w:tc>
      </w:tr>
    </w:tbl>
    <w:p>
      <w:pPr>
        <w:pStyle w:val="Heading2"/>
        <w:spacing w:after="150" w:before="300"/>
      </w:pPr>
      <w:r>
        <w:rPr>
          <w:b/>
          <w:bCs/>
          <w:color w:val="0F1C3D"/>
          <w:sz w:val="24"/>
          <w:szCs w:val="24"/>
        </w:rPr>
        <w:t xml:space="preserve">17.2 Core Schema — catalog_items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400"/>
      </w:tblGrid>
      <w:tr>
        <w:trPr>
          <w:tblHeader/>
        </w:trPr>
        <w:tc>
          <w:tcPr>
            <w:tcW w:type="dxa" w:w="2200"/>
            <w:shd w:fill="1B2A55" w:val="clear"/>
            <w:tcMar>
              <w:top w:type="dxa" w:w="60"/>
              <w:left w:type="dxa" w:w="90"/>
              <w:bottom w:type="dxa" w:w="60"/>
              <w:right w:type="dxa" w:w="90"/>
            </w:tcMar>
            <w:vAlign w:val="center"/>
          </w:tcPr>
          <w:p>
            <w:pPr>
              <w:jc w:val="left"/>
            </w:pPr>
            <w:r>
              <w:rPr>
                <w:b/>
                <w:bCs/>
                <w:color w:val="FFFFFF"/>
                <w:sz w:val="19"/>
                <w:szCs w:val="19"/>
              </w:rPr>
              <w:t xml:space="preserve">Field</w:t>
            </w:r>
          </w:p>
        </w:tc>
        <w:tc>
          <w:tcPr>
            <w:tcW w:type="dxa" w:w="1800"/>
            <w:shd w:fill="1B2A55" w:val="clear"/>
            <w:tcMar>
              <w:top w:type="dxa" w:w="60"/>
              <w:left w:type="dxa" w:w="90"/>
              <w:bottom w:type="dxa" w:w="60"/>
              <w:right w:type="dxa" w:w="90"/>
            </w:tcMar>
            <w:vAlign w:val="center"/>
          </w:tcPr>
          <w:p>
            <w:pPr>
              <w:jc w:val="left"/>
            </w:pPr>
            <w:r>
              <w:rPr>
                <w:b/>
                <w:bCs/>
                <w:color w:val="FFFFFF"/>
                <w:sz w:val="19"/>
                <w:szCs w:val="19"/>
              </w:rPr>
              <w:t xml:space="preserve">Type</w:t>
            </w:r>
          </w:p>
        </w:tc>
        <w:tc>
          <w:tcPr>
            <w:tcW w:type="dxa" w:w="5400"/>
            <w:shd w:fill="1B2A55" w:val="clear"/>
            <w:tcMar>
              <w:top w:type="dxa" w:w="60"/>
              <w:left w:type="dxa" w:w="90"/>
              <w:bottom w:type="dxa" w:w="60"/>
              <w:right w:type="dxa" w:w="90"/>
            </w:tcMar>
            <w:vAlign w:val="center"/>
          </w:tcPr>
          <w:p>
            <w:pPr>
              <w:jc w:val="left"/>
            </w:pPr>
            <w:r>
              <w:rPr>
                <w:b/>
                <w:bCs/>
                <w:color w:val="FFFFFF"/>
                <w:sz w:val="19"/>
                <w:szCs w:val="19"/>
              </w:rPr>
              <w:t xml:space="preserve">Notes</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_id</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ObjectId</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institution_id</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ObjectId</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Shard key leading field</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isbn</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String, nullable</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title / authors / subject_tags</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String / Array&lt;String&gt;</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Synced to Elasticsearch for full-text/faceted search per Section 12</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total_copies / available_copies</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Int</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available_copies updated via findOneAndUpdate with a $gt:0 guard on checkout — never read-then-write</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location</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String</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Shelf/section reference</w:t>
            </w:r>
          </w:p>
        </w:tc>
      </w:tr>
    </w:tbl>
    <w:p>
      <w:pPr>
        <w:pStyle w:val="Heading2"/>
        <w:spacing w:after="150" w:before="300"/>
      </w:pPr>
      <w:r>
        <w:rPr>
          <w:b/>
          <w:bCs/>
          <w:color w:val="0F1C3D"/>
          <w:sz w:val="24"/>
          <w:szCs w:val="24"/>
        </w:rPr>
        <w:t xml:space="preserve">17.3 Core Schema — book_circulations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400"/>
      </w:tblGrid>
      <w:tr>
        <w:trPr>
          <w:tblHeader/>
        </w:trPr>
        <w:tc>
          <w:tcPr>
            <w:tcW w:type="dxa" w:w="2200"/>
            <w:shd w:fill="1B2A55" w:val="clear"/>
            <w:tcMar>
              <w:top w:type="dxa" w:w="60"/>
              <w:left w:type="dxa" w:w="90"/>
              <w:bottom w:type="dxa" w:w="60"/>
              <w:right w:type="dxa" w:w="90"/>
            </w:tcMar>
            <w:vAlign w:val="center"/>
          </w:tcPr>
          <w:p>
            <w:pPr>
              <w:jc w:val="left"/>
            </w:pPr>
            <w:r>
              <w:rPr>
                <w:b/>
                <w:bCs/>
                <w:color w:val="FFFFFF"/>
                <w:sz w:val="19"/>
                <w:szCs w:val="19"/>
              </w:rPr>
              <w:t xml:space="preserve">Field</w:t>
            </w:r>
          </w:p>
        </w:tc>
        <w:tc>
          <w:tcPr>
            <w:tcW w:type="dxa" w:w="1800"/>
            <w:shd w:fill="1B2A55" w:val="clear"/>
            <w:tcMar>
              <w:top w:type="dxa" w:w="60"/>
              <w:left w:type="dxa" w:w="90"/>
              <w:bottom w:type="dxa" w:w="60"/>
              <w:right w:type="dxa" w:w="90"/>
            </w:tcMar>
            <w:vAlign w:val="center"/>
          </w:tcPr>
          <w:p>
            <w:pPr>
              <w:jc w:val="left"/>
            </w:pPr>
            <w:r>
              <w:rPr>
                <w:b/>
                <w:bCs/>
                <w:color w:val="FFFFFF"/>
                <w:sz w:val="19"/>
                <w:szCs w:val="19"/>
              </w:rPr>
              <w:t xml:space="preserve">Type</w:t>
            </w:r>
          </w:p>
        </w:tc>
        <w:tc>
          <w:tcPr>
            <w:tcW w:type="dxa" w:w="5400"/>
            <w:shd w:fill="1B2A55" w:val="clear"/>
            <w:tcMar>
              <w:top w:type="dxa" w:w="60"/>
              <w:left w:type="dxa" w:w="90"/>
              <w:bottom w:type="dxa" w:w="60"/>
              <w:right w:type="dxa" w:w="90"/>
            </w:tcMar>
            <w:vAlign w:val="center"/>
          </w:tcPr>
          <w:p>
            <w:pPr>
              <w:jc w:val="left"/>
            </w:pPr>
            <w:r>
              <w:rPr>
                <w:b/>
                <w:bCs/>
                <w:color w:val="FFFFFF"/>
                <w:sz w:val="19"/>
                <w:szCs w:val="19"/>
              </w:rPr>
              <w:t xml:space="preserve">Notes</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_id</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ObjectId</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institution_id</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ObjectId</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catalog_item_id</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ObjectId</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Ref → catalog_items</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member_id</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ObjectId</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Ref → Admin Manager users</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issued_at / due_at / returned_at</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Date</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returned_at null while the item is out</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renewal_count</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Int</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status</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String (enum)</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issued | returned | overdue | lost</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fine_id</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ObjectId, nullable</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Ref → fines, set if the return is late/damaged</w:t>
            </w:r>
          </w:p>
        </w:tc>
      </w:tr>
    </w:tbl>
    <w:p>
      <w:pPr>
        <w:pStyle w:val="ListParagraph"/>
        <w:numPr>
          <w:ilvl w:val="0"/>
          <w:numId w:val="2"/>
        </w:numPr>
        <w:spacing w:after="60"/>
      </w:pPr>
      <w:r>
        <w:rPr>
          <w:color w:val="222222"/>
          <w:sz w:val="21"/>
          <w:szCs w:val="21"/>
        </w:rPr>
        <w:t xml:space="preserve">Checkout is a single-collection transaction: findOneAndUpdate on catalog_items (decrement available_copies with a &gt;0 guard) followed by insertOne on book_circulations, wrapped in a session — the same optimistic-guard pattern used for course_sections.seats_filled in Section 4.3.</w:t>
      </w:r>
    </w:p>
    <w:p>
      <w:pPr>
        <w:pStyle w:val="Heading2"/>
        <w:spacing w:after="150" w:before="300"/>
      </w:pPr>
      <w:r>
        <w:rPr>
          <w:b/>
          <w:bCs/>
          <w:color w:val="0F1C3D"/>
          <w:sz w:val="24"/>
          <w:szCs w:val="24"/>
        </w:rPr>
        <w:t xml:space="preserve">17.4 Embedding vs. Referencing Decisions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200"/>
      </w:tblGrid>
      <w:tr>
        <w:trPr>
          <w:tblHeader/>
        </w:trPr>
        <w:tc>
          <w:tcPr>
            <w:tcW w:type="dxa" w:w="2800"/>
            <w:shd w:fill="1B2A55" w:val="clear"/>
            <w:tcMar>
              <w:top w:type="dxa" w:w="60"/>
              <w:left w:type="dxa" w:w="90"/>
              <w:bottom w:type="dxa" w:w="60"/>
              <w:right w:type="dxa" w:w="90"/>
            </w:tcMar>
            <w:vAlign w:val="center"/>
          </w:tcPr>
          <w:p>
            <w:pPr>
              <w:jc w:val="left"/>
            </w:pPr>
            <w:r>
              <w:rPr>
                <w:b/>
                <w:bCs/>
                <w:color w:val="FFFFFF"/>
                <w:sz w:val="19"/>
                <w:szCs w:val="19"/>
              </w:rPr>
              <w:t xml:space="preserve">Relationship</w:t>
            </w:r>
          </w:p>
        </w:tc>
        <w:tc>
          <w:tcPr>
            <w:tcW w:type="dxa" w:w="2000"/>
            <w:shd w:fill="1B2A55" w:val="clear"/>
            <w:tcMar>
              <w:top w:type="dxa" w:w="60"/>
              <w:left w:type="dxa" w:w="90"/>
              <w:bottom w:type="dxa" w:w="60"/>
              <w:right w:type="dxa" w:w="90"/>
            </w:tcMar>
            <w:vAlign w:val="center"/>
          </w:tcPr>
          <w:p>
            <w:pPr>
              <w:jc w:val="left"/>
            </w:pPr>
            <w:r>
              <w:rPr>
                <w:b/>
                <w:bCs/>
                <w:color w:val="FFFFFF"/>
                <w:sz w:val="19"/>
                <w:szCs w:val="19"/>
              </w:rPr>
              <w:t xml:space="preserve">Approach</w:t>
            </w:r>
          </w:p>
        </w:tc>
        <w:tc>
          <w:tcPr>
            <w:tcW w:type="dxa" w:w="4200"/>
            <w:shd w:fill="1B2A55" w:val="clear"/>
            <w:tcMar>
              <w:top w:type="dxa" w:w="60"/>
              <w:left w:type="dxa" w:w="90"/>
              <w:bottom w:type="dxa" w:w="60"/>
              <w:right w:type="dxa" w:w="90"/>
            </w:tcMar>
            <w:vAlign w:val="center"/>
          </w:tcPr>
          <w:p>
            <w:pPr>
              <w:jc w:val="left"/>
            </w:pPr>
            <w:r>
              <w:rPr>
                <w:b/>
                <w:bCs/>
                <w:color w:val="FFFFFF"/>
                <w:sz w:val="19"/>
                <w:szCs w:val="19"/>
              </w:rPr>
              <w:t xml:space="preserve">Reason</w:t>
            </w:r>
          </w:p>
        </w:tc>
      </w:tr>
      <w:tr>
        <w:tc>
          <w:tcPr>
            <w:tcW w:type="dxa" w:w="2800"/>
            <w:tcMar>
              <w:top w:type="dxa" w:w="60"/>
              <w:left w:type="dxa" w:w="90"/>
              <w:bottom w:type="dxa" w:w="60"/>
              <w:right w:type="dxa" w:w="90"/>
            </w:tcMar>
            <w:vAlign w:val="center"/>
          </w:tcPr>
          <w:p>
            <w:pPr>
              <w:jc w:val="left"/>
            </w:pPr>
            <w:r>
              <w:rPr>
                <w:b w:val="false"/>
                <w:bCs w:val="false"/>
                <w:color w:val="222222"/>
                <w:sz w:val="19"/>
                <w:szCs w:val="19"/>
              </w:rPr>
              <w:t xml:space="preserve">book_circulations ↔ catalog_items</w:t>
            </w:r>
          </w:p>
        </w:tc>
        <w:tc>
          <w:tcPr>
            <w:tcW w:type="dxa" w:w="2000"/>
            <w:tcMar>
              <w:top w:type="dxa" w:w="60"/>
              <w:left w:type="dxa" w:w="90"/>
              <w:bottom w:type="dxa" w:w="60"/>
              <w:right w:type="dxa" w:w="90"/>
            </w:tcMar>
            <w:vAlign w:val="center"/>
          </w:tcPr>
          <w:p>
            <w:pPr>
              <w:jc w:val="left"/>
            </w:pPr>
            <w:r>
              <w:rPr>
                <w:b w:val="false"/>
                <w:bCs w:val="false"/>
                <w:color w:val="222222"/>
                <w:sz w:val="19"/>
                <w:szCs w:val="19"/>
              </w:rPr>
              <w:t xml:space="preserve">Reference</w:t>
            </w:r>
          </w:p>
        </w:tc>
        <w:tc>
          <w:tcPr>
            <w:tcW w:type="dxa" w:w="4200"/>
            <w:tcMar>
              <w:top w:type="dxa" w:w="60"/>
              <w:left w:type="dxa" w:w="90"/>
              <w:bottom w:type="dxa" w:w="60"/>
              <w:right w:type="dxa" w:w="90"/>
            </w:tcMar>
            <w:vAlign w:val="center"/>
          </w:tcPr>
          <w:p>
            <w:pPr>
              <w:jc w:val="left"/>
            </w:pPr>
            <w:r>
              <w:rPr>
                <w:b w:val="false"/>
                <w:bCs w:val="false"/>
                <w:color w:val="222222"/>
                <w:sz w:val="19"/>
                <w:szCs w:val="19"/>
              </w:rPr>
              <w:t xml:space="preserve">Circulation history must outlive and be queryable independently of the catalog item's current state</w:t>
            </w:r>
          </w:p>
        </w:tc>
      </w:tr>
      <w:tr>
        <w:tc>
          <w:tcPr>
            <w:tcW w:type="dxa" w:w="2800"/>
            <w:tcMar>
              <w:top w:type="dxa" w:w="60"/>
              <w:left w:type="dxa" w:w="90"/>
              <w:bottom w:type="dxa" w:w="60"/>
              <w:right w:type="dxa" w:w="90"/>
            </w:tcMar>
            <w:vAlign w:val="center"/>
          </w:tcPr>
          <w:p>
            <w:pPr>
              <w:jc w:val="left"/>
            </w:pPr>
            <w:r>
              <w:rPr>
                <w:b w:val="false"/>
                <w:bCs w:val="false"/>
                <w:color w:val="222222"/>
                <w:sz w:val="19"/>
                <w:szCs w:val="19"/>
              </w:rPr>
              <w:t xml:space="preserve">fines ↔ book_circulations</w:t>
            </w:r>
          </w:p>
        </w:tc>
        <w:tc>
          <w:tcPr>
            <w:tcW w:type="dxa" w:w="2000"/>
            <w:tcMar>
              <w:top w:type="dxa" w:w="60"/>
              <w:left w:type="dxa" w:w="90"/>
              <w:bottom w:type="dxa" w:w="60"/>
              <w:right w:type="dxa" w:w="90"/>
            </w:tcMar>
            <w:vAlign w:val="center"/>
          </w:tcPr>
          <w:p>
            <w:pPr>
              <w:jc w:val="left"/>
            </w:pPr>
            <w:r>
              <w:rPr>
                <w:b w:val="false"/>
                <w:bCs w:val="false"/>
                <w:color w:val="222222"/>
                <w:sz w:val="19"/>
                <w:szCs w:val="19"/>
              </w:rPr>
              <w:t xml:space="preserve">Reference</w:t>
            </w:r>
          </w:p>
        </w:tc>
        <w:tc>
          <w:tcPr>
            <w:tcW w:type="dxa" w:w="4200"/>
            <w:tcMar>
              <w:top w:type="dxa" w:w="60"/>
              <w:left w:type="dxa" w:w="90"/>
              <w:bottom w:type="dxa" w:w="60"/>
              <w:right w:type="dxa" w:w="90"/>
            </w:tcMar>
            <w:vAlign w:val="center"/>
          </w:tcPr>
          <w:p>
            <w:pPr>
              <w:jc w:val="left"/>
            </w:pPr>
            <w:r>
              <w:rPr>
                <w:b w:val="false"/>
                <w:bCs w:val="false"/>
                <w:color w:val="222222"/>
                <w:sz w:val="19"/>
                <w:szCs w:val="19"/>
              </w:rPr>
              <w:t xml:space="preserve">Fine collection/waiver workflow has its own lifecycle beyond the return event</w:t>
            </w:r>
          </w:p>
        </w:tc>
      </w:tr>
    </w:tbl>
    <w:p>
      <w:r>
        <w:br w:type="page"/>
      </w:r>
    </w:p>
    <w:p>
      <w:pPr>
        <w:pStyle w:val="Heading1"/>
        <w:pBdr>
          <w:bottom w:val="single" w:color="1B2A55" w:sz="12" w:space="4"/>
        </w:pBdr>
        <w:spacing w:after="200" w:before="400"/>
      </w:pPr>
      <w:r>
        <w:rPr>
          <w:b/>
          <w:bCs/>
          <w:color w:val="1B2A55"/>
          <w:sz w:val="30"/>
          <w:szCs w:val="30"/>
        </w:rPr>
        <w:t xml:space="preserve">18. Hostel Management — Detailed Schema Design</w:t>
      </w:r>
    </w:p>
    <w:p>
      <w:pPr>
        <w:spacing w:after="140" w:line="276"/>
      </w:pPr>
      <w:r>
        <w:rPr>
          <w:color w:val="222222"/>
          <w:sz w:val="21"/>
          <w:szCs w:val="21"/>
        </w:rPr>
        <w:t xml:space="preserve">Hostel Management tracks room inventory, allocations, daily check-ins, mess plans, visitor logs, and maintenance requests. Room allocation shares the same capacity-guard write pattern used in Academic (course_sections) and Library (catalog_items).</w:t>
      </w:r>
    </w:p>
    <w:p>
      <w:pPr>
        <w:pStyle w:val="Heading2"/>
        <w:spacing w:after="150" w:before="300"/>
      </w:pPr>
      <w:r>
        <w:rPr>
          <w:b/>
          <w:bCs/>
          <w:color w:val="0F1C3D"/>
          <w:sz w:val="24"/>
          <w:szCs w:val="24"/>
        </w:rPr>
        <w:t xml:space="preserve">18.1 Collections Overview</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200"/>
      </w:tblGrid>
      <w:tr>
        <w:trPr>
          <w:tblHeader/>
        </w:trPr>
        <w:tc>
          <w:tcPr>
            <w:tcW w:type="dxa" w:w="2200"/>
            <w:shd w:fill="1B2A55" w:val="clear"/>
            <w:tcMar>
              <w:top w:type="dxa" w:w="60"/>
              <w:left w:type="dxa" w:w="90"/>
              <w:bottom w:type="dxa" w:w="60"/>
              <w:right w:type="dxa" w:w="90"/>
            </w:tcMar>
            <w:vAlign w:val="center"/>
          </w:tcPr>
          <w:p>
            <w:pPr>
              <w:jc w:val="left"/>
            </w:pPr>
            <w:r>
              <w:rPr>
                <w:b/>
                <w:bCs/>
                <w:color w:val="FFFFFF"/>
                <w:sz w:val="19"/>
                <w:szCs w:val="19"/>
              </w:rPr>
              <w:t xml:space="preserve">Collection</w:t>
            </w:r>
          </w:p>
        </w:tc>
        <w:tc>
          <w:tcPr>
            <w:tcW w:type="dxa" w:w="4000"/>
            <w:shd w:fill="1B2A55" w:val="clear"/>
            <w:tcMar>
              <w:top w:type="dxa" w:w="60"/>
              <w:left w:type="dxa" w:w="90"/>
              <w:bottom w:type="dxa" w:w="60"/>
              <w:right w:type="dxa" w:w="90"/>
            </w:tcMar>
            <w:vAlign w:val="center"/>
          </w:tcPr>
          <w:p>
            <w:pPr>
              <w:jc w:val="left"/>
            </w:pPr>
            <w:r>
              <w:rPr>
                <w:b/>
                <w:bCs/>
                <w:color w:val="FFFFFF"/>
                <w:sz w:val="19"/>
                <w:szCs w:val="19"/>
              </w:rPr>
              <w:t xml:space="preserve">Purpose</w:t>
            </w:r>
          </w:p>
        </w:tc>
        <w:tc>
          <w:tcPr>
            <w:tcW w:type="dxa" w:w="3200"/>
            <w:shd w:fill="1B2A55" w:val="clear"/>
            <w:tcMar>
              <w:top w:type="dxa" w:w="60"/>
              <w:left w:type="dxa" w:w="90"/>
              <w:bottom w:type="dxa" w:w="60"/>
              <w:right w:type="dxa" w:w="90"/>
            </w:tcMar>
            <w:vAlign w:val="center"/>
          </w:tcPr>
          <w:p>
            <w:pPr>
              <w:jc w:val="left"/>
            </w:pPr>
            <w:r>
              <w:rPr>
                <w:b/>
                <w:bCs/>
                <w:color w:val="FFFFFF"/>
                <w:sz w:val="19"/>
                <w:szCs w:val="19"/>
              </w:rPr>
              <w:t xml:space="preserve">Approx. Growth</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rooms</w:t>
            </w:r>
          </w:p>
        </w:tc>
        <w:tc>
          <w:tcPr>
            <w:tcW w:type="dxa" w:w="4000"/>
            <w:tcMar>
              <w:top w:type="dxa" w:w="60"/>
              <w:left w:type="dxa" w:w="90"/>
              <w:bottom w:type="dxa" w:w="60"/>
              <w:right w:type="dxa" w:w="90"/>
            </w:tcMar>
            <w:vAlign w:val="center"/>
          </w:tcPr>
          <w:p>
            <w:pPr>
              <w:jc w:val="left"/>
            </w:pPr>
            <w:r>
              <w:rPr>
                <w:b w:val="false"/>
                <w:bCs w:val="false"/>
                <w:color w:val="222222"/>
                <w:sz w:val="19"/>
                <w:szCs w:val="19"/>
              </w:rPr>
              <w:t xml:space="preserve">Room inventory with capacity and occupancy</w:t>
            </w:r>
          </w:p>
        </w:tc>
        <w:tc>
          <w:tcPr>
            <w:tcW w:type="dxa" w:w="3200"/>
            <w:tcMar>
              <w:top w:type="dxa" w:w="60"/>
              <w:left w:type="dxa" w:w="90"/>
              <w:bottom w:type="dxa" w:w="60"/>
              <w:right w:type="dxa" w:w="90"/>
            </w:tcMar>
            <w:vAlign w:val="center"/>
          </w:tcPr>
          <w:p>
            <w:pPr>
              <w:jc w:val="left"/>
            </w:pPr>
            <w:r>
              <w:rPr>
                <w:b w:val="false"/>
                <w:bCs w:val="false"/>
                <w:color w:val="222222"/>
                <w:sz w:val="19"/>
                <w:szCs w:val="19"/>
              </w:rPr>
              <w:t xml:space="preserve">Low</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room_allocations</w:t>
            </w:r>
          </w:p>
        </w:tc>
        <w:tc>
          <w:tcPr>
            <w:tcW w:type="dxa" w:w="4000"/>
            <w:tcMar>
              <w:top w:type="dxa" w:w="60"/>
              <w:left w:type="dxa" w:w="90"/>
              <w:bottom w:type="dxa" w:w="60"/>
              <w:right w:type="dxa" w:w="90"/>
            </w:tcMar>
            <w:vAlign w:val="center"/>
          </w:tcPr>
          <w:p>
            <w:pPr>
              <w:jc w:val="left"/>
            </w:pPr>
            <w:r>
              <w:rPr>
                <w:b w:val="false"/>
                <w:bCs w:val="false"/>
                <w:color w:val="222222"/>
                <w:sz w:val="19"/>
                <w:szCs w:val="19"/>
              </w:rPr>
              <w:t xml:space="preserve">Student ↔ room assignment for a term/year</w:t>
            </w:r>
          </w:p>
        </w:tc>
        <w:tc>
          <w:tcPr>
            <w:tcW w:type="dxa" w:w="3200"/>
            <w:tcMar>
              <w:top w:type="dxa" w:w="60"/>
              <w:left w:type="dxa" w:w="90"/>
              <w:bottom w:type="dxa" w:w="60"/>
              <w:right w:type="dxa" w:w="90"/>
            </w:tcMar>
            <w:vAlign w:val="center"/>
          </w:tcPr>
          <w:p>
            <w:pPr>
              <w:jc w:val="left"/>
            </w:pPr>
            <w:r>
              <w:rPr>
                <w:b w:val="false"/>
                <w:bCs w:val="false"/>
                <w:color w:val="222222"/>
                <w:sz w:val="19"/>
                <w:szCs w:val="19"/>
              </w:rPr>
              <w:t xml:space="preserve">Medium</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hostel_checkins</w:t>
            </w:r>
          </w:p>
        </w:tc>
        <w:tc>
          <w:tcPr>
            <w:tcW w:type="dxa" w:w="4000"/>
            <w:tcMar>
              <w:top w:type="dxa" w:w="60"/>
              <w:left w:type="dxa" w:w="90"/>
              <w:bottom w:type="dxa" w:w="60"/>
              <w:right w:type="dxa" w:w="90"/>
            </w:tcMar>
            <w:vAlign w:val="center"/>
          </w:tcPr>
          <w:p>
            <w:pPr>
              <w:jc w:val="left"/>
            </w:pPr>
            <w:r>
              <w:rPr>
                <w:b w:val="false"/>
                <w:bCs w:val="false"/>
                <w:color w:val="222222"/>
                <w:sz w:val="19"/>
                <w:szCs w:val="19"/>
              </w:rPr>
              <w:t xml:space="preserve">Daily in/out check-in ledger</w:t>
            </w:r>
          </w:p>
        </w:tc>
        <w:tc>
          <w:tcPr>
            <w:tcW w:type="dxa" w:w="3200"/>
            <w:tcMar>
              <w:top w:type="dxa" w:w="60"/>
              <w:left w:type="dxa" w:w="90"/>
              <w:bottom w:type="dxa" w:w="60"/>
              <w:right w:type="dxa" w:w="90"/>
            </w:tcMar>
            <w:vAlign w:val="center"/>
          </w:tcPr>
          <w:p>
            <w:pPr>
              <w:jc w:val="left"/>
            </w:pPr>
            <w:r>
              <w:rPr>
                <w:b w:val="false"/>
                <w:bCs w:val="false"/>
                <w:color w:val="222222"/>
                <w:sz w:val="19"/>
                <w:szCs w:val="19"/>
              </w:rPr>
              <w:t xml:space="preserve">High</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mess_plans</w:t>
            </w:r>
          </w:p>
        </w:tc>
        <w:tc>
          <w:tcPr>
            <w:tcW w:type="dxa" w:w="4000"/>
            <w:tcMar>
              <w:top w:type="dxa" w:w="60"/>
              <w:left w:type="dxa" w:w="90"/>
              <w:bottom w:type="dxa" w:w="60"/>
              <w:right w:type="dxa" w:w="90"/>
            </w:tcMar>
            <w:vAlign w:val="center"/>
          </w:tcPr>
          <w:p>
            <w:pPr>
              <w:jc w:val="left"/>
            </w:pPr>
            <w:r>
              <w:rPr>
                <w:b w:val="false"/>
                <w:bCs w:val="false"/>
                <w:color w:val="222222"/>
                <w:sz w:val="19"/>
                <w:szCs w:val="19"/>
              </w:rPr>
              <w:t xml:space="preserve">Meal plan subscriptions</w:t>
            </w:r>
          </w:p>
        </w:tc>
        <w:tc>
          <w:tcPr>
            <w:tcW w:type="dxa" w:w="3200"/>
            <w:tcMar>
              <w:top w:type="dxa" w:w="60"/>
              <w:left w:type="dxa" w:w="90"/>
              <w:bottom w:type="dxa" w:w="60"/>
              <w:right w:type="dxa" w:w="90"/>
            </w:tcMar>
            <w:vAlign w:val="center"/>
          </w:tcPr>
          <w:p>
            <w:pPr>
              <w:jc w:val="left"/>
            </w:pPr>
            <w:r>
              <w:rPr>
                <w:b w:val="false"/>
                <w:bCs w:val="false"/>
                <w:color w:val="222222"/>
                <w:sz w:val="19"/>
                <w:szCs w:val="19"/>
              </w:rPr>
              <w:t xml:space="preserve">Medium</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visitor_logs</w:t>
            </w:r>
          </w:p>
        </w:tc>
        <w:tc>
          <w:tcPr>
            <w:tcW w:type="dxa" w:w="4000"/>
            <w:tcMar>
              <w:top w:type="dxa" w:w="60"/>
              <w:left w:type="dxa" w:w="90"/>
              <w:bottom w:type="dxa" w:w="60"/>
              <w:right w:type="dxa" w:w="90"/>
            </w:tcMar>
            <w:vAlign w:val="center"/>
          </w:tcPr>
          <w:p>
            <w:pPr>
              <w:jc w:val="left"/>
            </w:pPr>
            <w:r>
              <w:rPr>
                <w:b w:val="false"/>
                <w:bCs w:val="false"/>
                <w:color w:val="222222"/>
                <w:sz w:val="19"/>
                <w:szCs w:val="19"/>
              </w:rPr>
              <w:t xml:space="preserve">Visitor entry records</w:t>
            </w:r>
          </w:p>
        </w:tc>
        <w:tc>
          <w:tcPr>
            <w:tcW w:type="dxa" w:w="3200"/>
            <w:tcMar>
              <w:top w:type="dxa" w:w="60"/>
              <w:left w:type="dxa" w:w="90"/>
              <w:bottom w:type="dxa" w:w="60"/>
              <w:right w:type="dxa" w:w="90"/>
            </w:tcMar>
            <w:vAlign w:val="center"/>
          </w:tcPr>
          <w:p>
            <w:pPr>
              <w:jc w:val="left"/>
            </w:pPr>
            <w:r>
              <w:rPr>
                <w:b w:val="false"/>
                <w:bCs w:val="false"/>
                <w:color w:val="222222"/>
                <w:sz w:val="19"/>
                <w:szCs w:val="19"/>
              </w:rPr>
              <w:t xml:space="preserve">Medium</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maintenance_requests</w:t>
            </w:r>
          </w:p>
        </w:tc>
        <w:tc>
          <w:tcPr>
            <w:tcW w:type="dxa" w:w="4000"/>
            <w:tcMar>
              <w:top w:type="dxa" w:w="60"/>
              <w:left w:type="dxa" w:w="90"/>
              <w:bottom w:type="dxa" w:w="60"/>
              <w:right w:type="dxa" w:w="90"/>
            </w:tcMar>
            <w:vAlign w:val="center"/>
          </w:tcPr>
          <w:p>
            <w:pPr>
              <w:jc w:val="left"/>
            </w:pPr>
            <w:r>
              <w:rPr>
                <w:b w:val="false"/>
                <w:bCs w:val="false"/>
                <w:color w:val="222222"/>
                <w:sz w:val="19"/>
                <w:szCs w:val="19"/>
              </w:rPr>
              <w:t xml:space="preserve">Room/facility maintenance tickets</w:t>
            </w:r>
          </w:p>
        </w:tc>
        <w:tc>
          <w:tcPr>
            <w:tcW w:type="dxa" w:w="3200"/>
            <w:tcMar>
              <w:top w:type="dxa" w:w="60"/>
              <w:left w:type="dxa" w:w="90"/>
              <w:bottom w:type="dxa" w:w="60"/>
              <w:right w:type="dxa" w:w="90"/>
            </w:tcMar>
            <w:vAlign w:val="center"/>
          </w:tcPr>
          <w:p>
            <w:pPr>
              <w:jc w:val="left"/>
            </w:pPr>
            <w:r>
              <w:rPr>
                <w:b w:val="false"/>
                <w:bCs w:val="false"/>
                <w:color w:val="222222"/>
                <w:sz w:val="19"/>
                <w:szCs w:val="19"/>
              </w:rPr>
              <w:t xml:space="preserve">Low-Medium</w:t>
            </w:r>
          </w:p>
        </w:tc>
      </w:tr>
    </w:tbl>
    <w:p>
      <w:pPr>
        <w:pStyle w:val="Heading2"/>
        <w:spacing w:after="150" w:before="300"/>
      </w:pPr>
      <w:r>
        <w:rPr>
          <w:b/>
          <w:bCs/>
          <w:color w:val="0F1C3D"/>
          <w:sz w:val="24"/>
          <w:szCs w:val="24"/>
        </w:rPr>
        <w:t xml:space="preserve">18.2 Core Schema — room_allocations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400"/>
      </w:tblGrid>
      <w:tr>
        <w:trPr>
          <w:tblHeader/>
        </w:trPr>
        <w:tc>
          <w:tcPr>
            <w:tcW w:type="dxa" w:w="2200"/>
            <w:shd w:fill="1B2A55" w:val="clear"/>
            <w:tcMar>
              <w:top w:type="dxa" w:w="60"/>
              <w:left w:type="dxa" w:w="90"/>
              <w:bottom w:type="dxa" w:w="60"/>
              <w:right w:type="dxa" w:w="90"/>
            </w:tcMar>
            <w:vAlign w:val="center"/>
          </w:tcPr>
          <w:p>
            <w:pPr>
              <w:jc w:val="left"/>
            </w:pPr>
            <w:r>
              <w:rPr>
                <w:b/>
                <w:bCs/>
                <w:color w:val="FFFFFF"/>
                <w:sz w:val="19"/>
                <w:szCs w:val="19"/>
              </w:rPr>
              <w:t xml:space="preserve">Field</w:t>
            </w:r>
          </w:p>
        </w:tc>
        <w:tc>
          <w:tcPr>
            <w:tcW w:type="dxa" w:w="1800"/>
            <w:shd w:fill="1B2A55" w:val="clear"/>
            <w:tcMar>
              <w:top w:type="dxa" w:w="60"/>
              <w:left w:type="dxa" w:w="90"/>
              <w:bottom w:type="dxa" w:w="60"/>
              <w:right w:type="dxa" w:w="90"/>
            </w:tcMar>
            <w:vAlign w:val="center"/>
          </w:tcPr>
          <w:p>
            <w:pPr>
              <w:jc w:val="left"/>
            </w:pPr>
            <w:r>
              <w:rPr>
                <w:b/>
                <w:bCs/>
                <w:color w:val="FFFFFF"/>
                <w:sz w:val="19"/>
                <w:szCs w:val="19"/>
              </w:rPr>
              <w:t xml:space="preserve">Type</w:t>
            </w:r>
          </w:p>
        </w:tc>
        <w:tc>
          <w:tcPr>
            <w:tcW w:type="dxa" w:w="5400"/>
            <w:shd w:fill="1B2A55" w:val="clear"/>
            <w:tcMar>
              <w:top w:type="dxa" w:w="60"/>
              <w:left w:type="dxa" w:w="90"/>
              <w:bottom w:type="dxa" w:w="60"/>
              <w:right w:type="dxa" w:w="90"/>
            </w:tcMar>
            <w:vAlign w:val="center"/>
          </w:tcPr>
          <w:p>
            <w:pPr>
              <w:jc w:val="left"/>
            </w:pPr>
            <w:r>
              <w:rPr>
                <w:b/>
                <w:bCs/>
                <w:color w:val="FFFFFF"/>
                <w:sz w:val="19"/>
                <w:szCs w:val="19"/>
              </w:rPr>
              <w:t xml:space="preserve">Notes</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_id</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ObjectId</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institution_id</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ObjectId</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Shard key leading field</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student_id</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ObjectId</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Ref → Admin Manager users</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room_id</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ObjectId</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Ref → rooms</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academic_year</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String</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status</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String (enum)</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active | vacated | transferred</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allocated_at / vacated_at</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Date</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
            </w:r>
          </w:p>
        </w:tc>
      </w:tr>
    </w:tbl>
    <w:p>
      <w:pPr>
        <w:pStyle w:val="ListParagraph"/>
        <w:numPr>
          <w:ilvl w:val="0"/>
          <w:numId w:val="2"/>
        </w:numPr>
        <w:spacing w:after="60"/>
      </w:pPr>
      <w:r>
        <w:rPr>
          <w:color w:val="222222"/>
          <w:sz w:val="21"/>
          <w:szCs w:val="21"/>
        </w:rPr>
        <w:t xml:space="preserve">Allocation is a transaction: findOneAndUpdate on rooms (increment occupied_beds with a capacity guard) + insertOne on room_allocations, mirroring the seat/copy-guard pattern established in Academic and Library.</w:t>
      </w:r>
    </w:p>
    <w:p>
      <w:pPr>
        <w:pStyle w:val="Heading2"/>
        <w:spacing w:after="150" w:before="300"/>
      </w:pPr>
      <w:r>
        <w:rPr>
          <w:b/>
          <w:bCs/>
          <w:color w:val="0F1C3D"/>
          <w:sz w:val="24"/>
          <w:szCs w:val="24"/>
        </w:rPr>
        <w:t xml:space="preserve">18.3 Core Schema — hostel_checkins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400"/>
      </w:tblGrid>
      <w:tr>
        <w:trPr>
          <w:tblHeader/>
        </w:trPr>
        <w:tc>
          <w:tcPr>
            <w:tcW w:type="dxa" w:w="2200"/>
            <w:shd w:fill="1B2A55" w:val="clear"/>
            <w:tcMar>
              <w:top w:type="dxa" w:w="60"/>
              <w:left w:type="dxa" w:w="90"/>
              <w:bottom w:type="dxa" w:w="60"/>
              <w:right w:type="dxa" w:w="90"/>
            </w:tcMar>
            <w:vAlign w:val="center"/>
          </w:tcPr>
          <w:p>
            <w:pPr>
              <w:jc w:val="left"/>
            </w:pPr>
            <w:r>
              <w:rPr>
                <w:b/>
                <w:bCs/>
                <w:color w:val="FFFFFF"/>
                <w:sz w:val="19"/>
                <w:szCs w:val="19"/>
              </w:rPr>
              <w:t xml:space="preserve">Field</w:t>
            </w:r>
          </w:p>
        </w:tc>
        <w:tc>
          <w:tcPr>
            <w:tcW w:type="dxa" w:w="1800"/>
            <w:shd w:fill="1B2A55" w:val="clear"/>
            <w:tcMar>
              <w:top w:type="dxa" w:w="60"/>
              <w:left w:type="dxa" w:w="90"/>
              <w:bottom w:type="dxa" w:w="60"/>
              <w:right w:type="dxa" w:w="90"/>
            </w:tcMar>
            <w:vAlign w:val="center"/>
          </w:tcPr>
          <w:p>
            <w:pPr>
              <w:jc w:val="left"/>
            </w:pPr>
            <w:r>
              <w:rPr>
                <w:b/>
                <w:bCs/>
                <w:color w:val="FFFFFF"/>
                <w:sz w:val="19"/>
                <w:szCs w:val="19"/>
              </w:rPr>
              <w:t xml:space="preserve">Type</w:t>
            </w:r>
          </w:p>
        </w:tc>
        <w:tc>
          <w:tcPr>
            <w:tcW w:type="dxa" w:w="5400"/>
            <w:shd w:fill="1B2A55" w:val="clear"/>
            <w:tcMar>
              <w:top w:type="dxa" w:w="60"/>
              <w:left w:type="dxa" w:w="90"/>
              <w:bottom w:type="dxa" w:w="60"/>
              <w:right w:type="dxa" w:w="90"/>
            </w:tcMar>
            <w:vAlign w:val="center"/>
          </w:tcPr>
          <w:p>
            <w:pPr>
              <w:jc w:val="left"/>
            </w:pPr>
            <w:r>
              <w:rPr>
                <w:b/>
                <w:bCs/>
                <w:color w:val="FFFFFF"/>
                <w:sz w:val="19"/>
                <w:szCs w:val="19"/>
              </w:rPr>
              <w:t xml:space="preserve">Notes</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_id</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ObjectId</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institution_id</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ObjectId</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student_id</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ObjectId</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Ref → Admin Manager users</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direction</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String (enum)</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in | out</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recorded_at</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Date</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method</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String</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biometric | manual | qr</w:t>
            </w:r>
          </w:p>
        </w:tc>
      </w:tr>
    </w:tbl>
    <w:p>
      <w:pPr>
        <w:pBdr>
          <w:left w:val="single" w:color="1B2A55" w:sz="18" w:space="6"/>
        </w:pBdr>
        <w:shd w:fill="EEF1F8" w:val="clear"/>
        <w:spacing w:after="200" w:before="100"/>
        <w:ind w:left="120"/>
      </w:pPr>
      <w:r>
        <w:rPr>
          <w:i/>
          <w:iCs/>
          <w:color w:val="0F1C3D"/>
          <w:sz w:val="20"/>
          <w:szCs w:val="20"/>
        </w:rPr>
        <w:t xml:space="preserve">Design note: hostel_checkins follows the same append-only ledger pattern as attendance_events (referenced in Section 4.2) rather than a mutable 'current status' field — this makes the daily in/out history auditable and lets the current status be derived (most recent record) rather than stored as a separate source of truth that could drift.</w:t>
      </w:r>
    </w:p>
    <w:p>
      <w:pPr>
        <w:pStyle w:val="Heading2"/>
        <w:spacing w:after="150" w:before="300"/>
      </w:pPr>
      <w:r>
        <w:rPr>
          <w:b/>
          <w:bCs/>
          <w:color w:val="0F1C3D"/>
          <w:sz w:val="24"/>
          <w:szCs w:val="24"/>
        </w:rPr>
        <w:t xml:space="preserve">18.4 Core Schema — mess_plans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400"/>
      </w:tblGrid>
      <w:tr>
        <w:trPr>
          <w:tblHeader/>
        </w:trPr>
        <w:tc>
          <w:tcPr>
            <w:tcW w:type="dxa" w:w="2200"/>
            <w:shd w:fill="1B2A55" w:val="clear"/>
            <w:tcMar>
              <w:top w:type="dxa" w:w="60"/>
              <w:left w:type="dxa" w:w="90"/>
              <w:bottom w:type="dxa" w:w="60"/>
              <w:right w:type="dxa" w:w="90"/>
            </w:tcMar>
            <w:vAlign w:val="center"/>
          </w:tcPr>
          <w:p>
            <w:pPr>
              <w:jc w:val="left"/>
            </w:pPr>
            <w:r>
              <w:rPr>
                <w:b/>
                <w:bCs/>
                <w:color w:val="FFFFFF"/>
                <w:sz w:val="19"/>
                <w:szCs w:val="19"/>
              </w:rPr>
              <w:t xml:space="preserve">Field</w:t>
            </w:r>
          </w:p>
        </w:tc>
        <w:tc>
          <w:tcPr>
            <w:tcW w:type="dxa" w:w="1800"/>
            <w:shd w:fill="1B2A55" w:val="clear"/>
            <w:tcMar>
              <w:top w:type="dxa" w:w="60"/>
              <w:left w:type="dxa" w:w="90"/>
              <w:bottom w:type="dxa" w:w="60"/>
              <w:right w:type="dxa" w:w="90"/>
            </w:tcMar>
            <w:vAlign w:val="center"/>
          </w:tcPr>
          <w:p>
            <w:pPr>
              <w:jc w:val="left"/>
            </w:pPr>
            <w:r>
              <w:rPr>
                <w:b/>
                <w:bCs/>
                <w:color w:val="FFFFFF"/>
                <w:sz w:val="19"/>
                <w:szCs w:val="19"/>
              </w:rPr>
              <w:t xml:space="preserve">Type</w:t>
            </w:r>
          </w:p>
        </w:tc>
        <w:tc>
          <w:tcPr>
            <w:tcW w:type="dxa" w:w="5400"/>
            <w:shd w:fill="1B2A55" w:val="clear"/>
            <w:tcMar>
              <w:top w:type="dxa" w:w="60"/>
              <w:left w:type="dxa" w:w="90"/>
              <w:bottom w:type="dxa" w:w="60"/>
              <w:right w:type="dxa" w:w="90"/>
            </w:tcMar>
            <w:vAlign w:val="center"/>
          </w:tcPr>
          <w:p>
            <w:pPr>
              <w:jc w:val="left"/>
            </w:pPr>
            <w:r>
              <w:rPr>
                <w:b/>
                <w:bCs/>
                <w:color w:val="FFFFFF"/>
                <w:sz w:val="19"/>
                <w:szCs w:val="19"/>
              </w:rPr>
              <w:t xml:space="preserve">Notes</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_id</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ObjectId</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institution_id</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ObjectId</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student_id</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ObjectId</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Ref → Admin Manager users</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plan_type</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String (enum)</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veg | non_veg | jain | custom</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term_id</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ObjectId</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Ref → Academic.academic_calendars — mess subscription is term-scoped, same as room_allocations.academic_year</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fee_invoice_id</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ObjectId, nullable</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Ref → Finance.fee_invoices; mess fees are billed the same way as tuition/hostel fees</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status</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String (enum)</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active | paused | cancelled</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start_date / end_date</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Date</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
            </w:r>
          </w:p>
        </w:tc>
      </w:tr>
    </w:tbl>
    <w:p>
      <w:pPr>
        <w:pStyle w:val="ListParagraph"/>
        <w:numPr>
          <w:ilvl w:val="0"/>
          <w:numId w:val="2"/>
        </w:numPr>
        <w:spacing w:after="60"/>
      </w:pPr>
      <w:r>
        <w:rPr>
          <w:color w:val="222222"/>
          <w:sz w:val="21"/>
          <w:szCs w:val="21"/>
        </w:rPr>
        <w:t xml:space="preserve">Like enrollments.fee_invoice_id and room_allocations, a mess_plans subscription can be created inside the same billing-linked write path — a student's subscription and its invoice are written together, consistent with the enrollment→invoice pattern in Section 8.1.</w:t>
      </w:r>
    </w:p>
    <w:p>
      <w:pPr>
        <w:pStyle w:val="Heading2"/>
        <w:spacing w:after="150" w:before="300"/>
      </w:pPr>
      <w:r>
        <w:rPr>
          <w:b/>
          <w:bCs/>
          <w:color w:val="0F1C3D"/>
          <w:sz w:val="24"/>
          <w:szCs w:val="24"/>
        </w:rPr>
        <w:t xml:space="preserve">18.5 Embedding vs. Referencing Decisions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200"/>
      </w:tblGrid>
      <w:tr>
        <w:trPr>
          <w:tblHeader/>
        </w:trPr>
        <w:tc>
          <w:tcPr>
            <w:tcW w:type="dxa" w:w="2800"/>
            <w:shd w:fill="1B2A55" w:val="clear"/>
            <w:tcMar>
              <w:top w:type="dxa" w:w="60"/>
              <w:left w:type="dxa" w:w="90"/>
              <w:bottom w:type="dxa" w:w="60"/>
              <w:right w:type="dxa" w:w="90"/>
            </w:tcMar>
            <w:vAlign w:val="center"/>
          </w:tcPr>
          <w:p>
            <w:pPr>
              <w:jc w:val="left"/>
            </w:pPr>
            <w:r>
              <w:rPr>
                <w:b/>
                <w:bCs/>
                <w:color w:val="FFFFFF"/>
                <w:sz w:val="19"/>
                <w:szCs w:val="19"/>
              </w:rPr>
              <w:t xml:space="preserve">Relationship</w:t>
            </w:r>
          </w:p>
        </w:tc>
        <w:tc>
          <w:tcPr>
            <w:tcW w:type="dxa" w:w="2000"/>
            <w:shd w:fill="1B2A55" w:val="clear"/>
            <w:tcMar>
              <w:top w:type="dxa" w:w="60"/>
              <w:left w:type="dxa" w:w="90"/>
              <w:bottom w:type="dxa" w:w="60"/>
              <w:right w:type="dxa" w:w="90"/>
            </w:tcMar>
            <w:vAlign w:val="center"/>
          </w:tcPr>
          <w:p>
            <w:pPr>
              <w:jc w:val="left"/>
            </w:pPr>
            <w:r>
              <w:rPr>
                <w:b/>
                <w:bCs/>
                <w:color w:val="FFFFFF"/>
                <w:sz w:val="19"/>
                <w:szCs w:val="19"/>
              </w:rPr>
              <w:t xml:space="preserve">Approach</w:t>
            </w:r>
          </w:p>
        </w:tc>
        <w:tc>
          <w:tcPr>
            <w:tcW w:type="dxa" w:w="4200"/>
            <w:shd w:fill="1B2A55" w:val="clear"/>
            <w:tcMar>
              <w:top w:type="dxa" w:w="60"/>
              <w:left w:type="dxa" w:w="90"/>
              <w:bottom w:type="dxa" w:w="60"/>
              <w:right w:type="dxa" w:w="90"/>
            </w:tcMar>
            <w:vAlign w:val="center"/>
          </w:tcPr>
          <w:p>
            <w:pPr>
              <w:jc w:val="left"/>
            </w:pPr>
            <w:r>
              <w:rPr>
                <w:b/>
                <w:bCs/>
                <w:color w:val="FFFFFF"/>
                <w:sz w:val="19"/>
                <w:szCs w:val="19"/>
              </w:rPr>
              <w:t xml:space="preserve">Reason</w:t>
            </w:r>
          </w:p>
        </w:tc>
      </w:tr>
      <w:tr>
        <w:tc>
          <w:tcPr>
            <w:tcW w:type="dxa" w:w="2800"/>
            <w:tcMar>
              <w:top w:type="dxa" w:w="60"/>
              <w:left w:type="dxa" w:w="90"/>
              <w:bottom w:type="dxa" w:w="60"/>
              <w:right w:type="dxa" w:w="90"/>
            </w:tcMar>
            <w:vAlign w:val="center"/>
          </w:tcPr>
          <w:p>
            <w:pPr>
              <w:jc w:val="left"/>
            </w:pPr>
            <w:r>
              <w:rPr>
                <w:b w:val="false"/>
                <w:bCs w:val="false"/>
                <w:color w:val="222222"/>
                <w:sz w:val="19"/>
                <w:szCs w:val="19"/>
              </w:rPr>
              <w:t xml:space="preserve">room_allocations ↔ rooms</w:t>
            </w:r>
          </w:p>
        </w:tc>
        <w:tc>
          <w:tcPr>
            <w:tcW w:type="dxa" w:w="2000"/>
            <w:tcMar>
              <w:top w:type="dxa" w:w="60"/>
              <w:left w:type="dxa" w:w="90"/>
              <w:bottom w:type="dxa" w:w="60"/>
              <w:right w:type="dxa" w:w="90"/>
            </w:tcMar>
            <w:vAlign w:val="center"/>
          </w:tcPr>
          <w:p>
            <w:pPr>
              <w:jc w:val="left"/>
            </w:pPr>
            <w:r>
              <w:rPr>
                <w:b w:val="false"/>
                <w:bCs w:val="false"/>
                <w:color w:val="222222"/>
                <w:sz w:val="19"/>
                <w:szCs w:val="19"/>
              </w:rPr>
              <w:t xml:space="preserve">Reference</w:t>
            </w:r>
          </w:p>
        </w:tc>
        <w:tc>
          <w:tcPr>
            <w:tcW w:type="dxa" w:w="4200"/>
            <w:tcMar>
              <w:top w:type="dxa" w:w="60"/>
              <w:left w:type="dxa" w:w="90"/>
              <w:bottom w:type="dxa" w:w="60"/>
              <w:right w:type="dxa" w:w="90"/>
            </w:tcMar>
            <w:vAlign w:val="center"/>
          </w:tcPr>
          <w:p>
            <w:pPr>
              <w:jc w:val="left"/>
            </w:pPr>
            <w:r>
              <w:rPr>
                <w:b w:val="false"/>
                <w:bCs w:val="false"/>
                <w:color w:val="222222"/>
                <w:sz w:val="19"/>
                <w:szCs w:val="19"/>
              </w:rPr>
              <w:t xml:space="preserve">A room's occupancy history spans many students/years; embedding allocations into the room document would grow it unboundedly, the same reasoning as course_sections vs. enrollments</w:t>
            </w:r>
          </w:p>
        </w:tc>
      </w:tr>
      <w:tr>
        <w:tc>
          <w:tcPr>
            <w:tcW w:type="dxa" w:w="2800"/>
            <w:tcMar>
              <w:top w:type="dxa" w:w="60"/>
              <w:left w:type="dxa" w:w="90"/>
              <w:bottom w:type="dxa" w:w="60"/>
              <w:right w:type="dxa" w:w="90"/>
            </w:tcMar>
            <w:vAlign w:val="center"/>
          </w:tcPr>
          <w:p>
            <w:pPr>
              <w:jc w:val="left"/>
            </w:pPr>
            <w:r>
              <w:rPr>
                <w:b w:val="false"/>
                <w:bCs w:val="false"/>
                <w:color w:val="222222"/>
                <w:sz w:val="19"/>
                <w:szCs w:val="19"/>
              </w:rPr>
              <w:t xml:space="preserve">mess_plans ↔ fee_invoices</w:t>
            </w:r>
          </w:p>
        </w:tc>
        <w:tc>
          <w:tcPr>
            <w:tcW w:type="dxa" w:w="2000"/>
            <w:tcMar>
              <w:top w:type="dxa" w:w="60"/>
              <w:left w:type="dxa" w:w="90"/>
              <w:bottom w:type="dxa" w:w="60"/>
              <w:right w:type="dxa" w:w="90"/>
            </w:tcMar>
            <w:vAlign w:val="center"/>
          </w:tcPr>
          <w:p>
            <w:pPr>
              <w:jc w:val="left"/>
            </w:pPr>
            <w:r>
              <w:rPr>
                <w:b w:val="false"/>
                <w:bCs w:val="false"/>
                <w:color w:val="222222"/>
                <w:sz w:val="19"/>
                <w:szCs w:val="19"/>
              </w:rPr>
              <w:t xml:space="preserve">Reference</w:t>
            </w:r>
          </w:p>
        </w:tc>
        <w:tc>
          <w:tcPr>
            <w:tcW w:type="dxa" w:w="4200"/>
            <w:tcMar>
              <w:top w:type="dxa" w:w="60"/>
              <w:left w:type="dxa" w:w="90"/>
              <w:bottom w:type="dxa" w:w="60"/>
              <w:right w:type="dxa" w:w="90"/>
            </w:tcMar>
            <w:vAlign w:val="center"/>
          </w:tcPr>
          <w:p>
            <w:pPr>
              <w:jc w:val="left"/>
            </w:pPr>
            <w:r>
              <w:rPr>
                <w:b w:val="false"/>
                <w:bCs w:val="false"/>
                <w:color w:val="222222"/>
                <w:sz w:val="19"/>
                <w:szCs w:val="19"/>
              </w:rPr>
              <w:t xml:space="preserve">Billing lifecycle (payment, refund, waiver) is owned by Finance and must stay queryable independently of the subscription</w:t>
            </w:r>
          </w:p>
        </w:tc>
      </w:tr>
      <w:tr>
        <w:tc>
          <w:tcPr>
            <w:tcW w:type="dxa" w:w="2800"/>
            <w:tcMar>
              <w:top w:type="dxa" w:w="60"/>
              <w:left w:type="dxa" w:w="90"/>
              <w:bottom w:type="dxa" w:w="60"/>
              <w:right w:type="dxa" w:w="90"/>
            </w:tcMar>
            <w:vAlign w:val="center"/>
          </w:tcPr>
          <w:p>
            <w:pPr>
              <w:jc w:val="left"/>
            </w:pPr>
            <w:r>
              <w:rPr>
                <w:b w:val="false"/>
                <w:bCs w:val="false"/>
                <w:color w:val="222222"/>
                <w:sz w:val="19"/>
                <w:szCs w:val="19"/>
              </w:rPr>
              <w:t xml:space="preserve">hostel_checkins ↔ students</w:t>
            </w:r>
          </w:p>
        </w:tc>
        <w:tc>
          <w:tcPr>
            <w:tcW w:type="dxa" w:w="2000"/>
            <w:tcMar>
              <w:top w:type="dxa" w:w="60"/>
              <w:left w:type="dxa" w:w="90"/>
              <w:bottom w:type="dxa" w:w="60"/>
              <w:right w:type="dxa" w:w="90"/>
            </w:tcMar>
            <w:vAlign w:val="center"/>
          </w:tcPr>
          <w:p>
            <w:pPr>
              <w:jc w:val="left"/>
            </w:pPr>
            <w:r>
              <w:rPr>
                <w:b w:val="false"/>
                <w:bCs w:val="false"/>
                <w:color w:val="222222"/>
                <w:sz w:val="19"/>
                <w:szCs w:val="19"/>
              </w:rPr>
              <w:t xml:space="preserve">Reference, separate append-only collection</w:t>
            </w:r>
          </w:p>
        </w:tc>
        <w:tc>
          <w:tcPr>
            <w:tcW w:type="dxa" w:w="4200"/>
            <w:tcMar>
              <w:top w:type="dxa" w:w="60"/>
              <w:left w:type="dxa" w:w="90"/>
              <w:bottom w:type="dxa" w:w="60"/>
              <w:right w:type="dxa" w:w="90"/>
            </w:tcMar>
            <w:vAlign w:val="center"/>
          </w:tcPr>
          <w:p>
            <w:pPr>
              <w:jc w:val="left"/>
            </w:pPr>
            <w:r>
              <w:rPr>
                <w:b w:val="false"/>
                <w:bCs w:val="false"/>
                <w:color w:val="222222"/>
                <w:sz w:val="19"/>
                <w:szCs w:val="19"/>
              </w:rPr>
              <w:t xml:space="preserve">High write volume, unbounded growth — same rationale as attendance_events and audit_logs</w:t>
            </w:r>
          </w:p>
        </w:tc>
      </w:tr>
    </w:tbl>
    <w:p>
      <w:r>
        <w:br w:type="page"/>
      </w:r>
    </w:p>
    <w:p>
      <w:pPr>
        <w:pStyle w:val="Heading1"/>
        <w:pBdr>
          <w:bottom w:val="single" w:color="1B2A55" w:sz="12" w:space="4"/>
        </w:pBdr>
        <w:spacing w:after="200" w:before="400"/>
      </w:pPr>
      <w:r>
        <w:rPr>
          <w:b/>
          <w:bCs/>
          <w:color w:val="1B2A55"/>
          <w:sz w:val="30"/>
          <w:szCs w:val="30"/>
        </w:rPr>
        <w:t xml:space="preserve">19. Placement Management — Detailed Schema Design</w:t>
      </w:r>
    </w:p>
    <w:p>
      <w:pPr>
        <w:spacing w:after="140" w:line="276"/>
      </w:pPr>
      <w:r>
        <w:rPr>
          <w:color w:val="222222"/>
          <w:sz w:val="21"/>
          <w:szCs w:val="21"/>
        </w:rPr>
        <w:t xml:space="preserve">Placement Management runs company/job-posting management, placement drives, student applications, interview scheduling, and offers. Its student eligibility checks read directly from Examination's exam_results (aggregation shown in Section 14.2), making it a heavy consumer of another module's data via reference rather than duplication.</w:t>
      </w:r>
    </w:p>
    <w:p>
      <w:pPr>
        <w:pStyle w:val="Heading2"/>
        <w:spacing w:after="150" w:before="300"/>
      </w:pPr>
      <w:r>
        <w:rPr>
          <w:b/>
          <w:bCs/>
          <w:color w:val="0F1C3D"/>
          <w:sz w:val="24"/>
          <w:szCs w:val="24"/>
        </w:rPr>
        <w:t xml:space="preserve">19.1 Collections Overview</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200"/>
      </w:tblGrid>
      <w:tr>
        <w:trPr>
          <w:tblHeader/>
        </w:trPr>
        <w:tc>
          <w:tcPr>
            <w:tcW w:type="dxa" w:w="2200"/>
            <w:shd w:fill="1B2A55" w:val="clear"/>
            <w:tcMar>
              <w:top w:type="dxa" w:w="60"/>
              <w:left w:type="dxa" w:w="90"/>
              <w:bottom w:type="dxa" w:w="60"/>
              <w:right w:type="dxa" w:w="90"/>
            </w:tcMar>
            <w:vAlign w:val="center"/>
          </w:tcPr>
          <w:p>
            <w:pPr>
              <w:jc w:val="left"/>
            </w:pPr>
            <w:r>
              <w:rPr>
                <w:b/>
                <w:bCs/>
                <w:color w:val="FFFFFF"/>
                <w:sz w:val="19"/>
                <w:szCs w:val="19"/>
              </w:rPr>
              <w:t xml:space="preserve">Collection</w:t>
            </w:r>
          </w:p>
        </w:tc>
        <w:tc>
          <w:tcPr>
            <w:tcW w:type="dxa" w:w="4000"/>
            <w:shd w:fill="1B2A55" w:val="clear"/>
            <w:tcMar>
              <w:top w:type="dxa" w:w="60"/>
              <w:left w:type="dxa" w:w="90"/>
              <w:bottom w:type="dxa" w:w="60"/>
              <w:right w:type="dxa" w:w="90"/>
            </w:tcMar>
            <w:vAlign w:val="center"/>
          </w:tcPr>
          <w:p>
            <w:pPr>
              <w:jc w:val="left"/>
            </w:pPr>
            <w:r>
              <w:rPr>
                <w:b/>
                <w:bCs/>
                <w:color w:val="FFFFFF"/>
                <w:sz w:val="19"/>
                <w:szCs w:val="19"/>
              </w:rPr>
              <w:t xml:space="preserve">Purpose</w:t>
            </w:r>
          </w:p>
        </w:tc>
        <w:tc>
          <w:tcPr>
            <w:tcW w:type="dxa" w:w="3200"/>
            <w:shd w:fill="1B2A55" w:val="clear"/>
            <w:tcMar>
              <w:top w:type="dxa" w:w="60"/>
              <w:left w:type="dxa" w:w="90"/>
              <w:bottom w:type="dxa" w:w="60"/>
              <w:right w:type="dxa" w:w="90"/>
            </w:tcMar>
            <w:vAlign w:val="center"/>
          </w:tcPr>
          <w:p>
            <w:pPr>
              <w:jc w:val="left"/>
            </w:pPr>
            <w:r>
              <w:rPr>
                <w:b/>
                <w:bCs/>
                <w:color w:val="FFFFFF"/>
                <w:sz w:val="19"/>
                <w:szCs w:val="19"/>
              </w:rPr>
              <w:t xml:space="preserve">Approx. Growth</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companies</w:t>
            </w:r>
          </w:p>
        </w:tc>
        <w:tc>
          <w:tcPr>
            <w:tcW w:type="dxa" w:w="4000"/>
            <w:tcMar>
              <w:top w:type="dxa" w:w="60"/>
              <w:left w:type="dxa" w:w="90"/>
              <w:bottom w:type="dxa" w:w="60"/>
              <w:right w:type="dxa" w:w="90"/>
            </w:tcMar>
            <w:vAlign w:val="center"/>
          </w:tcPr>
          <w:p>
            <w:pPr>
              <w:jc w:val="left"/>
            </w:pPr>
            <w:r>
              <w:rPr>
                <w:b w:val="false"/>
                <w:bCs w:val="false"/>
                <w:color w:val="222222"/>
                <w:sz w:val="19"/>
                <w:szCs w:val="19"/>
              </w:rPr>
              <w:t xml:space="preserve">Recruiting company/partner directory</w:t>
            </w:r>
          </w:p>
        </w:tc>
        <w:tc>
          <w:tcPr>
            <w:tcW w:type="dxa" w:w="3200"/>
            <w:tcMar>
              <w:top w:type="dxa" w:w="60"/>
              <w:left w:type="dxa" w:w="90"/>
              <w:bottom w:type="dxa" w:w="60"/>
              <w:right w:type="dxa" w:w="90"/>
            </w:tcMar>
            <w:vAlign w:val="center"/>
          </w:tcPr>
          <w:p>
            <w:pPr>
              <w:jc w:val="left"/>
            </w:pPr>
            <w:r>
              <w:rPr>
                <w:b w:val="false"/>
                <w:bCs w:val="false"/>
                <w:color w:val="222222"/>
                <w:sz w:val="19"/>
                <w:szCs w:val="19"/>
              </w:rPr>
              <w:t xml:space="preserve">Low</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job_postings</w:t>
            </w:r>
          </w:p>
        </w:tc>
        <w:tc>
          <w:tcPr>
            <w:tcW w:type="dxa" w:w="4000"/>
            <w:tcMar>
              <w:top w:type="dxa" w:w="60"/>
              <w:left w:type="dxa" w:w="90"/>
              <w:bottom w:type="dxa" w:w="60"/>
              <w:right w:type="dxa" w:w="90"/>
            </w:tcMar>
            <w:vAlign w:val="center"/>
          </w:tcPr>
          <w:p>
            <w:pPr>
              <w:jc w:val="left"/>
            </w:pPr>
            <w:r>
              <w:rPr>
                <w:b w:val="false"/>
                <w:bCs w:val="false"/>
                <w:color w:val="222222"/>
                <w:sz w:val="19"/>
                <w:szCs w:val="19"/>
              </w:rPr>
              <w:t xml:space="preserve">Open roles per company/drive</w:t>
            </w:r>
          </w:p>
        </w:tc>
        <w:tc>
          <w:tcPr>
            <w:tcW w:type="dxa" w:w="3200"/>
            <w:tcMar>
              <w:top w:type="dxa" w:w="60"/>
              <w:left w:type="dxa" w:w="90"/>
              <w:bottom w:type="dxa" w:w="60"/>
              <w:right w:type="dxa" w:w="90"/>
            </w:tcMar>
            <w:vAlign w:val="center"/>
          </w:tcPr>
          <w:p>
            <w:pPr>
              <w:jc w:val="left"/>
            </w:pPr>
            <w:r>
              <w:rPr>
                <w:b w:val="false"/>
                <w:bCs w:val="false"/>
                <w:color w:val="222222"/>
                <w:sz w:val="19"/>
                <w:szCs w:val="19"/>
              </w:rPr>
              <w:t xml:space="preserve">Medium</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placement_drives</w:t>
            </w:r>
          </w:p>
        </w:tc>
        <w:tc>
          <w:tcPr>
            <w:tcW w:type="dxa" w:w="4000"/>
            <w:tcMar>
              <w:top w:type="dxa" w:w="60"/>
              <w:left w:type="dxa" w:w="90"/>
              <w:bottom w:type="dxa" w:w="60"/>
              <w:right w:type="dxa" w:w="90"/>
            </w:tcMar>
            <w:vAlign w:val="center"/>
          </w:tcPr>
          <w:p>
            <w:pPr>
              <w:jc w:val="left"/>
            </w:pPr>
            <w:r>
              <w:rPr>
                <w:b w:val="false"/>
                <w:bCs w:val="false"/>
                <w:color w:val="222222"/>
                <w:sz w:val="19"/>
                <w:szCs w:val="19"/>
              </w:rPr>
              <w:t xml:space="preserve">A recruitment cycle/event grouping postings</w:t>
            </w:r>
          </w:p>
        </w:tc>
        <w:tc>
          <w:tcPr>
            <w:tcW w:type="dxa" w:w="3200"/>
            <w:tcMar>
              <w:top w:type="dxa" w:w="60"/>
              <w:left w:type="dxa" w:w="90"/>
              <w:bottom w:type="dxa" w:w="60"/>
              <w:right w:type="dxa" w:w="90"/>
            </w:tcMar>
            <w:vAlign w:val="center"/>
          </w:tcPr>
          <w:p>
            <w:pPr>
              <w:jc w:val="left"/>
            </w:pPr>
            <w:r>
              <w:rPr>
                <w:b w:val="false"/>
                <w:bCs w:val="false"/>
                <w:color w:val="222222"/>
                <w:sz w:val="19"/>
                <w:szCs w:val="19"/>
              </w:rPr>
              <w:t xml:space="preserve">Low</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student_applications</w:t>
            </w:r>
          </w:p>
        </w:tc>
        <w:tc>
          <w:tcPr>
            <w:tcW w:type="dxa" w:w="4000"/>
            <w:tcMar>
              <w:top w:type="dxa" w:w="60"/>
              <w:left w:type="dxa" w:w="90"/>
              <w:bottom w:type="dxa" w:w="60"/>
              <w:right w:type="dxa" w:w="90"/>
            </w:tcMar>
            <w:vAlign w:val="center"/>
          </w:tcPr>
          <w:p>
            <w:pPr>
              <w:jc w:val="left"/>
            </w:pPr>
            <w:r>
              <w:rPr>
                <w:b w:val="false"/>
                <w:bCs w:val="false"/>
                <w:color w:val="222222"/>
                <w:sz w:val="19"/>
                <w:szCs w:val="19"/>
              </w:rPr>
              <w:t xml:space="preserve">Student ↔ job_posting application record</w:t>
            </w:r>
          </w:p>
        </w:tc>
        <w:tc>
          <w:tcPr>
            <w:tcW w:type="dxa" w:w="3200"/>
            <w:tcMar>
              <w:top w:type="dxa" w:w="60"/>
              <w:left w:type="dxa" w:w="90"/>
              <w:bottom w:type="dxa" w:w="60"/>
              <w:right w:type="dxa" w:w="90"/>
            </w:tcMar>
            <w:vAlign w:val="center"/>
          </w:tcPr>
          <w:p>
            <w:pPr>
              <w:jc w:val="left"/>
            </w:pPr>
            <w:r>
              <w:rPr>
                <w:b w:val="false"/>
                <w:bCs w:val="false"/>
                <w:color w:val="222222"/>
                <w:sz w:val="19"/>
                <w:szCs w:val="19"/>
              </w:rPr>
              <w:t xml:space="preserve">Medium-High</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interview_schedules</w:t>
            </w:r>
          </w:p>
        </w:tc>
        <w:tc>
          <w:tcPr>
            <w:tcW w:type="dxa" w:w="4000"/>
            <w:tcMar>
              <w:top w:type="dxa" w:w="60"/>
              <w:left w:type="dxa" w:w="90"/>
              <w:bottom w:type="dxa" w:w="60"/>
              <w:right w:type="dxa" w:w="90"/>
            </w:tcMar>
            <w:vAlign w:val="center"/>
          </w:tcPr>
          <w:p>
            <w:pPr>
              <w:jc w:val="left"/>
            </w:pPr>
            <w:r>
              <w:rPr>
                <w:b w:val="false"/>
                <w:bCs w:val="false"/>
                <w:color w:val="222222"/>
                <w:sz w:val="19"/>
                <w:szCs w:val="19"/>
              </w:rPr>
              <w:t xml:space="preserve">Interview rounds/slots per application</w:t>
            </w:r>
          </w:p>
        </w:tc>
        <w:tc>
          <w:tcPr>
            <w:tcW w:type="dxa" w:w="3200"/>
            <w:tcMar>
              <w:top w:type="dxa" w:w="60"/>
              <w:left w:type="dxa" w:w="90"/>
              <w:bottom w:type="dxa" w:w="60"/>
              <w:right w:type="dxa" w:w="90"/>
            </w:tcMar>
            <w:vAlign w:val="center"/>
          </w:tcPr>
          <w:p>
            <w:pPr>
              <w:jc w:val="left"/>
            </w:pPr>
            <w:r>
              <w:rPr>
                <w:b w:val="false"/>
                <w:bCs w:val="false"/>
                <w:color w:val="222222"/>
                <w:sz w:val="19"/>
                <w:szCs w:val="19"/>
              </w:rPr>
              <w:t xml:space="preserve">Medium</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offers</w:t>
            </w:r>
          </w:p>
        </w:tc>
        <w:tc>
          <w:tcPr>
            <w:tcW w:type="dxa" w:w="4000"/>
            <w:tcMar>
              <w:top w:type="dxa" w:w="60"/>
              <w:left w:type="dxa" w:w="90"/>
              <w:bottom w:type="dxa" w:w="60"/>
              <w:right w:type="dxa" w:w="90"/>
            </w:tcMar>
            <w:vAlign w:val="center"/>
          </w:tcPr>
          <w:p>
            <w:pPr>
              <w:jc w:val="left"/>
            </w:pPr>
            <w:r>
              <w:rPr>
                <w:b w:val="false"/>
                <w:bCs w:val="false"/>
                <w:color w:val="222222"/>
                <w:sz w:val="19"/>
                <w:szCs w:val="19"/>
              </w:rPr>
              <w:t xml:space="preserve">Extended offer records and acceptance status</w:t>
            </w:r>
          </w:p>
        </w:tc>
        <w:tc>
          <w:tcPr>
            <w:tcW w:type="dxa" w:w="3200"/>
            <w:tcMar>
              <w:top w:type="dxa" w:w="60"/>
              <w:left w:type="dxa" w:w="90"/>
              <w:bottom w:type="dxa" w:w="60"/>
              <w:right w:type="dxa" w:w="90"/>
            </w:tcMar>
            <w:vAlign w:val="center"/>
          </w:tcPr>
          <w:p>
            <w:pPr>
              <w:jc w:val="left"/>
            </w:pPr>
            <w:r>
              <w:rPr>
                <w:b w:val="false"/>
                <w:bCs w:val="false"/>
                <w:color w:val="222222"/>
                <w:sz w:val="19"/>
                <w:szCs w:val="19"/>
              </w:rPr>
              <w:t xml:space="preserve">Low-Medium</w:t>
            </w:r>
          </w:p>
        </w:tc>
      </w:tr>
    </w:tbl>
    <w:p>
      <w:pPr>
        <w:pStyle w:val="Heading2"/>
        <w:spacing w:after="150" w:before="300"/>
      </w:pPr>
      <w:r>
        <w:rPr>
          <w:b/>
          <w:bCs/>
          <w:color w:val="0F1C3D"/>
          <w:sz w:val="24"/>
          <w:szCs w:val="24"/>
        </w:rPr>
        <w:t xml:space="preserve">19.2 Core Schema — student_applications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400"/>
      </w:tblGrid>
      <w:tr>
        <w:trPr>
          <w:tblHeader/>
        </w:trPr>
        <w:tc>
          <w:tcPr>
            <w:tcW w:type="dxa" w:w="2200"/>
            <w:shd w:fill="1B2A55" w:val="clear"/>
            <w:tcMar>
              <w:top w:type="dxa" w:w="60"/>
              <w:left w:type="dxa" w:w="90"/>
              <w:bottom w:type="dxa" w:w="60"/>
              <w:right w:type="dxa" w:w="90"/>
            </w:tcMar>
            <w:vAlign w:val="center"/>
          </w:tcPr>
          <w:p>
            <w:pPr>
              <w:jc w:val="left"/>
            </w:pPr>
            <w:r>
              <w:rPr>
                <w:b/>
                <w:bCs/>
                <w:color w:val="FFFFFF"/>
                <w:sz w:val="19"/>
                <w:szCs w:val="19"/>
              </w:rPr>
              <w:t xml:space="preserve">Field</w:t>
            </w:r>
          </w:p>
        </w:tc>
        <w:tc>
          <w:tcPr>
            <w:tcW w:type="dxa" w:w="1800"/>
            <w:shd w:fill="1B2A55" w:val="clear"/>
            <w:tcMar>
              <w:top w:type="dxa" w:w="60"/>
              <w:left w:type="dxa" w:w="90"/>
              <w:bottom w:type="dxa" w:w="60"/>
              <w:right w:type="dxa" w:w="90"/>
            </w:tcMar>
            <w:vAlign w:val="center"/>
          </w:tcPr>
          <w:p>
            <w:pPr>
              <w:jc w:val="left"/>
            </w:pPr>
            <w:r>
              <w:rPr>
                <w:b/>
                <w:bCs/>
                <w:color w:val="FFFFFF"/>
                <w:sz w:val="19"/>
                <w:szCs w:val="19"/>
              </w:rPr>
              <w:t xml:space="preserve">Type</w:t>
            </w:r>
          </w:p>
        </w:tc>
        <w:tc>
          <w:tcPr>
            <w:tcW w:type="dxa" w:w="5400"/>
            <w:shd w:fill="1B2A55" w:val="clear"/>
            <w:tcMar>
              <w:top w:type="dxa" w:w="60"/>
              <w:left w:type="dxa" w:w="90"/>
              <w:bottom w:type="dxa" w:w="60"/>
              <w:right w:type="dxa" w:w="90"/>
            </w:tcMar>
            <w:vAlign w:val="center"/>
          </w:tcPr>
          <w:p>
            <w:pPr>
              <w:jc w:val="left"/>
            </w:pPr>
            <w:r>
              <w:rPr>
                <w:b/>
                <w:bCs/>
                <w:color w:val="FFFFFF"/>
                <w:sz w:val="19"/>
                <w:szCs w:val="19"/>
              </w:rPr>
              <w:t xml:space="preserve">Notes</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_id</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ObjectId</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institution_id</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ObjectId</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Shard key leading field</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student_id</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ObjectId</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Ref → Admin Manager users</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job_posting_id</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ObjectId</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Ref → job_postings</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eligibility_snapshot</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Object</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 avg_gpa, backlog_count, checked_at } — point-in-time snapshot, same design pattern as Examination.hall_tickets.eligibility_check (Section 5.3)</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status</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String (enum)</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applied | shortlisted | interviewing | offered | rejected | withdrawn</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applied_at</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Date</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
            </w:r>
          </w:p>
        </w:tc>
      </w:tr>
    </w:tbl>
    <w:p>
      <w:pPr>
        <w:pStyle w:val="ListParagraph"/>
        <w:numPr>
          <w:ilvl w:val="0"/>
          <w:numId w:val="2"/>
        </w:numPr>
        <w:spacing w:after="60"/>
      </w:pPr>
      <w:r>
        <w:rPr>
          <w:color w:val="222222"/>
          <w:sz w:val="21"/>
          <w:szCs w:val="21"/>
        </w:rPr>
        <w:t xml:space="preserve">eligibility_snapshot is computed at apply-time using the same aggregation shape shown in Section 14.2, then frozen — a student's later result change does not retroactively alter an already-submitted application, preserving process fairness/auditability.</w:t>
      </w:r>
    </w:p>
    <w:p>
      <w:pPr>
        <w:pStyle w:val="Heading2"/>
        <w:spacing w:after="150" w:before="300"/>
      </w:pPr>
      <w:r>
        <w:rPr>
          <w:b/>
          <w:bCs/>
          <w:color w:val="0F1C3D"/>
          <w:sz w:val="24"/>
          <w:szCs w:val="24"/>
        </w:rPr>
        <w:t xml:space="preserve">19.3 Core Schema — offers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400"/>
      </w:tblGrid>
      <w:tr>
        <w:trPr>
          <w:tblHeader/>
        </w:trPr>
        <w:tc>
          <w:tcPr>
            <w:tcW w:type="dxa" w:w="2200"/>
            <w:shd w:fill="1B2A55" w:val="clear"/>
            <w:tcMar>
              <w:top w:type="dxa" w:w="60"/>
              <w:left w:type="dxa" w:w="90"/>
              <w:bottom w:type="dxa" w:w="60"/>
              <w:right w:type="dxa" w:w="90"/>
            </w:tcMar>
            <w:vAlign w:val="center"/>
          </w:tcPr>
          <w:p>
            <w:pPr>
              <w:jc w:val="left"/>
            </w:pPr>
            <w:r>
              <w:rPr>
                <w:b/>
                <w:bCs/>
                <w:color w:val="FFFFFF"/>
                <w:sz w:val="19"/>
                <w:szCs w:val="19"/>
              </w:rPr>
              <w:t xml:space="preserve">Field</w:t>
            </w:r>
          </w:p>
        </w:tc>
        <w:tc>
          <w:tcPr>
            <w:tcW w:type="dxa" w:w="1800"/>
            <w:shd w:fill="1B2A55" w:val="clear"/>
            <w:tcMar>
              <w:top w:type="dxa" w:w="60"/>
              <w:left w:type="dxa" w:w="90"/>
              <w:bottom w:type="dxa" w:w="60"/>
              <w:right w:type="dxa" w:w="90"/>
            </w:tcMar>
            <w:vAlign w:val="center"/>
          </w:tcPr>
          <w:p>
            <w:pPr>
              <w:jc w:val="left"/>
            </w:pPr>
            <w:r>
              <w:rPr>
                <w:b/>
                <w:bCs/>
                <w:color w:val="FFFFFF"/>
                <w:sz w:val="19"/>
                <w:szCs w:val="19"/>
              </w:rPr>
              <w:t xml:space="preserve">Type</w:t>
            </w:r>
          </w:p>
        </w:tc>
        <w:tc>
          <w:tcPr>
            <w:tcW w:type="dxa" w:w="5400"/>
            <w:shd w:fill="1B2A55" w:val="clear"/>
            <w:tcMar>
              <w:top w:type="dxa" w:w="60"/>
              <w:left w:type="dxa" w:w="90"/>
              <w:bottom w:type="dxa" w:w="60"/>
              <w:right w:type="dxa" w:w="90"/>
            </w:tcMar>
            <w:vAlign w:val="center"/>
          </w:tcPr>
          <w:p>
            <w:pPr>
              <w:jc w:val="left"/>
            </w:pPr>
            <w:r>
              <w:rPr>
                <w:b/>
                <w:bCs/>
                <w:color w:val="FFFFFF"/>
                <w:sz w:val="19"/>
                <w:szCs w:val="19"/>
              </w:rPr>
              <w:t xml:space="preserve">Notes</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_id</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ObjectId</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institution_id</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ObjectId</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student_application_id</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ObjectId</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Ref → student_applications</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compensation</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Object</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 ctc, currency, breakup } — Decimal128 for amounts, same currency convention as Finance/HR</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status</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String (enum)</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extended | accepted | declined | expired</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responded_at</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Date, nullable</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
            </w:r>
          </w:p>
        </w:tc>
      </w:tr>
    </w:tbl>
    <w:p>
      <w:pPr>
        <w:pStyle w:val="Heading2"/>
        <w:spacing w:after="150" w:before="300"/>
      </w:pPr>
      <w:r>
        <w:rPr>
          <w:b/>
          <w:bCs/>
          <w:color w:val="0F1C3D"/>
          <w:sz w:val="24"/>
          <w:szCs w:val="24"/>
        </w:rPr>
        <w:t xml:space="preserve">19.4 Embedding vs. Referencing Decisions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200"/>
      </w:tblGrid>
      <w:tr>
        <w:trPr>
          <w:tblHeader/>
        </w:trPr>
        <w:tc>
          <w:tcPr>
            <w:tcW w:type="dxa" w:w="2800"/>
            <w:shd w:fill="1B2A55" w:val="clear"/>
            <w:tcMar>
              <w:top w:type="dxa" w:w="60"/>
              <w:left w:type="dxa" w:w="90"/>
              <w:bottom w:type="dxa" w:w="60"/>
              <w:right w:type="dxa" w:w="90"/>
            </w:tcMar>
            <w:vAlign w:val="center"/>
          </w:tcPr>
          <w:p>
            <w:pPr>
              <w:jc w:val="left"/>
            </w:pPr>
            <w:r>
              <w:rPr>
                <w:b/>
                <w:bCs/>
                <w:color w:val="FFFFFF"/>
                <w:sz w:val="19"/>
                <w:szCs w:val="19"/>
              </w:rPr>
              <w:t xml:space="preserve">Relationship</w:t>
            </w:r>
          </w:p>
        </w:tc>
        <w:tc>
          <w:tcPr>
            <w:tcW w:type="dxa" w:w="2000"/>
            <w:shd w:fill="1B2A55" w:val="clear"/>
            <w:tcMar>
              <w:top w:type="dxa" w:w="60"/>
              <w:left w:type="dxa" w:w="90"/>
              <w:bottom w:type="dxa" w:w="60"/>
              <w:right w:type="dxa" w:w="90"/>
            </w:tcMar>
            <w:vAlign w:val="center"/>
          </w:tcPr>
          <w:p>
            <w:pPr>
              <w:jc w:val="left"/>
            </w:pPr>
            <w:r>
              <w:rPr>
                <w:b/>
                <w:bCs/>
                <w:color w:val="FFFFFF"/>
                <w:sz w:val="19"/>
                <w:szCs w:val="19"/>
              </w:rPr>
              <w:t xml:space="preserve">Approach</w:t>
            </w:r>
          </w:p>
        </w:tc>
        <w:tc>
          <w:tcPr>
            <w:tcW w:type="dxa" w:w="4200"/>
            <w:shd w:fill="1B2A55" w:val="clear"/>
            <w:tcMar>
              <w:top w:type="dxa" w:w="60"/>
              <w:left w:type="dxa" w:w="90"/>
              <w:bottom w:type="dxa" w:w="60"/>
              <w:right w:type="dxa" w:w="90"/>
            </w:tcMar>
            <w:vAlign w:val="center"/>
          </w:tcPr>
          <w:p>
            <w:pPr>
              <w:jc w:val="left"/>
            </w:pPr>
            <w:r>
              <w:rPr>
                <w:b/>
                <w:bCs/>
                <w:color w:val="FFFFFF"/>
                <w:sz w:val="19"/>
                <w:szCs w:val="19"/>
              </w:rPr>
              <w:t xml:space="preserve">Reason</w:t>
            </w:r>
          </w:p>
        </w:tc>
      </w:tr>
      <w:tr>
        <w:tc>
          <w:tcPr>
            <w:tcW w:type="dxa" w:w="2800"/>
            <w:tcMar>
              <w:top w:type="dxa" w:w="60"/>
              <w:left w:type="dxa" w:w="90"/>
              <w:bottom w:type="dxa" w:w="60"/>
              <w:right w:type="dxa" w:w="90"/>
            </w:tcMar>
            <w:vAlign w:val="center"/>
          </w:tcPr>
          <w:p>
            <w:pPr>
              <w:jc w:val="left"/>
            </w:pPr>
            <w:r>
              <w:rPr>
                <w:b w:val="false"/>
                <w:bCs w:val="false"/>
                <w:color w:val="222222"/>
                <w:sz w:val="19"/>
                <w:szCs w:val="19"/>
              </w:rPr>
              <w:t xml:space="preserve">student_applications.eligibility_snapshot</w:t>
            </w:r>
          </w:p>
        </w:tc>
        <w:tc>
          <w:tcPr>
            <w:tcW w:type="dxa" w:w="2000"/>
            <w:tcMar>
              <w:top w:type="dxa" w:w="60"/>
              <w:left w:type="dxa" w:w="90"/>
              <w:bottom w:type="dxa" w:w="60"/>
              <w:right w:type="dxa" w:w="90"/>
            </w:tcMar>
            <w:vAlign w:val="center"/>
          </w:tcPr>
          <w:p>
            <w:pPr>
              <w:jc w:val="left"/>
            </w:pPr>
            <w:r>
              <w:rPr>
                <w:b w:val="false"/>
                <w:bCs w:val="false"/>
                <w:color w:val="222222"/>
                <w:sz w:val="19"/>
                <w:szCs w:val="19"/>
              </w:rPr>
              <w:t xml:space="preserve">Embed</w:t>
            </w:r>
          </w:p>
        </w:tc>
        <w:tc>
          <w:tcPr>
            <w:tcW w:type="dxa" w:w="4200"/>
            <w:tcMar>
              <w:top w:type="dxa" w:w="60"/>
              <w:left w:type="dxa" w:w="90"/>
              <w:bottom w:type="dxa" w:w="60"/>
              <w:right w:type="dxa" w:w="90"/>
            </w:tcMar>
            <w:vAlign w:val="center"/>
          </w:tcPr>
          <w:p>
            <w:pPr>
              <w:jc w:val="left"/>
            </w:pPr>
            <w:r>
              <w:rPr>
                <w:b w:val="false"/>
                <w:bCs w:val="false"/>
                <w:color w:val="222222"/>
                <w:sz w:val="19"/>
                <w:szCs w:val="19"/>
              </w:rPr>
              <w:t xml:space="preserve">Point-in-time, immutable once written, no independent lifecycle</w:t>
            </w:r>
          </w:p>
        </w:tc>
      </w:tr>
      <w:tr>
        <w:tc>
          <w:tcPr>
            <w:tcW w:type="dxa" w:w="2800"/>
            <w:tcMar>
              <w:top w:type="dxa" w:w="60"/>
              <w:left w:type="dxa" w:w="90"/>
              <w:bottom w:type="dxa" w:w="60"/>
              <w:right w:type="dxa" w:w="90"/>
            </w:tcMar>
            <w:vAlign w:val="center"/>
          </w:tcPr>
          <w:p>
            <w:pPr>
              <w:jc w:val="left"/>
            </w:pPr>
            <w:r>
              <w:rPr>
                <w:b w:val="false"/>
                <w:bCs w:val="false"/>
                <w:color w:val="222222"/>
                <w:sz w:val="19"/>
                <w:szCs w:val="19"/>
              </w:rPr>
              <w:t xml:space="preserve">interview_schedules</w:t>
            </w:r>
          </w:p>
        </w:tc>
        <w:tc>
          <w:tcPr>
            <w:tcW w:type="dxa" w:w="2000"/>
            <w:tcMar>
              <w:top w:type="dxa" w:w="60"/>
              <w:left w:type="dxa" w:w="90"/>
              <w:bottom w:type="dxa" w:w="60"/>
              <w:right w:type="dxa" w:w="90"/>
            </w:tcMar>
            <w:vAlign w:val="center"/>
          </w:tcPr>
          <w:p>
            <w:pPr>
              <w:jc w:val="left"/>
            </w:pPr>
            <w:r>
              <w:rPr>
                <w:b w:val="false"/>
                <w:bCs w:val="false"/>
                <w:color w:val="222222"/>
                <w:sz w:val="19"/>
                <w:szCs w:val="19"/>
              </w:rPr>
              <w:t xml:space="preserve">Separate collection, referencing student_application_id</w:t>
            </w:r>
          </w:p>
        </w:tc>
        <w:tc>
          <w:tcPr>
            <w:tcW w:type="dxa" w:w="4200"/>
            <w:tcMar>
              <w:top w:type="dxa" w:w="60"/>
              <w:left w:type="dxa" w:w="90"/>
              <w:bottom w:type="dxa" w:w="60"/>
              <w:right w:type="dxa" w:w="90"/>
            </w:tcMar>
            <w:vAlign w:val="center"/>
          </w:tcPr>
          <w:p>
            <w:pPr>
              <w:jc w:val="left"/>
            </w:pPr>
            <w:r>
              <w:rPr>
                <w:b w:val="false"/>
                <w:bCs w:val="false"/>
                <w:color w:val="222222"/>
                <w:sz w:val="19"/>
                <w:szCs w:val="19"/>
              </w:rPr>
              <w:t xml:space="preserve">Multiple rounds per application, each independently reschedulable</w:t>
            </w:r>
          </w:p>
        </w:tc>
      </w:tr>
      <w:tr>
        <w:tc>
          <w:tcPr>
            <w:tcW w:type="dxa" w:w="2800"/>
            <w:tcMar>
              <w:top w:type="dxa" w:w="60"/>
              <w:left w:type="dxa" w:w="90"/>
              <w:bottom w:type="dxa" w:w="60"/>
              <w:right w:type="dxa" w:w="90"/>
            </w:tcMar>
            <w:vAlign w:val="center"/>
          </w:tcPr>
          <w:p>
            <w:pPr>
              <w:jc w:val="left"/>
            </w:pPr>
            <w:r>
              <w:rPr>
                <w:b w:val="false"/>
                <w:bCs w:val="false"/>
                <w:color w:val="222222"/>
                <w:sz w:val="19"/>
                <w:szCs w:val="19"/>
              </w:rPr>
              <w:t xml:space="preserve">placement_drives → job_postings</w:t>
            </w:r>
          </w:p>
        </w:tc>
        <w:tc>
          <w:tcPr>
            <w:tcW w:type="dxa" w:w="2000"/>
            <w:tcMar>
              <w:top w:type="dxa" w:w="60"/>
              <w:left w:type="dxa" w:w="90"/>
              <w:bottom w:type="dxa" w:w="60"/>
              <w:right w:type="dxa" w:w="90"/>
            </w:tcMar>
            <w:vAlign w:val="center"/>
          </w:tcPr>
          <w:p>
            <w:pPr>
              <w:jc w:val="left"/>
            </w:pPr>
            <w:r>
              <w:rPr>
                <w:b w:val="false"/>
                <w:bCs w:val="false"/>
                <w:color w:val="222222"/>
                <w:sz w:val="19"/>
                <w:szCs w:val="19"/>
              </w:rPr>
              <w:t xml:space="preserve">Reference</w:t>
            </w:r>
          </w:p>
        </w:tc>
        <w:tc>
          <w:tcPr>
            <w:tcW w:type="dxa" w:w="4200"/>
            <w:tcMar>
              <w:top w:type="dxa" w:w="60"/>
              <w:left w:type="dxa" w:w="90"/>
              <w:bottom w:type="dxa" w:w="60"/>
              <w:right w:type="dxa" w:w="90"/>
            </w:tcMar>
            <w:vAlign w:val="center"/>
          </w:tcPr>
          <w:p>
            <w:pPr>
              <w:jc w:val="left"/>
            </w:pPr>
            <w:r>
              <w:rPr>
                <w:b w:val="false"/>
                <w:bCs w:val="false"/>
                <w:color w:val="222222"/>
                <w:sz w:val="19"/>
                <w:szCs w:val="19"/>
              </w:rPr>
              <w:t xml:space="preserve">A drive groups many postings; postings can also exist standalone (off-cycle hiring)</w:t>
            </w:r>
          </w:p>
        </w:tc>
      </w:tr>
    </w:tbl>
    <w:p>
      <w:r>
        <w:br w:type="page"/>
      </w:r>
    </w:p>
    <w:p>
      <w:pPr>
        <w:pStyle w:val="Heading1"/>
        <w:pBdr>
          <w:bottom w:val="single" w:color="1B2A55" w:sz="12" w:space="4"/>
        </w:pBdr>
        <w:spacing w:after="200" w:before="400"/>
      </w:pPr>
      <w:r>
        <w:rPr>
          <w:b/>
          <w:bCs/>
          <w:color w:val="1B2A55"/>
          <w:sz w:val="30"/>
          <w:szCs w:val="30"/>
        </w:rPr>
        <w:t xml:space="preserve">20. Transport Management — Detailed Schema Design</w:t>
      </w:r>
    </w:p>
    <w:p>
      <w:pPr>
        <w:spacing w:after="140" w:line="276"/>
      </w:pPr>
      <w:r>
        <w:rPr>
          <w:color w:val="222222"/>
          <w:sz w:val="21"/>
          <w:szCs w:val="21"/>
        </w:rPr>
        <w:t xml:space="preserve">Transport Management is unique among the 13 modules in that its highest-volume data — live GPS telemetry — is not a general operational document at all but high-frequency time-series data, modeled using MongoDB's native time-series collection type rather than the standard document pattern used elsewhere in this document.</w:t>
      </w:r>
    </w:p>
    <w:p>
      <w:pPr>
        <w:pStyle w:val="Heading2"/>
        <w:spacing w:after="150" w:before="300"/>
      </w:pPr>
      <w:r>
        <w:rPr>
          <w:b/>
          <w:bCs/>
          <w:color w:val="0F1C3D"/>
          <w:sz w:val="24"/>
          <w:szCs w:val="24"/>
        </w:rPr>
        <w:t xml:space="preserve">20.1 Collections Overview</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200"/>
      </w:tblGrid>
      <w:tr>
        <w:trPr>
          <w:tblHeader/>
        </w:trPr>
        <w:tc>
          <w:tcPr>
            <w:tcW w:type="dxa" w:w="2200"/>
            <w:shd w:fill="1B2A55" w:val="clear"/>
            <w:tcMar>
              <w:top w:type="dxa" w:w="60"/>
              <w:left w:type="dxa" w:w="90"/>
              <w:bottom w:type="dxa" w:w="60"/>
              <w:right w:type="dxa" w:w="90"/>
            </w:tcMar>
            <w:vAlign w:val="center"/>
          </w:tcPr>
          <w:p>
            <w:pPr>
              <w:jc w:val="left"/>
            </w:pPr>
            <w:r>
              <w:rPr>
                <w:b/>
                <w:bCs/>
                <w:color w:val="FFFFFF"/>
                <w:sz w:val="19"/>
                <w:szCs w:val="19"/>
              </w:rPr>
              <w:t xml:space="preserve">Collection</w:t>
            </w:r>
          </w:p>
        </w:tc>
        <w:tc>
          <w:tcPr>
            <w:tcW w:type="dxa" w:w="4000"/>
            <w:shd w:fill="1B2A55" w:val="clear"/>
            <w:tcMar>
              <w:top w:type="dxa" w:w="60"/>
              <w:left w:type="dxa" w:w="90"/>
              <w:bottom w:type="dxa" w:w="60"/>
              <w:right w:type="dxa" w:w="90"/>
            </w:tcMar>
            <w:vAlign w:val="center"/>
          </w:tcPr>
          <w:p>
            <w:pPr>
              <w:jc w:val="left"/>
            </w:pPr>
            <w:r>
              <w:rPr>
                <w:b/>
                <w:bCs/>
                <w:color w:val="FFFFFF"/>
                <w:sz w:val="19"/>
                <w:szCs w:val="19"/>
              </w:rPr>
              <w:t xml:space="preserve">Purpose</w:t>
            </w:r>
          </w:p>
        </w:tc>
        <w:tc>
          <w:tcPr>
            <w:tcW w:type="dxa" w:w="3200"/>
            <w:shd w:fill="1B2A55" w:val="clear"/>
            <w:tcMar>
              <w:top w:type="dxa" w:w="60"/>
              <w:left w:type="dxa" w:w="90"/>
              <w:bottom w:type="dxa" w:w="60"/>
              <w:right w:type="dxa" w:w="90"/>
            </w:tcMar>
            <w:vAlign w:val="center"/>
          </w:tcPr>
          <w:p>
            <w:pPr>
              <w:jc w:val="left"/>
            </w:pPr>
            <w:r>
              <w:rPr>
                <w:b/>
                <w:bCs/>
                <w:color w:val="FFFFFF"/>
                <w:sz w:val="19"/>
                <w:szCs w:val="19"/>
              </w:rPr>
              <w:t xml:space="preserve">Approx. Growth</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routes</w:t>
            </w:r>
          </w:p>
        </w:tc>
        <w:tc>
          <w:tcPr>
            <w:tcW w:type="dxa" w:w="4000"/>
            <w:tcMar>
              <w:top w:type="dxa" w:w="60"/>
              <w:left w:type="dxa" w:w="90"/>
              <w:bottom w:type="dxa" w:w="60"/>
              <w:right w:type="dxa" w:w="90"/>
            </w:tcMar>
            <w:vAlign w:val="center"/>
          </w:tcPr>
          <w:p>
            <w:pPr>
              <w:jc w:val="left"/>
            </w:pPr>
            <w:r>
              <w:rPr>
                <w:b w:val="false"/>
                <w:bCs w:val="false"/>
                <w:color w:val="222222"/>
                <w:sz w:val="19"/>
                <w:szCs w:val="19"/>
              </w:rPr>
              <w:t xml:space="preserve">Defined transport routes and stops</w:t>
            </w:r>
          </w:p>
        </w:tc>
        <w:tc>
          <w:tcPr>
            <w:tcW w:type="dxa" w:w="3200"/>
            <w:tcMar>
              <w:top w:type="dxa" w:w="60"/>
              <w:left w:type="dxa" w:w="90"/>
              <w:bottom w:type="dxa" w:w="60"/>
              <w:right w:type="dxa" w:w="90"/>
            </w:tcMar>
            <w:vAlign w:val="center"/>
          </w:tcPr>
          <w:p>
            <w:pPr>
              <w:jc w:val="left"/>
            </w:pPr>
            <w:r>
              <w:rPr>
                <w:b w:val="false"/>
                <w:bCs w:val="false"/>
                <w:color w:val="222222"/>
                <w:sz w:val="19"/>
                <w:szCs w:val="19"/>
              </w:rPr>
              <w:t xml:space="preserve">Low</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vehicles</w:t>
            </w:r>
          </w:p>
        </w:tc>
        <w:tc>
          <w:tcPr>
            <w:tcW w:type="dxa" w:w="4000"/>
            <w:tcMar>
              <w:top w:type="dxa" w:w="60"/>
              <w:left w:type="dxa" w:w="90"/>
              <w:bottom w:type="dxa" w:w="60"/>
              <w:right w:type="dxa" w:w="90"/>
            </w:tcMar>
            <w:vAlign w:val="center"/>
          </w:tcPr>
          <w:p>
            <w:pPr>
              <w:jc w:val="left"/>
            </w:pPr>
            <w:r>
              <w:rPr>
                <w:b w:val="false"/>
                <w:bCs w:val="false"/>
                <w:color w:val="222222"/>
                <w:sz w:val="19"/>
                <w:szCs w:val="19"/>
              </w:rPr>
              <w:t xml:space="preserve">Vehicle registry and assignment status</w:t>
            </w:r>
          </w:p>
        </w:tc>
        <w:tc>
          <w:tcPr>
            <w:tcW w:type="dxa" w:w="3200"/>
            <w:tcMar>
              <w:top w:type="dxa" w:w="60"/>
              <w:left w:type="dxa" w:w="90"/>
              <w:bottom w:type="dxa" w:w="60"/>
              <w:right w:type="dxa" w:w="90"/>
            </w:tcMar>
            <w:vAlign w:val="center"/>
          </w:tcPr>
          <w:p>
            <w:pPr>
              <w:jc w:val="left"/>
            </w:pPr>
            <w:r>
              <w:rPr>
                <w:b w:val="false"/>
                <w:bCs w:val="false"/>
                <w:color w:val="222222"/>
                <w:sz w:val="19"/>
                <w:szCs w:val="19"/>
              </w:rPr>
              <w:t xml:space="preserve">Low</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vehicle_assignments</w:t>
            </w:r>
          </w:p>
        </w:tc>
        <w:tc>
          <w:tcPr>
            <w:tcW w:type="dxa" w:w="4000"/>
            <w:tcMar>
              <w:top w:type="dxa" w:w="60"/>
              <w:left w:type="dxa" w:w="90"/>
              <w:bottom w:type="dxa" w:w="60"/>
              <w:right w:type="dxa" w:w="90"/>
            </w:tcMar>
            <w:vAlign w:val="center"/>
          </w:tcPr>
          <w:p>
            <w:pPr>
              <w:jc w:val="left"/>
            </w:pPr>
            <w:r>
              <w:rPr>
                <w:b w:val="false"/>
                <w:bCs w:val="false"/>
                <w:color w:val="222222"/>
                <w:sz w:val="19"/>
                <w:szCs w:val="19"/>
              </w:rPr>
              <w:t xml:space="preserve">Vehicle ↔ route ↔ driver assignment for a period</w:t>
            </w:r>
          </w:p>
        </w:tc>
        <w:tc>
          <w:tcPr>
            <w:tcW w:type="dxa" w:w="3200"/>
            <w:tcMar>
              <w:top w:type="dxa" w:w="60"/>
              <w:left w:type="dxa" w:w="90"/>
              <w:bottom w:type="dxa" w:w="60"/>
              <w:right w:type="dxa" w:w="90"/>
            </w:tcMar>
            <w:vAlign w:val="center"/>
          </w:tcPr>
          <w:p>
            <w:pPr>
              <w:jc w:val="left"/>
            </w:pPr>
            <w:r>
              <w:rPr>
                <w:b w:val="false"/>
                <w:bCs w:val="false"/>
                <w:color w:val="222222"/>
                <w:sz w:val="19"/>
                <w:szCs w:val="19"/>
              </w:rPr>
              <w:t xml:space="preserve">Low-Medium</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driver_profiles</w:t>
            </w:r>
          </w:p>
        </w:tc>
        <w:tc>
          <w:tcPr>
            <w:tcW w:type="dxa" w:w="4000"/>
            <w:tcMar>
              <w:top w:type="dxa" w:w="60"/>
              <w:left w:type="dxa" w:w="90"/>
              <w:bottom w:type="dxa" w:w="60"/>
              <w:right w:type="dxa" w:w="90"/>
            </w:tcMar>
            <w:vAlign w:val="center"/>
          </w:tcPr>
          <w:p>
            <w:pPr>
              <w:jc w:val="left"/>
            </w:pPr>
            <w:r>
              <w:rPr>
                <w:b w:val="false"/>
                <w:bCs w:val="false"/>
                <w:color w:val="222222"/>
                <w:sz w:val="19"/>
                <w:szCs w:val="19"/>
              </w:rPr>
              <w:t xml:space="preserve">Driver records (license, contact)</w:t>
            </w:r>
          </w:p>
        </w:tc>
        <w:tc>
          <w:tcPr>
            <w:tcW w:type="dxa" w:w="3200"/>
            <w:tcMar>
              <w:top w:type="dxa" w:w="60"/>
              <w:left w:type="dxa" w:w="90"/>
              <w:bottom w:type="dxa" w:w="60"/>
              <w:right w:type="dxa" w:w="90"/>
            </w:tcMar>
            <w:vAlign w:val="center"/>
          </w:tcPr>
          <w:p>
            <w:pPr>
              <w:jc w:val="left"/>
            </w:pPr>
            <w:r>
              <w:rPr>
                <w:b w:val="false"/>
                <w:bCs w:val="false"/>
                <w:color w:val="222222"/>
                <w:sz w:val="19"/>
                <w:szCs w:val="19"/>
              </w:rPr>
              <w:t xml:space="preserve">Low</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gps_pings</w:t>
            </w:r>
          </w:p>
        </w:tc>
        <w:tc>
          <w:tcPr>
            <w:tcW w:type="dxa" w:w="4000"/>
            <w:tcMar>
              <w:top w:type="dxa" w:w="60"/>
              <w:left w:type="dxa" w:w="90"/>
              <w:bottom w:type="dxa" w:w="60"/>
              <w:right w:type="dxa" w:w="90"/>
            </w:tcMar>
            <w:vAlign w:val="center"/>
          </w:tcPr>
          <w:p>
            <w:pPr>
              <w:jc w:val="left"/>
            </w:pPr>
            <w:r>
              <w:rPr>
                <w:b w:val="false"/>
                <w:bCs w:val="false"/>
                <w:color w:val="222222"/>
                <w:sz w:val="19"/>
                <w:szCs w:val="19"/>
              </w:rPr>
              <w:t xml:space="preserve">Live location telemetry — time-series collection</w:t>
            </w:r>
          </w:p>
        </w:tc>
        <w:tc>
          <w:tcPr>
            <w:tcW w:type="dxa" w:w="3200"/>
            <w:tcMar>
              <w:top w:type="dxa" w:w="60"/>
              <w:left w:type="dxa" w:w="90"/>
              <w:bottom w:type="dxa" w:w="60"/>
              <w:right w:type="dxa" w:w="90"/>
            </w:tcMar>
            <w:vAlign w:val="center"/>
          </w:tcPr>
          <w:p>
            <w:pPr>
              <w:jc w:val="left"/>
            </w:pPr>
            <w:r>
              <w:rPr>
                <w:b w:val="false"/>
                <w:bCs w:val="false"/>
                <w:color w:val="222222"/>
                <w:sz w:val="19"/>
                <w:szCs w:val="19"/>
              </w:rPr>
              <w:t xml:space="preserve">Very High — highest-frequency writes platform-wide</w:t>
            </w:r>
          </w:p>
        </w:tc>
      </w:tr>
    </w:tbl>
    <w:p>
      <w:pPr>
        <w:pStyle w:val="Heading2"/>
        <w:spacing w:after="150" w:before="300"/>
      </w:pPr>
      <w:r>
        <w:rPr>
          <w:b/>
          <w:bCs/>
          <w:color w:val="0F1C3D"/>
          <w:sz w:val="24"/>
          <w:szCs w:val="24"/>
        </w:rPr>
        <w:t xml:space="preserve">20.2 Core Schema — gps_pings (Time-Series Collection)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400"/>
      </w:tblGrid>
      <w:tr>
        <w:trPr>
          <w:tblHeader/>
        </w:trPr>
        <w:tc>
          <w:tcPr>
            <w:tcW w:type="dxa" w:w="2200"/>
            <w:shd w:fill="1B2A55" w:val="clear"/>
            <w:tcMar>
              <w:top w:type="dxa" w:w="60"/>
              <w:left w:type="dxa" w:w="90"/>
              <w:bottom w:type="dxa" w:w="60"/>
              <w:right w:type="dxa" w:w="90"/>
            </w:tcMar>
            <w:vAlign w:val="center"/>
          </w:tcPr>
          <w:p>
            <w:pPr>
              <w:jc w:val="left"/>
            </w:pPr>
            <w:r>
              <w:rPr>
                <w:b/>
                <w:bCs/>
                <w:color w:val="FFFFFF"/>
                <w:sz w:val="19"/>
                <w:szCs w:val="19"/>
              </w:rPr>
              <w:t xml:space="preserve">Field</w:t>
            </w:r>
          </w:p>
        </w:tc>
        <w:tc>
          <w:tcPr>
            <w:tcW w:type="dxa" w:w="1800"/>
            <w:shd w:fill="1B2A55" w:val="clear"/>
            <w:tcMar>
              <w:top w:type="dxa" w:w="60"/>
              <w:left w:type="dxa" w:w="90"/>
              <w:bottom w:type="dxa" w:w="60"/>
              <w:right w:type="dxa" w:w="90"/>
            </w:tcMar>
            <w:vAlign w:val="center"/>
          </w:tcPr>
          <w:p>
            <w:pPr>
              <w:jc w:val="left"/>
            </w:pPr>
            <w:r>
              <w:rPr>
                <w:b/>
                <w:bCs/>
                <w:color w:val="FFFFFF"/>
                <w:sz w:val="19"/>
                <w:szCs w:val="19"/>
              </w:rPr>
              <w:t xml:space="preserve">Type</w:t>
            </w:r>
          </w:p>
        </w:tc>
        <w:tc>
          <w:tcPr>
            <w:tcW w:type="dxa" w:w="5400"/>
            <w:shd w:fill="1B2A55" w:val="clear"/>
            <w:tcMar>
              <w:top w:type="dxa" w:w="60"/>
              <w:left w:type="dxa" w:w="90"/>
              <w:bottom w:type="dxa" w:w="60"/>
              <w:right w:type="dxa" w:w="90"/>
            </w:tcMar>
            <w:vAlign w:val="center"/>
          </w:tcPr>
          <w:p>
            <w:pPr>
              <w:jc w:val="left"/>
            </w:pPr>
            <w:r>
              <w:rPr>
                <w:b/>
                <w:bCs/>
                <w:color w:val="FFFFFF"/>
                <w:sz w:val="19"/>
                <w:szCs w:val="19"/>
              </w:rPr>
              <w:t xml:space="preserve">Notes</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ts</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Date</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timeField — required by MongoDB time-series collections</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meta</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Object</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metaField: { institution_id, vehicle_id } — grouping key for the underlying bucketed storage</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location</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Object (GeoJSON Point)</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 type: 'Point', coordinates: [lng, lat] }</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speed_kmph</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Number</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heading</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Number</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Degrees</w:t>
            </w:r>
          </w:p>
        </w:tc>
      </w:tr>
    </w:tbl>
    <w:p>
      <w:pPr>
        <w:pStyle w:val="ListParagraph"/>
        <w:numPr>
          <w:ilvl w:val="0"/>
          <w:numId w:val="2"/>
        </w:numPr>
        <w:spacing w:after="60"/>
      </w:pPr>
      <w:r>
        <w:rPr>
          <w:color w:val="222222"/>
          <w:sz w:val="21"/>
          <w:szCs w:val="21"/>
        </w:rPr>
        <w:t xml:space="preserve">Created with granularity: 'seconds' and a metaField of {institution_id, vehicle_id} — MongoDB automatically buckets pings sharing the same meta value into compressed internal storage, giving far better write throughput and disk efficiency than a standard collection would for this access pattern.</w:t>
      </w:r>
    </w:p>
    <w:p>
      <w:pPr>
        <w:pStyle w:val="ListParagraph"/>
        <w:numPr>
          <w:ilvl w:val="0"/>
          <w:numId w:val="2"/>
        </w:numPr>
        <w:spacing w:after="60"/>
      </w:pPr>
      <w:r>
        <w:rPr>
          <w:color w:val="222222"/>
          <w:sz w:val="21"/>
          <w:szCs w:val="21"/>
        </w:rPr>
        <w:t xml:space="preserve">A short TTL-backed retention (e.g. 30-90 days) is typically applied to raw pings via a time-series collection's expireAfterSeconds; the Insight Engine periodically aggregates raw pings into route-level analytics (on-time %, distance covered) stored in a small standard collection for long-term reporting, rather than retaining every raw ping indefinitely.</w:t>
      </w:r>
    </w:p>
    <w:p>
      <w:pPr>
        <w:pStyle w:val="Heading2"/>
        <w:spacing w:after="150" w:before="300"/>
      </w:pPr>
      <w:r>
        <w:rPr>
          <w:b/>
          <w:bCs/>
          <w:color w:val="0F1C3D"/>
          <w:sz w:val="24"/>
          <w:szCs w:val="24"/>
        </w:rPr>
        <w:t xml:space="preserve">20.3 Core Schema — vehicle_assignments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400"/>
      </w:tblGrid>
      <w:tr>
        <w:trPr>
          <w:tblHeader/>
        </w:trPr>
        <w:tc>
          <w:tcPr>
            <w:tcW w:type="dxa" w:w="2200"/>
            <w:shd w:fill="1B2A55" w:val="clear"/>
            <w:tcMar>
              <w:top w:type="dxa" w:w="60"/>
              <w:left w:type="dxa" w:w="90"/>
              <w:bottom w:type="dxa" w:w="60"/>
              <w:right w:type="dxa" w:w="90"/>
            </w:tcMar>
            <w:vAlign w:val="center"/>
          </w:tcPr>
          <w:p>
            <w:pPr>
              <w:jc w:val="left"/>
            </w:pPr>
            <w:r>
              <w:rPr>
                <w:b/>
                <w:bCs/>
                <w:color w:val="FFFFFF"/>
                <w:sz w:val="19"/>
                <w:szCs w:val="19"/>
              </w:rPr>
              <w:t xml:space="preserve">Field</w:t>
            </w:r>
          </w:p>
        </w:tc>
        <w:tc>
          <w:tcPr>
            <w:tcW w:type="dxa" w:w="1800"/>
            <w:shd w:fill="1B2A55" w:val="clear"/>
            <w:tcMar>
              <w:top w:type="dxa" w:w="60"/>
              <w:left w:type="dxa" w:w="90"/>
              <w:bottom w:type="dxa" w:w="60"/>
              <w:right w:type="dxa" w:w="90"/>
            </w:tcMar>
            <w:vAlign w:val="center"/>
          </w:tcPr>
          <w:p>
            <w:pPr>
              <w:jc w:val="left"/>
            </w:pPr>
            <w:r>
              <w:rPr>
                <w:b/>
                <w:bCs/>
                <w:color w:val="FFFFFF"/>
                <w:sz w:val="19"/>
                <w:szCs w:val="19"/>
              </w:rPr>
              <w:t xml:space="preserve">Type</w:t>
            </w:r>
          </w:p>
        </w:tc>
        <w:tc>
          <w:tcPr>
            <w:tcW w:type="dxa" w:w="5400"/>
            <w:shd w:fill="1B2A55" w:val="clear"/>
            <w:tcMar>
              <w:top w:type="dxa" w:w="60"/>
              <w:left w:type="dxa" w:w="90"/>
              <w:bottom w:type="dxa" w:w="60"/>
              <w:right w:type="dxa" w:w="90"/>
            </w:tcMar>
            <w:vAlign w:val="center"/>
          </w:tcPr>
          <w:p>
            <w:pPr>
              <w:jc w:val="left"/>
            </w:pPr>
            <w:r>
              <w:rPr>
                <w:b/>
                <w:bCs/>
                <w:color w:val="FFFFFF"/>
                <w:sz w:val="19"/>
                <w:szCs w:val="19"/>
              </w:rPr>
              <w:t xml:space="preserve">Notes</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_id</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ObjectId</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institution_id</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ObjectId</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vehicle_id</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ObjectId</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Ref → vehicles</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route_id</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ObjectId</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Ref → routes</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driver_id</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ObjectId</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Ref → driver_profiles</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effective_from / effective_to</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Date</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
            </w:r>
          </w:p>
        </w:tc>
      </w:tr>
    </w:tbl>
    <w:p>
      <w:pPr>
        <w:pStyle w:val="Heading2"/>
        <w:spacing w:after="150" w:before="300"/>
      </w:pPr>
      <w:r>
        <w:rPr>
          <w:b/>
          <w:bCs/>
          <w:color w:val="0F1C3D"/>
          <w:sz w:val="24"/>
          <w:szCs w:val="24"/>
        </w:rPr>
        <w:t xml:space="preserve">20.4 Core Schema — vehicles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400"/>
      </w:tblGrid>
      <w:tr>
        <w:trPr>
          <w:tblHeader/>
        </w:trPr>
        <w:tc>
          <w:tcPr>
            <w:tcW w:type="dxa" w:w="2200"/>
            <w:shd w:fill="1B2A55" w:val="clear"/>
            <w:tcMar>
              <w:top w:type="dxa" w:w="60"/>
              <w:left w:type="dxa" w:w="90"/>
              <w:bottom w:type="dxa" w:w="60"/>
              <w:right w:type="dxa" w:w="90"/>
            </w:tcMar>
            <w:vAlign w:val="center"/>
          </w:tcPr>
          <w:p>
            <w:pPr>
              <w:jc w:val="left"/>
            </w:pPr>
            <w:r>
              <w:rPr>
                <w:b/>
                <w:bCs/>
                <w:color w:val="FFFFFF"/>
                <w:sz w:val="19"/>
                <w:szCs w:val="19"/>
              </w:rPr>
              <w:t xml:space="preserve">Field</w:t>
            </w:r>
          </w:p>
        </w:tc>
        <w:tc>
          <w:tcPr>
            <w:tcW w:type="dxa" w:w="1800"/>
            <w:shd w:fill="1B2A55" w:val="clear"/>
            <w:tcMar>
              <w:top w:type="dxa" w:w="60"/>
              <w:left w:type="dxa" w:w="90"/>
              <w:bottom w:type="dxa" w:w="60"/>
              <w:right w:type="dxa" w:w="90"/>
            </w:tcMar>
            <w:vAlign w:val="center"/>
          </w:tcPr>
          <w:p>
            <w:pPr>
              <w:jc w:val="left"/>
            </w:pPr>
            <w:r>
              <w:rPr>
                <w:b/>
                <w:bCs/>
                <w:color w:val="FFFFFF"/>
                <w:sz w:val="19"/>
                <w:szCs w:val="19"/>
              </w:rPr>
              <w:t xml:space="preserve">Type</w:t>
            </w:r>
          </w:p>
        </w:tc>
        <w:tc>
          <w:tcPr>
            <w:tcW w:type="dxa" w:w="5400"/>
            <w:shd w:fill="1B2A55" w:val="clear"/>
            <w:tcMar>
              <w:top w:type="dxa" w:w="60"/>
              <w:left w:type="dxa" w:w="90"/>
              <w:bottom w:type="dxa" w:w="60"/>
              <w:right w:type="dxa" w:w="90"/>
            </w:tcMar>
            <w:vAlign w:val="center"/>
          </w:tcPr>
          <w:p>
            <w:pPr>
              <w:jc w:val="left"/>
            </w:pPr>
            <w:r>
              <w:rPr>
                <w:b/>
                <w:bCs/>
                <w:color w:val="FFFFFF"/>
                <w:sz w:val="19"/>
                <w:szCs w:val="19"/>
              </w:rPr>
              <w:t xml:space="preserve">Notes</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_id</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ObjectId</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institution_id</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ObjectId</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Shard key leading field</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registration_number</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String</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Unique per institution</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type</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String (enum)</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bus | van | car</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capacity</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Int</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current_assignment_id</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ObjectId, nullable</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Ref → vehicle_assignments; denormalized pointer to the active assignment for a fast 'where is bus #12 assigned today' lookup</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status</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String (enum)</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active | maintenance | retired</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last_serviced_at</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Date</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
            </w:r>
          </w:p>
        </w:tc>
      </w:tr>
    </w:tbl>
    <w:p>
      <w:pPr>
        <w:pStyle w:val="ListParagraph"/>
        <w:numPr>
          <w:ilvl w:val="0"/>
          <w:numId w:val="2"/>
        </w:numPr>
        <w:spacing w:after="60"/>
      </w:pPr>
      <w:r>
        <w:rPr>
          <w:color w:val="222222"/>
          <w:sz w:val="21"/>
          <w:szCs w:val="21"/>
        </w:rPr>
        <w:t xml:space="preserve">current_assignment_id is a denormalized convenience pointer, not the source of truth — the authoritative assignment history lives in vehicle_assignments, following the same 'denormalized rollup, recomputed from the ledger' pattern used for enrollments.attendance_summary in Section 4.2.</w:t>
      </w:r>
    </w:p>
    <w:p>
      <w:pPr>
        <w:pStyle w:val="Heading2"/>
        <w:spacing w:after="150" w:before="300"/>
      </w:pPr>
      <w:r>
        <w:rPr>
          <w:b/>
          <w:bCs/>
          <w:color w:val="0F1C3D"/>
          <w:sz w:val="24"/>
          <w:szCs w:val="24"/>
        </w:rPr>
        <w:t xml:space="preserve">20.5 Embedding vs. Referencing Decisions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200"/>
      </w:tblGrid>
      <w:tr>
        <w:trPr>
          <w:tblHeader/>
        </w:trPr>
        <w:tc>
          <w:tcPr>
            <w:tcW w:type="dxa" w:w="2800"/>
            <w:shd w:fill="1B2A55" w:val="clear"/>
            <w:tcMar>
              <w:top w:type="dxa" w:w="60"/>
              <w:left w:type="dxa" w:w="90"/>
              <w:bottom w:type="dxa" w:w="60"/>
              <w:right w:type="dxa" w:w="90"/>
            </w:tcMar>
            <w:vAlign w:val="center"/>
          </w:tcPr>
          <w:p>
            <w:pPr>
              <w:jc w:val="left"/>
            </w:pPr>
            <w:r>
              <w:rPr>
                <w:b/>
                <w:bCs/>
                <w:color w:val="FFFFFF"/>
                <w:sz w:val="19"/>
                <w:szCs w:val="19"/>
              </w:rPr>
              <w:t xml:space="preserve">Relationship</w:t>
            </w:r>
          </w:p>
        </w:tc>
        <w:tc>
          <w:tcPr>
            <w:tcW w:type="dxa" w:w="2000"/>
            <w:shd w:fill="1B2A55" w:val="clear"/>
            <w:tcMar>
              <w:top w:type="dxa" w:w="60"/>
              <w:left w:type="dxa" w:w="90"/>
              <w:bottom w:type="dxa" w:w="60"/>
              <w:right w:type="dxa" w:w="90"/>
            </w:tcMar>
            <w:vAlign w:val="center"/>
          </w:tcPr>
          <w:p>
            <w:pPr>
              <w:jc w:val="left"/>
            </w:pPr>
            <w:r>
              <w:rPr>
                <w:b/>
                <w:bCs/>
                <w:color w:val="FFFFFF"/>
                <w:sz w:val="19"/>
                <w:szCs w:val="19"/>
              </w:rPr>
              <w:t xml:space="preserve">Approach</w:t>
            </w:r>
          </w:p>
        </w:tc>
        <w:tc>
          <w:tcPr>
            <w:tcW w:type="dxa" w:w="4200"/>
            <w:shd w:fill="1B2A55" w:val="clear"/>
            <w:tcMar>
              <w:top w:type="dxa" w:w="60"/>
              <w:left w:type="dxa" w:w="90"/>
              <w:bottom w:type="dxa" w:w="60"/>
              <w:right w:type="dxa" w:w="90"/>
            </w:tcMar>
            <w:vAlign w:val="center"/>
          </w:tcPr>
          <w:p>
            <w:pPr>
              <w:jc w:val="left"/>
            </w:pPr>
            <w:r>
              <w:rPr>
                <w:b/>
                <w:bCs/>
                <w:color w:val="FFFFFF"/>
                <w:sz w:val="19"/>
                <w:szCs w:val="19"/>
              </w:rPr>
              <w:t xml:space="preserve">Reason</w:t>
            </w:r>
          </w:p>
        </w:tc>
      </w:tr>
      <w:tr>
        <w:tc>
          <w:tcPr>
            <w:tcW w:type="dxa" w:w="2800"/>
            <w:tcMar>
              <w:top w:type="dxa" w:w="60"/>
              <w:left w:type="dxa" w:w="90"/>
              <w:bottom w:type="dxa" w:w="60"/>
              <w:right w:type="dxa" w:w="90"/>
            </w:tcMar>
            <w:vAlign w:val="center"/>
          </w:tcPr>
          <w:p>
            <w:pPr>
              <w:jc w:val="left"/>
            </w:pPr>
            <w:r>
              <w:rPr>
                <w:b w:val="false"/>
                <w:bCs w:val="false"/>
                <w:color w:val="222222"/>
                <w:sz w:val="19"/>
                <w:szCs w:val="19"/>
              </w:rPr>
              <w:t xml:space="preserve">vehicles.current_assignment_id</w:t>
            </w:r>
          </w:p>
        </w:tc>
        <w:tc>
          <w:tcPr>
            <w:tcW w:type="dxa" w:w="2000"/>
            <w:tcMar>
              <w:top w:type="dxa" w:w="60"/>
              <w:left w:type="dxa" w:w="90"/>
              <w:bottom w:type="dxa" w:w="60"/>
              <w:right w:type="dxa" w:w="90"/>
            </w:tcMar>
            <w:vAlign w:val="center"/>
          </w:tcPr>
          <w:p>
            <w:pPr>
              <w:jc w:val="left"/>
            </w:pPr>
            <w:r>
              <w:rPr>
                <w:b w:val="false"/>
                <w:bCs w:val="false"/>
                <w:color w:val="222222"/>
                <w:sz w:val="19"/>
                <w:szCs w:val="19"/>
              </w:rPr>
              <w:t xml:space="preserve">Reference (denormalized pointer)</w:t>
            </w:r>
          </w:p>
        </w:tc>
        <w:tc>
          <w:tcPr>
            <w:tcW w:type="dxa" w:w="4200"/>
            <w:tcMar>
              <w:top w:type="dxa" w:w="60"/>
              <w:left w:type="dxa" w:w="90"/>
              <w:bottom w:type="dxa" w:w="60"/>
              <w:right w:type="dxa" w:w="90"/>
            </w:tcMar>
            <w:vAlign w:val="center"/>
          </w:tcPr>
          <w:p>
            <w:pPr>
              <w:jc w:val="left"/>
            </w:pPr>
            <w:r>
              <w:rPr>
                <w:b w:val="false"/>
                <w:bCs w:val="false"/>
                <w:color w:val="222222"/>
                <w:sz w:val="19"/>
                <w:szCs w:val="19"/>
              </w:rPr>
              <w:t xml:space="preserve">Fast-read convenience field; full assignment history stays in its own collection</w:t>
            </w:r>
          </w:p>
        </w:tc>
      </w:tr>
      <w:tr>
        <w:tc>
          <w:tcPr>
            <w:tcW w:type="dxa" w:w="2800"/>
            <w:tcMar>
              <w:top w:type="dxa" w:w="60"/>
              <w:left w:type="dxa" w:w="90"/>
              <w:bottom w:type="dxa" w:w="60"/>
              <w:right w:type="dxa" w:w="90"/>
            </w:tcMar>
            <w:vAlign w:val="center"/>
          </w:tcPr>
          <w:p>
            <w:pPr>
              <w:jc w:val="left"/>
            </w:pPr>
            <w:r>
              <w:rPr>
                <w:b w:val="false"/>
                <w:bCs w:val="false"/>
                <w:color w:val="222222"/>
                <w:sz w:val="19"/>
                <w:szCs w:val="19"/>
              </w:rPr>
              <w:t xml:space="preserve">gps_pings ↔ vehicles</w:t>
            </w:r>
          </w:p>
        </w:tc>
        <w:tc>
          <w:tcPr>
            <w:tcW w:type="dxa" w:w="2000"/>
            <w:tcMar>
              <w:top w:type="dxa" w:w="60"/>
              <w:left w:type="dxa" w:w="90"/>
              <w:bottom w:type="dxa" w:w="60"/>
              <w:right w:type="dxa" w:w="90"/>
            </w:tcMar>
            <w:vAlign w:val="center"/>
          </w:tcPr>
          <w:p>
            <w:pPr>
              <w:jc w:val="left"/>
            </w:pPr>
            <w:r>
              <w:rPr>
                <w:b w:val="false"/>
                <w:bCs w:val="false"/>
                <w:color w:val="222222"/>
                <w:sz w:val="19"/>
                <w:szCs w:val="19"/>
              </w:rPr>
              <w:t xml:space="preserve">Reference via metaField, not embedded</w:t>
            </w:r>
          </w:p>
        </w:tc>
        <w:tc>
          <w:tcPr>
            <w:tcW w:type="dxa" w:w="4200"/>
            <w:tcMar>
              <w:top w:type="dxa" w:w="60"/>
              <w:left w:type="dxa" w:w="90"/>
              <w:bottom w:type="dxa" w:w="60"/>
              <w:right w:type="dxa" w:w="90"/>
            </w:tcMar>
            <w:vAlign w:val="center"/>
          </w:tcPr>
          <w:p>
            <w:pPr>
              <w:jc w:val="left"/>
            </w:pPr>
            <w:r>
              <w:rPr>
                <w:b w:val="false"/>
                <w:bCs w:val="false"/>
                <w:color w:val="222222"/>
                <w:sz w:val="19"/>
                <w:szCs w:val="19"/>
              </w:rPr>
              <w:t xml:space="preserve">Unbounded high-frequency telemetry — modeled as a time-series collection rather than any document-embedding approach</w:t>
            </w:r>
          </w:p>
        </w:tc>
      </w:tr>
      <w:tr>
        <w:tc>
          <w:tcPr>
            <w:tcW w:type="dxa" w:w="2800"/>
            <w:tcMar>
              <w:top w:type="dxa" w:w="60"/>
              <w:left w:type="dxa" w:w="90"/>
              <w:bottom w:type="dxa" w:w="60"/>
              <w:right w:type="dxa" w:w="90"/>
            </w:tcMar>
            <w:vAlign w:val="center"/>
          </w:tcPr>
          <w:p>
            <w:pPr>
              <w:jc w:val="left"/>
            </w:pPr>
            <w:r>
              <w:rPr>
                <w:b w:val="false"/>
                <w:bCs w:val="false"/>
                <w:color w:val="222222"/>
                <w:sz w:val="19"/>
                <w:szCs w:val="19"/>
              </w:rPr>
              <w:t xml:space="preserve">routes.stops</w:t>
            </w:r>
          </w:p>
        </w:tc>
        <w:tc>
          <w:tcPr>
            <w:tcW w:type="dxa" w:w="2000"/>
            <w:tcMar>
              <w:top w:type="dxa" w:w="60"/>
              <w:left w:type="dxa" w:w="90"/>
              <w:bottom w:type="dxa" w:w="60"/>
              <w:right w:type="dxa" w:w="90"/>
            </w:tcMar>
            <w:vAlign w:val="center"/>
          </w:tcPr>
          <w:p>
            <w:pPr>
              <w:jc w:val="left"/>
            </w:pPr>
            <w:r>
              <w:rPr>
                <w:b w:val="false"/>
                <w:bCs w:val="false"/>
                <w:color w:val="222222"/>
                <w:sz w:val="19"/>
                <w:szCs w:val="19"/>
              </w:rPr>
              <w:t xml:space="preserve">Embed (bounded sub-document array)</w:t>
            </w:r>
          </w:p>
        </w:tc>
        <w:tc>
          <w:tcPr>
            <w:tcW w:type="dxa" w:w="4200"/>
            <w:tcMar>
              <w:top w:type="dxa" w:w="60"/>
              <w:left w:type="dxa" w:w="90"/>
              <w:bottom w:type="dxa" w:w="60"/>
              <w:right w:type="dxa" w:w="90"/>
            </w:tcMar>
            <w:vAlign w:val="center"/>
          </w:tcPr>
          <w:p>
            <w:pPr>
              <w:jc w:val="left"/>
            </w:pPr>
            <w:r>
              <w:rPr>
                <w:b w:val="false"/>
                <w:bCs w:val="false"/>
                <w:color w:val="222222"/>
                <w:sz w:val="19"/>
                <w:szCs w:val="19"/>
              </w:rPr>
              <w:t xml:space="preserve">A route's stop list is small, ordered, and always read together with the route</w:t>
            </w:r>
          </w:p>
        </w:tc>
      </w:tr>
    </w:tbl>
    <w:p>
      <w:pPr>
        <w:pBdr>
          <w:left w:val="single" w:color="1B2A55" w:sz="18" w:space="6"/>
        </w:pBdr>
        <w:shd w:fill="EEF1F8" w:val="clear"/>
        <w:spacing w:after="200" w:before="100"/>
        <w:ind w:left="120"/>
      </w:pPr>
      <w:r>
        <w:rPr>
          <w:i/>
          <w:iCs/>
          <w:color w:val="0F1C3D"/>
          <w:sz w:val="20"/>
          <w:szCs w:val="20"/>
        </w:rPr>
        <w:t xml:space="preserve">Design note: gps_pings is intentionally excluded from the standard sharding/indexing conventions in Sections 9-10 — time-series collections use MongoDB's own internal bucketing and shard automatically on the metaField, so the {institution_id, student_id}-style shard-key guidance elsewhere in this document does not apply here.</w:t>
      </w:r>
    </w:p>
    <w:p>
      <w:r>
        <w:br w:type="page"/>
      </w:r>
    </w:p>
    <w:p>
      <w:pPr>
        <w:pStyle w:val="Heading1"/>
        <w:pBdr>
          <w:bottom w:val="single" w:color="1B2A55" w:sz="12" w:space="4"/>
        </w:pBdr>
        <w:spacing w:after="200" w:before="400"/>
      </w:pPr>
      <w:r>
        <w:rPr>
          <w:b/>
          <w:bCs/>
          <w:color w:val="1B2A55"/>
          <w:sz w:val="30"/>
          <w:szCs w:val="30"/>
        </w:rPr>
        <w:t xml:space="preserve">21. Facilities Management — Detailed Schema Design</w:t>
      </w:r>
    </w:p>
    <w:p>
      <w:pPr>
        <w:spacing w:after="140" w:line="276"/>
      </w:pPr>
      <w:r>
        <w:rPr>
          <w:color w:val="222222"/>
          <w:sz w:val="21"/>
          <w:szCs w:val="21"/>
        </w:rPr>
        <w:t xml:space="preserve">Facilities Management covers asset tracking, maintenance work orders, inventory, vendors, utility monitoring, and preventive maintenance scheduling — structurally similar to Hostel's maintenance_requests but generalized across the whole campus rather than hostel rooms specifically.</w:t>
      </w:r>
    </w:p>
    <w:p>
      <w:pPr>
        <w:pStyle w:val="Heading2"/>
        <w:spacing w:after="150" w:before="300"/>
      </w:pPr>
      <w:r>
        <w:rPr>
          <w:b/>
          <w:bCs/>
          <w:color w:val="0F1C3D"/>
          <w:sz w:val="24"/>
          <w:szCs w:val="24"/>
        </w:rPr>
        <w:t xml:space="preserve">21.1 Collections Overview</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200"/>
      </w:tblGrid>
      <w:tr>
        <w:trPr>
          <w:tblHeader/>
        </w:trPr>
        <w:tc>
          <w:tcPr>
            <w:tcW w:type="dxa" w:w="2200"/>
            <w:shd w:fill="1B2A55" w:val="clear"/>
            <w:tcMar>
              <w:top w:type="dxa" w:w="60"/>
              <w:left w:type="dxa" w:w="90"/>
              <w:bottom w:type="dxa" w:w="60"/>
              <w:right w:type="dxa" w:w="90"/>
            </w:tcMar>
            <w:vAlign w:val="center"/>
          </w:tcPr>
          <w:p>
            <w:pPr>
              <w:jc w:val="left"/>
            </w:pPr>
            <w:r>
              <w:rPr>
                <w:b/>
                <w:bCs/>
                <w:color w:val="FFFFFF"/>
                <w:sz w:val="19"/>
                <w:szCs w:val="19"/>
              </w:rPr>
              <w:t xml:space="preserve">Collection</w:t>
            </w:r>
          </w:p>
        </w:tc>
        <w:tc>
          <w:tcPr>
            <w:tcW w:type="dxa" w:w="4000"/>
            <w:shd w:fill="1B2A55" w:val="clear"/>
            <w:tcMar>
              <w:top w:type="dxa" w:w="60"/>
              <w:left w:type="dxa" w:w="90"/>
              <w:bottom w:type="dxa" w:w="60"/>
              <w:right w:type="dxa" w:w="90"/>
            </w:tcMar>
            <w:vAlign w:val="center"/>
          </w:tcPr>
          <w:p>
            <w:pPr>
              <w:jc w:val="left"/>
            </w:pPr>
            <w:r>
              <w:rPr>
                <w:b/>
                <w:bCs/>
                <w:color w:val="FFFFFF"/>
                <w:sz w:val="19"/>
                <w:szCs w:val="19"/>
              </w:rPr>
              <w:t xml:space="preserve">Purpose</w:t>
            </w:r>
          </w:p>
        </w:tc>
        <w:tc>
          <w:tcPr>
            <w:tcW w:type="dxa" w:w="3200"/>
            <w:shd w:fill="1B2A55" w:val="clear"/>
            <w:tcMar>
              <w:top w:type="dxa" w:w="60"/>
              <w:left w:type="dxa" w:w="90"/>
              <w:bottom w:type="dxa" w:w="60"/>
              <w:right w:type="dxa" w:w="90"/>
            </w:tcMar>
            <w:vAlign w:val="center"/>
          </w:tcPr>
          <w:p>
            <w:pPr>
              <w:jc w:val="left"/>
            </w:pPr>
            <w:r>
              <w:rPr>
                <w:b/>
                <w:bCs/>
                <w:color w:val="FFFFFF"/>
                <w:sz w:val="19"/>
                <w:szCs w:val="19"/>
              </w:rPr>
              <w:t xml:space="preserve">Approx. Growth</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assets</w:t>
            </w:r>
          </w:p>
        </w:tc>
        <w:tc>
          <w:tcPr>
            <w:tcW w:type="dxa" w:w="4000"/>
            <w:tcMar>
              <w:top w:type="dxa" w:w="60"/>
              <w:left w:type="dxa" w:w="90"/>
              <w:bottom w:type="dxa" w:w="60"/>
              <w:right w:type="dxa" w:w="90"/>
            </w:tcMar>
            <w:vAlign w:val="center"/>
          </w:tcPr>
          <w:p>
            <w:pPr>
              <w:jc w:val="left"/>
            </w:pPr>
            <w:r>
              <w:rPr>
                <w:b w:val="false"/>
                <w:bCs w:val="false"/>
                <w:color w:val="222222"/>
                <w:sz w:val="19"/>
                <w:szCs w:val="19"/>
              </w:rPr>
              <w:t xml:space="preserve">Physical asset registry (equipment, furniture, systems)</w:t>
            </w:r>
          </w:p>
        </w:tc>
        <w:tc>
          <w:tcPr>
            <w:tcW w:type="dxa" w:w="3200"/>
            <w:tcMar>
              <w:top w:type="dxa" w:w="60"/>
              <w:left w:type="dxa" w:w="90"/>
              <w:bottom w:type="dxa" w:w="60"/>
              <w:right w:type="dxa" w:w="90"/>
            </w:tcMar>
            <w:vAlign w:val="center"/>
          </w:tcPr>
          <w:p>
            <w:pPr>
              <w:jc w:val="left"/>
            </w:pPr>
            <w:r>
              <w:rPr>
                <w:b w:val="false"/>
                <w:bCs w:val="false"/>
                <w:color w:val="222222"/>
                <w:sz w:val="19"/>
                <w:szCs w:val="19"/>
              </w:rPr>
              <w:t xml:space="preserve">Medium</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work_orders</w:t>
            </w:r>
          </w:p>
        </w:tc>
        <w:tc>
          <w:tcPr>
            <w:tcW w:type="dxa" w:w="4000"/>
            <w:tcMar>
              <w:top w:type="dxa" w:w="60"/>
              <w:left w:type="dxa" w:w="90"/>
              <w:bottom w:type="dxa" w:w="60"/>
              <w:right w:type="dxa" w:w="90"/>
            </w:tcMar>
            <w:vAlign w:val="center"/>
          </w:tcPr>
          <w:p>
            <w:pPr>
              <w:jc w:val="left"/>
            </w:pPr>
            <w:r>
              <w:rPr>
                <w:b w:val="false"/>
                <w:bCs w:val="false"/>
                <w:color w:val="222222"/>
                <w:sz w:val="19"/>
                <w:szCs w:val="19"/>
              </w:rPr>
              <w:t xml:space="preserve">Maintenance/repair tickets against an asset or location</w:t>
            </w:r>
          </w:p>
        </w:tc>
        <w:tc>
          <w:tcPr>
            <w:tcW w:type="dxa" w:w="3200"/>
            <w:tcMar>
              <w:top w:type="dxa" w:w="60"/>
              <w:left w:type="dxa" w:w="90"/>
              <w:bottom w:type="dxa" w:w="60"/>
              <w:right w:type="dxa" w:w="90"/>
            </w:tcMar>
            <w:vAlign w:val="center"/>
          </w:tcPr>
          <w:p>
            <w:pPr>
              <w:jc w:val="left"/>
            </w:pPr>
            <w:r>
              <w:rPr>
                <w:b w:val="false"/>
                <w:bCs w:val="false"/>
                <w:color w:val="222222"/>
                <w:sz w:val="19"/>
                <w:szCs w:val="19"/>
              </w:rPr>
              <w:t xml:space="preserve">Medium-High</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inventory_items</w:t>
            </w:r>
          </w:p>
        </w:tc>
        <w:tc>
          <w:tcPr>
            <w:tcW w:type="dxa" w:w="4000"/>
            <w:tcMar>
              <w:top w:type="dxa" w:w="60"/>
              <w:left w:type="dxa" w:w="90"/>
              <w:bottom w:type="dxa" w:w="60"/>
              <w:right w:type="dxa" w:w="90"/>
            </w:tcMar>
            <w:vAlign w:val="center"/>
          </w:tcPr>
          <w:p>
            <w:pPr>
              <w:jc w:val="left"/>
            </w:pPr>
            <w:r>
              <w:rPr>
                <w:b w:val="false"/>
                <w:bCs w:val="false"/>
                <w:color w:val="222222"/>
                <w:sz w:val="19"/>
                <w:szCs w:val="19"/>
              </w:rPr>
              <w:t xml:space="preserve">Consumable/spare-part stock levels</w:t>
            </w:r>
          </w:p>
        </w:tc>
        <w:tc>
          <w:tcPr>
            <w:tcW w:type="dxa" w:w="3200"/>
            <w:tcMar>
              <w:top w:type="dxa" w:w="60"/>
              <w:left w:type="dxa" w:w="90"/>
              <w:bottom w:type="dxa" w:w="60"/>
              <w:right w:type="dxa" w:w="90"/>
            </w:tcMar>
            <w:vAlign w:val="center"/>
          </w:tcPr>
          <w:p>
            <w:pPr>
              <w:jc w:val="left"/>
            </w:pPr>
            <w:r>
              <w:rPr>
                <w:b w:val="false"/>
                <w:bCs w:val="false"/>
                <w:color w:val="222222"/>
                <w:sz w:val="19"/>
                <w:szCs w:val="19"/>
              </w:rPr>
              <w:t xml:space="preserve">Medium</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vendors</w:t>
            </w:r>
          </w:p>
        </w:tc>
        <w:tc>
          <w:tcPr>
            <w:tcW w:type="dxa" w:w="4000"/>
            <w:tcMar>
              <w:top w:type="dxa" w:w="60"/>
              <w:left w:type="dxa" w:w="90"/>
              <w:bottom w:type="dxa" w:w="60"/>
              <w:right w:type="dxa" w:w="90"/>
            </w:tcMar>
            <w:vAlign w:val="center"/>
          </w:tcPr>
          <w:p>
            <w:pPr>
              <w:jc w:val="left"/>
            </w:pPr>
            <w:r>
              <w:rPr>
                <w:b w:val="false"/>
                <w:bCs w:val="false"/>
                <w:color w:val="222222"/>
                <w:sz w:val="19"/>
                <w:szCs w:val="19"/>
              </w:rPr>
              <w:t xml:space="preserve">Vendor/contractor directory</w:t>
            </w:r>
          </w:p>
        </w:tc>
        <w:tc>
          <w:tcPr>
            <w:tcW w:type="dxa" w:w="3200"/>
            <w:tcMar>
              <w:top w:type="dxa" w:w="60"/>
              <w:left w:type="dxa" w:w="90"/>
              <w:bottom w:type="dxa" w:w="60"/>
              <w:right w:type="dxa" w:w="90"/>
            </w:tcMar>
            <w:vAlign w:val="center"/>
          </w:tcPr>
          <w:p>
            <w:pPr>
              <w:jc w:val="left"/>
            </w:pPr>
            <w:r>
              <w:rPr>
                <w:b w:val="false"/>
                <w:bCs w:val="false"/>
                <w:color w:val="222222"/>
                <w:sz w:val="19"/>
                <w:szCs w:val="19"/>
              </w:rPr>
              <w:t xml:space="preserve">Low</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utility_readings</w:t>
            </w:r>
          </w:p>
        </w:tc>
        <w:tc>
          <w:tcPr>
            <w:tcW w:type="dxa" w:w="4000"/>
            <w:tcMar>
              <w:top w:type="dxa" w:w="60"/>
              <w:left w:type="dxa" w:w="90"/>
              <w:bottom w:type="dxa" w:w="60"/>
              <w:right w:type="dxa" w:w="90"/>
            </w:tcMar>
            <w:vAlign w:val="center"/>
          </w:tcPr>
          <w:p>
            <w:pPr>
              <w:jc w:val="left"/>
            </w:pPr>
            <w:r>
              <w:rPr>
                <w:b w:val="false"/>
                <w:bCs w:val="false"/>
                <w:color w:val="222222"/>
                <w:sz w:val="19"/>
                <w:szCs w:val="19"/>
              </w:rPr>
              <w:t xml:space="preserve">Periodic utility meter readings (power/water)</w:t>
            </w:r>
          </w:p>
        </w:tc>
        <w:tc>
          <w:tcPr>
            <w:tcW w:type="dxa" w:w="3200"/>
            <w:tcMar>
              <w:top w:type="dxa" w:w="60"/>
              <w:left w:type="dxa" w:w="90"/>
              <w:bottom w:type="dxa" w:w="60"/>
              <w:right w:type="dxa" w:w="90"/>
            </w:tcMar>
            <w:vAlign w:val="center"/>
          </w:tcPr>
          <w:p>
            <w:pPr>
              <w:jc w:val="left"/>
            </w:pPr>
            <w:r>
              <w:rPr>
                <w:b w:val="false"/>
                <w:bCs w:val="false"/>
                <w:color w:val="222222"/>
                <w:sz w:val="19"/>
                <w:szCs w:val="19"/>
              </w:rPr>
              <w:t xml:space="preserve">Medium-High</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preventive_maintenance_schedules</w:t>
            </w:r>
          </w:p>
        </w:tc>
        <w:tc>
          <w:tcPr>
            <w:tcW w:type="dxa" w:w="4000"/>
            <w:tcMar>
              <w:top w:type="dxa" w:w="60"/>
              <w:left w:type="dxa" w:w="90"/>
              <w:bottom w:type="dxa" w:w="60"/>
              <w:right w:type="dxa" w:w="90"/>
            </w:tcMar>
            <w:vAlign w:val="center"/>
          </w:tcPr>
          <w:p>
            <w:pPr>
              <w:jc w:val="left"/>
            </w:pPr>
            <w:r>
              <w:rPr>
                <w:b w:val="false"/>
                <w:bCs w:val="false"/>
                <w:color w:val="222222"/>
                <w:sz w:val="19"/>
                <w:szCs w:val="19"/>
              </w:rPr>
              <w:t xml:space="preserve">Recurring maintenance plans per asset</w:t>
            </w:r>
          </w:p>
        </w:tc>
        <w:tc>
          <w:tcPr>
            <w:tcW w:type="dxa" w:w="3200"/>
            <w:tcMar>
              <w:top w:type="dxa" w:w="60"/>
              <w:left w:type="dxa" w:w="90"/>
              <w:bottom w:type="dxa" w:w="60"/>
              <w:right w:type="dxa" w:w="90"/>
            </w:tcMar>
            <w:vAlign w:val="center"/>
          </w:tcPr>
          <w:p>
            <w:pPr>
              <w:jc w:val="left"/>
            </w:pPr>
            <w:r>
              <w:rPr>
                <w:b w:val="false"/>
                <w:bCs w:val="false"/>
                <w:color w:val="222222"/>
                <w:sz w:val="19"/>
                <w:szCs w:val="19"/>
              </w:rPr>
              <w:t xml:space="preserve">Low</w:t>
            </w:r>
          </w:p>
        </w:tc>
      </w:tr>
    </w:tbl>
    <w:p>
      <w:pPr>
        <w:pStyle w:val="Heading2"/>
        <w:spacing w:after="150" w:before="300"/>
      </w:pPr>
      <w:r>
        <w:rPr>
          <w:b/>
          <w:bCs/>
          <w:color w:val="0F1C3D"/>
          <w:sz w:val="24"/>
          <w:szCs w:val="24"/>
        </w:rPr>
        <w:t xml:space="preserve">21.2 Core Schema — work_orders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400"/>
      </w:tblGrid>
      <w:tr>
        <w:trPr>
          <w:tblHeader/>
        </w:trPr>
        <w:tc>
          <w:tcPr>
            <w:tcW w:type="dxa" w:w="2200"/>
            <w:shd w:fill="1B2A55" w:val="clear"/>
            <w:tcMar>
              <w:top w:type="dxa" w:w="60"/>
              <w:left w:type="dxa" w:w="90"/>
              <w:bottom w:type="dxa" w:w="60"/>
              <w:right w:type="dxa" w:w="90"/>
            </w:tcMar>
            <w:vAlign w:val="center"/>
          </w:tcPr>
          <w:p>
            <w:pPr>
              <w:jc w:val="left"/>
            </w:pPr>
            <w:r>
              <w:rPr>
                <w:b/>
                <w:bCs/>
                <w:color w:val="FFFFFF"/>
                <w:sz w:val="19"/>
                <w:szCs w:val="19"/>
              </w:rPr>
              <w:t xml:space="preserve">Field</w:t>
            </w:r>
          </w:p>
        </w:tc>
        <w:tc>
          <w:tcPr>
            <w:tcW w:type="dxa" w:w="1800"/>
            <w:shd w:fill="1B2A55" w:val="clear"/>
            <w:tcMar>
              <w:top w:type="dxa" w:w="60"/>
              <w:left w:type="dxa" w:w="90"/>
              <w:bottom w:type="dxa" w:w="60"/>
              <w:right w:type="dxa" w:w="90"/>
            </w:tcMar>
            <w:vAlign w:val="center"/>
          </w:tcPr>
          <w:p>
            <w:pPr>
              <w:jc w:val="left"/>
            </w:pPr>
            <w:r>
              <w:rPr>
                <w:b/>
                <w:bCs/>
                <w:color w:val="FFFFFF"/>
                <w:sz w:val="19"/>
                <w:szCs w:val="19"/>
              </w:rPr>
              <w:t xml:space="preserve">Type</w:t>
            </w:r>
          </w:p>
        </w:tc>
        <w:tc>
          <w:tcPr>
            <w:tcW w:type="dxa" w:w="5400"/>
            <w:shd w:fill="1B2A55" w:val="clear"/>
            <w:tcMar>
              <w:top w:type="dxa" w:w="60"/>
              <w:left w:type="dxa" w:w="90"/>
              <w:bottom w:type="dxa" w:w="60"/>
              <w:right w:type="dxa" w:w="90"/>
            </w:tcMar>
            <w:vAlign w:val="center"/>
          </w:tcPr>
          <w:p>
            <w:pPr>
              <w:jc w:val="left"/>
            </w:pPr>
            <w:r>
              <w:rPr>
                <w:b/>
                <w:bCs/>
                <w:color w:val="FFFFFF"/>
                <w:sz w:val="19"/>
                <w:szCs w:val="19"/>
              </w:rPr>
              <w:t xml:space="preserve">Notes</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_id</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ObjectId</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institution_id</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ObjectId</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Shard key leading field</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asset_id</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ObjectId, nullable</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Ref → assets — nullable because some work orders are location-based, not asset-specific</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reported_by</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ObjectId</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Ref → Admin Manager users</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vendor_id</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ObjectId, nullable</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Ref → vendors, set once assigned</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priority</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String (enum)</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low | medium | high | critical</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status</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String (enum)</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open | assigned | in_progress | resolved | closed</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cost</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Decimal128, nullable</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Feeds Finance.expenses on closure, same saga pattern as payroll_runs → expenses</w:t>
            </w:r>
          </w:p>
        </w:tc>
      </w:tr>
    </w:tbl>
    <w:p>
      <w:pPr>
        <w:pStyle w:val="Heading2"/>
        <w:spacing w:after="150" w:before="300"/>
      </w:pPr>
      <w:r>
        <w:rPr>
          <w:b/>
          <w:bCs/>
          <w:color w:val="0F1C3D"/>
          <w:sz w:val="24"/>
          <w:szCs w:val="24"/>
        </w:rPr>
        <w:t xml:space="preserve">21.3 Core Schema — inventory_items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400"/>
      </w:tblGrid>
      <w:tr>
        <w:trPr>
          <w:tblHeader/>
        </w:trPr>
        <w:tc>
          <w:tcPr>
            <w:tcW w:type="dxa" w:w="2200"/>
            <w:shd w:fill="1B2A55" w:val="clear"/>
            <w:tcMar>
              <w:top w:type="dxa" w:w="60"/>
              <w:left w:type="dxa" w:w="90"/>
              <w:bottom w:type="dxa" w:w="60"/>
              <w:right w:type="dxa" w:w="90"/>
            </w:tcMar>
            <w:vAlign w:val="center"/>
          </w:tcPr>
          <w:p>
            <w:pPr>
              <w:jc w:val="left"/>
            </w:pPr>
            <w:r>
              <w:rPr>
                <w:b/>
                <w:bCs/>
                <w:color w:val="FFFFFF"/>
                <w:sz w:val="19"/>
                <w:szCs w:val="19"/>
              </w:rPr>
              <w:t xml:space="preserve">Field</w:t>
            </w:r>
          </w:p>
        </w:tc>
        <w:tc>
          <w:tcPr>
            <w:tcW w:type="dxa" w:w="1800"/>
            <w:shd w:fill="1B2A55" w:val="clear"/>
            <w:tcMar>
              <w:top w:type="dxa" w:w="60"/>
              <w:left w:type="dxa" w:w="90"/>
              <w:bottom w:type="dxa" w:w="60"/>
              <w:right w:type="dxa" w:w="90"/>
            </w:tcMar>
            <w:vAlign w:val="center"/>
          </w:tcPr>
          <w:p>
            <w:pPr>
              <w:jc w:val="left"/>
            </w:pPr>
            <w:r>
              <w:rPr>
                <w:b/>
                <w:bCs/>
                <w:color w:val="FFFFFF"/>
                <w:sz w:val="19"/>
                <w:szCs w:val="19"/>
              </w:rPr>
              <w:t xml:space="preserve">Type</w:t>
            </w:r>
          </w:p>
        </w:tc>
        <w:tc>
          <w:tcPr>
            <w:tcW w:type="dxa" w:w="5400"/>
            <w:shd w:fill="1B2A55" w:val="clear"/>
            <w:tcMar>
              <w:top w:type="dxa" w:w="60"/>
              <w:left w:type="dxa" w:w="90"/>
              <w:bottom w:type="dxa" w:w="60"/>
              <w:right w:type="dxa" w:w="90"/>
            </w:tcMar>
            <w:vAlign w:val="center"/>
          </w:tcPr>
          <w:p>
            <w:pPr>
              <w:jc w:val="left"/>
            </w:pPr>
            <w:r>
              <w:rPr>
                <w:b/>
                <w:bCs/>
                <w:color w:val="FFFFFF"/>
                <w:sz w:val="19"/>
                <w:szCs w:val="19"/>
              </w:rPr>
              <w:t xml:space="preserve">Notes</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_id</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ObjectId</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institution_id</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ObjectId</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name / sku</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String</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quantity_on_hand</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Int</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Updated via $inc, never read-then-write, same guard pattern as available_copies/seats_filled</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reorder_threshold</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Int</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Drives an automated low-stock alert via the Notification Engine</w:t>
            </w:r>
          </w:p>
        </w:tc>
      </w:tr>
    </w:tbl>
    <w:p>
      <w:pPr>
        <w:pStyle w:val="Heading2"/>
        <w:spacing w:after="150" w:before="300"/>
      </w:pPr>
      <w:r>
        <w:rPr>
          <w:b/>
          <w:bCs/>
          <w:color w:val="0F1C3D"/>
          <w:sz w:val="24"/>
          <w:szCs w:val="24"/>
        </w:rPr>
        <w:t xml:space="preserve">21.4 Embedding vs. Referencing Decisions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200"/>
      </w:tblGrid>
      <w:tr>
        <w:trPr>
          <w:tblHeader/>
        </w:trPr>
        <w:tc>
          <w:tcPr>
            <w:tcW w:type="dxa" w:w="2800"/>
            <w:shd w:fill="1B2A55" w:val="clear"/>
            <w:tcMar>
              <w:top w:type="dxa" w:w="60"/>
              <w:left w:type="dxa" w:w="90"/>
              <w:bottom w:type="dxa" w:w="60"/>
              <w:right w:type="dxa" w:w="90"/>
            </w:tcMar>
            <w:vAlign w:val="center"/>
          </w:tcPr>
          <w:p>
            <w:pPr>
              <w:jc w:val="left"/>
            </w:pPr>
            <w:r>
              <w:rPr>
                <w:b/>
                <w:bCs/>
                <w:color w:val="FFFFFF"/>
                <w:sz w:val="19"/>
                <w:szCs w:val="19"/>
              </w:rPr>
              <w:t xml:space="preserve">Relationship</w:t>
            </w:r>
          </w:p>
        </w:tc>
        <w:tc>
          <w:tcPr>
            <w:tcW w:type="dxa" w:w="2000"/>
            <w:shd w:fill="1B2A55" w:val="clear"/>
            <w:tcMar>
              <w:top w:type="dxa" w:w="60"/>
              <w:left w:type="dxa" w:w="90"/>
              <w:bottom w:type="dxa" w:w="60"/>
              <w:right w:type="dxa" w:w="90"/>
            </w:tcMar>
            <w:vAlign w:val="center"/>
          </w:tcPr>
          <w:p>
            <w:pPr>
              <w:jc w:val="left"/>
            </w:pPr>
            <w:r>
              <w:rPr>
                <w:b/>
                <w:bCs/>
                <w:color w:val="FFFFFF"/>
                <w:sz w:val="19"/>
                <w:szCs w:val="19"/>
              </w:rPr>
              <w:t xml:space="preserve">Approach</w:t>
            </w:r>
          </w:p>
        </w:tc>
        <w:tc>
          <w:tcPr>
            <w:tcW w:type="dxa" w:w="4200"/>
            <w:shd w:fill="1B2A55" w:val="clear"/>
            <w:tcMar>
              <w:top w:type="dxa" w:w="60"/>
              <w:left w:type="dxa" w:w="90"/>
              <w:bottom w:type="dxa" w:w="60"/>
              <w:right w:type="dxa" w:w="90"/>
            </w:tcMar>
            <w:vAlign w:val="center"/>
          </w:tcPr>
          <w:p>
            <w:pPr>
              <w:jc w:val="left"/>
            </w:pPr>
            <w:r>
              <w:rPr>
                <w:b/>
                <w:bCs/>
                <w:color w:val="FFFFFF"/>
                <w:sz w:val="19"/>
                <w:szCs w:val="19"/>
              </w:rPr>
              <w:t xml:space="preserve">Reason</w:t>
            </w:r>
          </w:p>
        </w:tc>
      </w:tr>
      <w:tr>
        <w:tc>
          <w:tcPr>
            <w:tcW w:type="dxa" w:w="2800"/>
            <w:tcMar>
              <w:top w:type="dxa" w:w="60"/>
              <w:left w:type="dxa" w:w="90"/>
              <w:bottom w:type="dxa" w:w="60"/>
              <w:right w:type="dxa" w:w="90"/>
            </w:tcMar>
            <w:vAlign w:val="center"/>
          </w:tcPr>
          <w:p>
            <w:pPr>
              <w:jc w:val="left"/>
            </w:pPr>
            <w:r>
              <w:rPr>
                <w:b w:val="false"/>
                <w:bCs w:val="false"/>
                <w:color w:val="222222"/>
                <w:sz w:val="19"/>
                <w:szCs w:val="19"/>
              </w:rPr>
              <w:t xml:space="preserve">work_orders ↔ assets</w:t>
            </w:r>
          </w:p>
        </w:tc>
        <w:tc>
          <w:tcPr>
            <w:tcW w:type="dxa" w:w="2000"/>
            <w:tcMar>
              <w:top w:type="dxa" w:w="60"/>
              <w:left w:type="dxa" w:w="90"/>
              <w:bottom w:type="dxa" w:w="60"/>
              <w:right w:type="dxa" w:w="90"/>
            </w:tcMar>
            <w:vAlign w:val="center"/>
          </w:tcPr>
          <w:p>
            <w:pPr>
              <w:jc w:val="left"/>
            </w:pPr>
            <w:r>
              <w:rPr>
                <w:b w:val="false"/>
                <w:bCs w:val="false"/>
                <w:color w:val="222222"/>
                <w:sz w:val="19"/>
                <w:szCs w:val="19"/>
              </w:rPr>
              <w:t xml:space="preserve">Reference</w:t>
            </w:r>
          </w:p>
        </w:tc>
        <w:tc>
          <w:tcPr>
            <w:tcW w:type="dxa" w:w="4200"/>
            <w:tcMar>
              <w:top w:type="dxa" w:w="60"/>
              <w:left w:type="dxa" w:w="90"/>
              <w:bottom w:type="dxa" w:w="60"/>
              <w:right w:type="dxa" w:w="90"/>
            </w:tcMar>
            <w:vAlign w:val="center"/>
          </w:tcPr>
          <w:p>
            <w:pPr>
              <w:jc w:val="left"/>
            </w:pPr>
            <w:r>
              <w:rPr>
                <w:b w:val="false"/>
                <w:bCs w:val="false"/>
                <w:color w:val="222222"/>
                <w:sz w:val="19"/>
                <w:szCs w:val="19"/>
              </w:rPr>
              <w:t xml:space="preserve">An asset accumulates many work orders over its lifetime; embedding would grow the asset document unboundedly</w:t>
            </w:r>
          </w:p>
        </w:tc>
      </w:tr>
      <w:tr>
        <w:tc>
          <w:tcPr>
            <w:tcW w:type="dxa" w:w="2800"/>
            <w:tcMar>
              <w:top w:type="dxa" w:w="60"/>
              <w:left w:type="dxa" w:w="90"/>
              <w:bottom w:type="dxa" w:w="60"/>
              <w:right w:type="dxa" w:w="90"/>
            </w:tcMar>
            <w:vAlign w:val="center"/>
          </w:tcPr>
          <w:p>
            <w:pPr>
              <w:jc w:val="left"/>
            </w:pPr>
            <w:r>
              <w:rPr>
                <w:b w:val="false"/>
                <w:bCs w:val="false"/>
                <w:color w:val="222222"/>
                <w:sz w:val="19"/>
                <w:szCs w:val="19"/>
              </w:rPr>
              <w:t xml:space="preserve">preventive_maintenance_schedules ↔ assets</w:t>
            </w:r>
          </w:p>
        </w:tc>
        <w:tc>
          <w:tcPr>
            <w:tcW w:type="dxa" w:w="2000"/>
            <w:tcMar>
              <w:top w:type="dxa" w:w="60"/>
              <w:left w:type="dxa" w:w="90"/>
              <w:bottom w:type="dxa" w:w="60"/>
              <w:right w:type="dxa" w:w="90"/>
            </w:tcMar>
            <w:vAlign w:val="center"/>
          </w:tcPr>
          <w:p>
            <w:pPr>
              <w:jc w:val="left"/>
            </w:pPr>
            <w:r>
              <w:rPr>
                <w:b w:val="false"/>
                <w:bCs w:val="false"/>
                <w:color w:val="222222"/>
                <w:sz w:val="19"/>
                <w:szCs w:val="19"/>
              </w:rPr>
              <w:t xml:space="preserve">Reference</w:t>
            </w:r>
          </w:p>
        </w:tc>
        <w:tc>
          <w:tcPr>
            <w:tcW w:type="dxa" w:w="4200"/>
            <w:tcMar>
              <w:top w:type="dxa" w:w="60"/>
              <w:left w:type="dxa" w:w="90"/>
              <w:bottom w:type="dxa" w:w="60"/>
              <w:right w:type="dxa" w:w="90"/>
            </w:tcMar>
            <w:vAlign w:val="center"/>
          </w:tcPr>
          <w:p>
            <w:pPr>
              <w:jc w:val="left"/>
            </w:pPr>
            <w:r>
              <w:rPr>
                <w:b w:val="false"/>
                <w:bCs w:val="false"/>
                <w:color w:val="222222"/>
                <w:sz w:val="19"/>
                <w:szCs w:val="19"/>
              </w:rPr>
              <w:t xml:space="preserve">Schedule can be edited/paused independently of the asset record</w:t>
            </w:r>
          </w:p>
        </w:tc>
      </w:tr>
    </w:tbl>
    <w:p>
      <w:r>
        <w:br w:type="page"/>
      </w:r>
    </w:p>
    <w:p>
      <w:pPr>
        <w:pStyle w:val="Heading1"/>
        <w:pBdr>
          <w:bottom w:val="single" w:color="1B2A55" w:sz="12" w:space="4"/>
        </w:pBdr>
        <w:spacing w:after="200" w:before="400"/>
      </w:pPr>
      <w:r>
        <w:rPr>
          <w:b/>
          <w:bCs/>
          <w:color w:val="1B2A55"/>
          <w:sz w:val="30"/>
          <w:szCs w:val="30"/>
        </w:rPr>
        <w:t xml:space="preserve">22. Alumni Management — Detailed Schema Design</w:t>
      </w:r>
    </w:p>
    <w:p>
      <w:pPr>
        <w:spacing w:after="140" w:line="276"/>
      </w:pPr>
      <w:r>
        <w:rPr>
          <w:color w:val="222222"/>
          <w:sz w:val="21"/>
          <w:szCs w:val="21"/>
        </w:rPr>
        <w:t xml:space="preserve">Alumni Management maintains the alumni directory, events, mentorship pairing, donations, and engagement scoring. An alumni_profile is created from a users document at the point a student's status transitions to alumni, following the same discriminated-profile approach as Admin Manager's users collection.</w:t>
      </w:r>
    </w:p>
    <w:p>
      <w:pPr>
        <w:pStyle w:val="Heading2"/>
        <w:spacing w:after="150" w:before="300"/>
      </w:pPr>
      <w:r>
        <w:rPr>
          <w:b/>
          <w:bCs/>
          <w:color w:val="0F1C3D"/>
          <w:sz w:val="24"/>
          <w:szCs w:val="24"/>
        </w:rPr>
        <w:t xml:space="preserve">22.1 Collections Overview</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200"/>
      </w:tblGrid>
      <w:tr>
        <w:trPr>
          <w:tblHeader/>
        </w:trPr>
        <w:tc>
          <w:tcPr>
            <w:tcW w:type="dxa" w:w="2200"/>
            <w:shd w:fill="1B2A55" w:val="clear"/>
            <w:tcMar>
              <w:top w:type="dxa" w:w="60"/>
              <w:left w:type="dxa" w:w="90"/>
              <w:bottom w:type="dxa" w:w="60"/>
              <w:right w:type="dxa" w:w="90"/>
            </w:tcMar>
            <w:vAlign w:val="center"/>
          </w:tcPr>
          <w:p>
            <w:pPr>
              <w:jc w:val="left"/>
            </w:pPr>
            <w:r>
              <w:rPr>
                <w:b/>
                <w:bCs/>
                <w:color w:val="FFFFFF"/>
                <w:sz w:val="19"/>
                <w:szCs w:val="19"/>
              </w:rPr>
              <w:t xml:space="preserve">Collection</w:t>
            </w:r>
          </w:p>
        </w:tc>
        <w:tc>
          <w:tcPr>
            <w:tcW w:type="dxa" w:w="4000"/>
            <w:shd w:fill="1B2A55" w:val="clear"/>
            <w:tcMar>
              <w:top w:type="dxa" w:w="60"/>
              <w:left w:type="dxa" w:w="90"/>
              <w:bottom w:type="dxa" w:w="60"/>
              <w:right w:type="dxa" w:w="90"/>
            </w:tcMar>
            <w:vAlign w:val="center"/>
          </w:tcPr>
          <w:p>
            <w:pPr>
              <w:jc w:val="left"/>
            </w:pPr>
            <w:r>
              <w:rPr>
                <w:b/>
                <w:bCs/>
                <w:color w:val="FFFFFF"/>
                <w:sz w:val="19"/>
                <w:szCs w:val="19"/>
              </w:rPr>
              <w:t xml:space="preserve">Purpose</w:t>
            </w:r>
          </w:p>
        </w:tc>
        <w:tc>
          <w:tcPr>
            <w:tcW w:type="dxa" w:w="3200"/>
            <w:shd w:fill="1B2A55" w:val="clear"/>
            <w:tcMar>
              <w:top w:type="dxa" w:w="60"/>
              <w:left w:type="dxa" w:w="90"/>
              <w:bottom w:type="dxa" w:w="60"/>
              <w:right w:type="dxa" w:w="90"/>
            </w:tcMar>
            <w:vAlign w:val="center"/>
          </w:tcPr>
          <w:p>
            <w:pPr>
              <w:jc w:val="left"/>
            </w:pPr>
            <w:r>
              <w:rPr>
                <w:b/>
                <w:bCs/>
                <w:color w:val="FFFFFF"/>
                <w:sz w:val="19"/>
                <w:szCs w:val="19"/>
              </w:rPr>
              <w:t xml:space="preserve">Approx. Growth</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alumni_profiles</w:t>
            </w:r>
          </w:p>
        </w:tc>
        <w:tc>
          <w:tcPr>
            <w:tcW w:type="dxa" w:w="4000"/>
            <w:tcMar>
              <w:top w:type="dxa" w:w="60"/>
              <w:left w:type="dxa" w:w="90"/>
              <w:bottom w:type="dxa" w:w="60"/>
              <w:right w:type="dxa" w:w="90"/>
            </w:tcMar>
            <w:vAlign w:val="center"/>
          </w:tcPr>
          <w:p>
            <w:pPr>
              <w:jc w:val="left"/>
            </w:pPr>
            <w:r>
              <w:rPr>
                <w:b w:val="false"/>
                <w:bCs w:val="false"/>
                <w:color w:val="222222"/>
                <w:sz w:val="19"/>
                <w:szCs w:val="19"/>
              </w:rPr>
              <w:t xml:space="preserve">Extended alumni-specific profile data</w:t>
            </w:r>
          </w:p>
        </w:tc>
        <w:tc>
          <w:tcPr>
            <w:tcW w:type="dxa" w:w="3200"/>
            <w:tcMar>
              <w:top w:type="dxa" w:w="60"/>
              <w:left w:type="dxa" w:w="90"/>
              <w:bottom w:type="dxa" w:w="60"/>
              <w:right w:type="dxa" w:w="90"/>
            </w:tcMar>
            <w:vAlign w:val="center"/>
          </w:tcPr>
          <w:p>
            <w:pPr>
              <w:jc w:val="left"/>
            </w:pPr>
            <w:r>
              <w:rPr>
                <w:b w:val="false"/>
                <w:bCs w:val="false"/>
                <w:color w:val="222222"/>
                <w:sz w:val="19"/>
                <w:szCs w:val="19"/>
              </w:rPr>
              <w:t xml:space="preserve">Low-Medium</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alumni_events</w:t>
            </w:r>
          </w:p>
        </w:tc>
        <w:tc>
          <w:tcPr>
            <w:tcW w:type="dxa" w:w="4000"/>
            <w:tcMar>
              <w:top w:type="dxa" w:w="60"/>
              <w:left w:type="dxa" w:w="90"/>
              <w:bottom w:type="dxa" w:w="60"/>
              <w:right w:type="dxa" w:w="90"/>
            </w:tcMar>
            <w:vAlign w:val="center"/>
          </w:tcPr>
          <w:p>
            <w:pPr>
              <w:jc w:val="left"/>
            </w:pPr>
            <w:r>
              <w:rPr>
                <w:b w:val="false"/>
                <w:bCs w:val="false"/>
                <w:color w:val="222222"/>
                <w:sz w:val="19"/>
                <w:szCs w:val="19"/>
              </w:rPr>
              <w:t xml:space="preserve">Reunions/meetups and RSVPs</w:t>
            </w:r>
          </w:p>
        </w:tc>
        <w:tc>
          <w:tcPr>
            <w:tcW w:type="dxa" w:w="3200"/>
            <w:tcMar>
              <w:top w:type="dxa" w:w="60"/>
              <w:left w:type="dxa" w:w="90"/>
              <w:bottom w:type="dxa" w:w="60"/>
              <w:right w:type="dxa" w:w="90"/>
            </w:tcMar>
            <w:vAlign w:val="center"/>
          </w:tcPr>
          <w:p>
            <w:pPr>
              <w:jc w:val="left"/>
            </w:pPr>
            <w:r>
              <w:rPr>
                <w:b w:val="false"/>
                <w:bCs w:val="false"/>
                <w:color w:val="222222"/>
                <w:sz w:val="19"/>
                <w:szCs w:val="19"/>
              </w:rPr>
              <w:t xml:space="preserve">Low</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mentorship_pairs</w:t>
            </w:r>
          </w:p>
        </w:tc>
        <w:tc>
          <w:tcPr>
            <w:tcW w:type="dxa" w:w="4000"/>
            <w:tcMar>
              <w:top w:type="dxa" w:w="60"/>
              <w:left w:type="dxa" w:w="90"/>
              <w:bottom w:type="dxa" w:w="60"/>
              <w:right w:type="dxa" w:w="90"/>
            </w:tcMar>
            <w:vAlign w:val="center"/>
          </w:tcPr>
          <w:p>
            <w:pPr>
              <w:jc w:val="left"/>
            </w:pPr>
            <w:r>
              <w:rPr>
                <w:b w:val="false"/>
                <w:bCs w:val="false"/>
                <w:color w:val="222222"/>
                <w:sz w:val="19"/>
                <w:szCs w:val="19"/>
              </w:rPr>
              <w:t xml:space="preserve">Alumni ↔ current-student mentorship matches</w:t>
            </w:r>
          </w:p>
        </w:tc>
        <w:tc>
          <w:tcPr>
            <w:tcW w:type="dxa" w:w="3200"/>
            <w:tcMar>
              <w:top w:type="dxa" w:w="60"/>
              <w:left w:type="dxa" w:w="90"/>
              <w:bottom w:type="dxa" w:w="60"/>
              <w:right w:type="dxa" w:w="90"/>
            </w:tcMar>
            <w:vAlign w:val="center"/>
          </w:tcPr>
          <w:p>
            <w:pPr>
              <w:jc w:val="left"/>
            </w:pPr>
            <w:r>
              <w:rPr>
                <w:b w:val="false"/>
                <w:bCs w:val="false"/>
                <w:color w:val="222222"/>
                <w:sz w:val="19"/>
                <w:szCs w:val="19"/>
              </w:rPr>
              <w:t xml:space="preserve">Low-Medium</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donations</w:t>
            </w:r>
          </w:p>
        </w:tc>
        <w:tc>
          <w:tcPr>
            <w:tcW w:type="dxa" w:w="4000"/>
            <w:tcMar>
              <w:top w:type="dxa" w:w="60"/>
              <w:left w:type="dxa" w:w="90"/>
              <w:bottom w:type="dxa" w:w="60"/>
              <w:right w:type="dxa" w:w="90"/>
            </w:tcMar>
            <w:vAlign w:val="center"/>
          </w:tcPr>
          <w:p>
            <w:pPr>
              <w:jc w:val="left"/>
            </w:pPr>
            <w:r>
              <w:rPr>
                <w:b w:val="false"/>
                <w:bCs w:val="false"/>
                <w:color w:val="222222"/>
                <w:sz w:val="19"/>
                <w:szCs w:val="19"/>
              </w:rPr>
              <w:t xml:space="preserve">Donation/pledge records</w:t>
            </w:r>
          </w:p>
        </w:tc>
        <w:tc>
          <w:tcPr>
            <w:tcW w:type="dxa" w:w="3200"/>
            <w:tcMar>
              <w:top w:type="dxa" w:w="60"/>
              <w:left w:type="dxa" w:w="90"/>
              <w:bottom w:type="dxa" w:w="60"/>
              <w:right w:type="dxa" w:w="90"/>
            </w:tcMar>
            <w:vAlign w:val="center"/>
          </w:tcPr>
          <w:p>
            <w:pPr>
              <w:jc w:val="left"/>
            </w:pPr>
            <w:r>
              <w:rPr>
                <w:b w:val="false"/>
                <w:bCs w:val="false"/>
                <w:color w:val="222222"/>
                <w:sz w:val="19"/>
                <w:szCs w:val="19"/>
              </w:rPr>
              <w:t xml:space="preserve">Low-Medium, strict consistency</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engagement_scores</w:t>
            </w:r>
          </w:p>
        </w:tc>
        <w:tc>
          <w:tcPr>
            <w:tcW w:type="dxa" w:w="4000"/>
            <w:tcMar>
              <w:top w:type="dxa" w:w="60"/>
              <w:left w:type="dxa" w:w="90"/>
              <w:bottom w:type="dxa" w:w="60"/>
              <w:right w:type="dxa" w:w="90"/>
            </w:tcMar>
            <w:vAlign w:val="center"/>
          </w:tcPr>
          <w:p>
            <w:pPr>
              <w:jc w:val="left"/>
            </w:pPr>
            <w:r>
              <w:rPr>
                <w:b w:val="false"/>
                <w:bCs w:val="false"/>
                <w:color w:val="222222"/>
                <w:sz w:val="19"/>
                <w:szCs w:val="19"/>
              </w:rPr>
              <w:t xml:space="preserve">Computed engagement metric per alumnus</w:t>
            </w:r>
          </w:p>
        </w:tc>
        <w:tc>
          <w:tcPr>
            <w:tcW w:type="dxa" w:w="3200"/>
            <w:tcMar>
              <w:top w:type="dxa" w:w="60"/>
              <w:left w:type="dxa" w:w="90"/>
              <w:bottom w:type="dxa" w:w="60"/>
              <w:right w:type="dxa" w:w="90"/>
            </w:tcMar>
            <w:vAlign w:val="center"/>
          </w:tcPr>
          <w:p>
            <w:pPr>
              <w:jc w:val="left"/>
            </w:pPr>
            <w:r>
              <w:rPr>
                <w:b w:val="false"/>
                <w:bCs w:val="false"/>
                <w:color w:val="222222"/>
                <w:sz w:val="19"/>
                <w:szCs w:val="19"/>
              </w:rPr>
              <w:t xml:space="preserve">Low, recomputed periodically</w:t>
            </w:r>
          </w:p>
        </w:tc>
      </w:tr>
    </w:tbl>
    <w:p>
      <w:pPr>
        <w:pStyle w:val="Heading2"/>
        <w:spacing w:after="150" w:before="300"/>
      </w:pPr>
      <w:r>
        <w:rPr>
          <w:b/>
          <w:bCs/>
          <w:color w:val="0F1C3D"/>
          <w:sz w:val="24"/>
          <w:szCs w:val="24"/>
        </w:rPr>
        <w:t xml:space="preserve">22.2 Core Schema — alumni_profiles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400"/>
      </w:tblGrid>
      <w:tr>
        <w:trPr>
          <w:tblHeader/>
        </w:trPr>
        <w:tc>
          <w:tcPr>
            <w:tcW w:type="dxa" w:w="2200"/>
            <w:shd w:fill="1B2A55" w:val="clear"/>
            <w:tcMar>
              <w:top w:type="dxa" w:w="60"/>
              <w:left w:type="dxa" w:w="90"/>
              <w:bottom w:type="dxa" w:w="60"/>
              <w:right w:type="dxa" w:w="90"/>
            </w:tcMar>
            <w:vAlign w:val="center"/>
          </w:tcPr>
          <w:p>
            <w:pPr>
              <w:jc w:val="left"/>
            </w:pPr>
            <w:r>
              <w:rPr>
                <w:b/>
                <w:bCs/>
                <w:color w:val="FFFFFF"/>
                <w:sz w:val="19"/>
                <w:szCs w:val="19"/>
              </w:rPr>
              <w:t xml:space="preserve">Field</w:t>
            </w:r>
          </w:p>
        </w:tc>
        <w:tc>
          <w:tcPr>
            <w:tcW w:type="dxa" w:w="1800"/>
            <w:shd w:fill="1B2A55" w:val="clear"/>
            <w:tcMar>
              <w:top w:type="dxa" w:w="60"/>
              <w:left w:type="dxa" w:w="90"/>
              <w:bottom w:type="dxa" w:w="60"/>
              <w:right w:type="dxa" w:w="90"/>
            </w:tcMar>
            <w:vAlign w:val="center"/>
          </w:tcPr>
          <w:p>
            <w:pPr>
              <w:jc w:val="left"/>
            </w:pPr>
            <w:r>
              <w:rPr>
                <w:b/>
                <w:bCs/>
                <w:color w:val="FFFFFF"/>
                <w:sz w:val="19"/>
                <w:szCs w:val="19"/>
              </w:rPr>
              <w:t xml:space="preserve">Type</w:t>
            </w:r>
          </w:p>
        </w:tc>
        <w:tc>
          <w:tcPr>
            <w:tcW w:type="dxa" w:w="5400"/>
            <w:shd w:fill="1B2A55" w:val="clear"/>
            <w:tcMar>
              <w:top w:type="dxa" w:w="60"/>
              <w:left w:type="dxa" w:w="90"/>
              <w:bottom w:type="dxa" w:w="60"/>
              <w:right w:type="dxa" w:w="90"/>
            </w:tcMar>
            <w:vAlign w:val="center"/>
          </w:tcPr>
          <w:p>
            <w:pPr>
              <w:jc w:val="left"/>
            </w:pPr>
            <w:r>
              <w:rPr>
                <w:b/>
                <w:bCs/>
                <w:color w:val="FFFFFF"/>
                <w:sz w:val="19"/>
                <w:szCs w:val="19"/>
              </w:rPr>
              <w:t xml:space="preserve">Notes</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_id</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ObjectId</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institution_id</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ObjectId</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Shard key leading field</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user_id</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ObjectId</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Ref → Admin Manager users (profile_type=alumni)</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graduation_year</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Int</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program_id</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ObjectId</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Ref → Academic.programs, retained even after the term/program record ages out</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current_employer</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String, nullable</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Self-reported, not synced from Placement</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contact_visibility</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String (enum)</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public | alumni_only | private</w:t>
            </w:r>
          </w:p>
        </w:tc>
      </w:tr>
    </w:tbl>
    <w:p>
      <w:pPr>
        <w:pStyle w:val="Heading2"/>
        <w:spacing w:after="150" w:before="300"/>
      </w:pPr>
      <w:r>
        <w:rPr>
          <w:b/>
          <w:bCs/>
          <w:color w:val="0F1C3D"/>
          <w:sz w:val="24"/>
          <w:szCs w:val="24"/>
        </w:rPr>
        <w:t xml:space="preserve">22.3 Core Schema — donations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400"/>
      </w:tblGrid>
      <w:tr>
        <w:trPr>
          <w:tblHeader/>
        </w:trPr>
        <w:tc>
          <w:tcPr>
            <w:tcW w:type="dxa" w:w="2200"/>
            <w:shd w:fill="1B2A55" w:val="clear"/>
            <w:tcMar>
              <w:top w:type="dxa" w:w="60"/>
              <w:left w:type="dxa" w:w="90"/>
              <w:bottom w:type="dxa" w:w="60"/>
              <w:right w:type="dxa" w:w="90"/>
            </w:tcMar>
            <w:vAlign w:val="center"/>
          </w:tcPr>
          <w:p>
            <w:pPr>
              <w:jc w:val="left"/>
            </w:pPr>
            <w:r>
              <w:rPr>
                <w:b/>
                <w:bCs/>
                <w:color w:val="FFFFFF"/>
                <w:sz w:val="19"/>
                <w:szCs w:val="19"/>
              </w:rPr>
              <w:t xml:space="preserve">Field</w:t>
            </w:r>
          </w:p>
        </w:tc>
        <w:tc>
          <w:tcPr>
            <w:tcW w:type="dxa" w:w="1800"/>
            <w:shd w:fill="1B2A55" w:val="clear"/>
            <w:tcMar>
              <w:top w:type="dxa" w:w="60"/>
              <w:left w:type="dxa" w:w="90"/>
              <w:bottom w:type="dxa" w:w="60"/>
              <w:right w:type="dxa" w:w="90"/>
            </w:tcMar>
            <w:vAlign w:val="center"/>
          </w:tcPr>
          <w:p>
            <w:pPr>
              <w:jc w:val="left"/>
            </w:pPr>
            <w:r>
              <w:rPr>
                <w:b/>
                <w:bCs/>
                <w:color w:val="FFFFFF"/>
                <w:sz w:val="19"/>
                <w:szCs w:val="19"/>
              </w:rPr>
              <w:t xml:space="preserve">Type</w:t>
            </w:r>
          </w:p>
        </w:tc>
        <w:tc>
          <w:tcPr>
            <w:tcW w:type="dxa" w:w="5400"/>
            <w:shd w:fill="1B2A55" w:val="clear"/>
            <w:tcMar>
              <w:top w:type="dxa" w:w="60"/>
              <w:left w:type="dxa" w:w="90"/>
              <w:bottom w:type="dxa" w:w="60"/>
              <w:right w:type="dxa" w:w="90"/>
            </w:tcMar>
            <w:vAlign w:val="center"/>
          </w:tcPr>
          <w:p>
            <w:pPr>
              <w:jc w:val="left"/>
            </w:pPr>
            <w:r>
              <w:rPr>
                <w:b/>
                <w:bCs/>
                <w:color w:val="FFFFFF"/>
                <w:sz w:val="19"/>
                <w:szCs w:val="19"/>
              </w:rPr>
              <w:t xml:space="preserve">Notes</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_id</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ObjectId</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institution_id</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ObjectId</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alumni_profile_id</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ObjectId</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Ref → alumni_profiles</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amount</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Decimal128</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Currency convention consistent with Finance/HR/Placement</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campaign</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String, nullable</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payment_reference</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Object</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 provider, transaction_id } — mirrors Finance.fee_receipts.gateway_reference</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idempotency_key</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String, unique index</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Same duplicate-webhook guard as fee_receipts/payroll_runs</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received_at</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Date</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
            </w:r>
          </w:p>
        </w:tc>
      </w:tr>
    </w:tbl>
    <w:p>
      <w:pPr>
        <w:pStyle w:val="ListParagraph"/>
        <w:numPr>
          <w:ilvl w:val="0"/>
          <w:numId w:val="2"/>
        </w:numPr>
        <w:spacing w:after="60"/>
      </w:pPr>
      <w:r>
        <w:rPr>
          <w:color w:val="222222"/>
          <w:sz w:val="21"/>
          <w:szCs w:val="21"/>
        </w:rPr>
        <w:t xml:space="preserve">A confirmed donation publishes a DonationReceived event; Finance &amp; Accounts consumes it for institutional financial reporting — the same eventually-consistent saga pattern used for PayrollDisbursed.</w:t>
      </w:r>
    </w:p>
    <w:p>
      <w:pPr>
        <w:pStyle w:val="Heading2"/>
        <w:spacing w:after="150" w:before="300"/>
      </w:pPr>
      <w:r>
        <w:rPr>
          <w:b/>
          <w:bCs/>
          <w:color w:val="0F1C3D"/>
          <w:sz w:val="24"/>
          <w:szCs w:val="24"/>
        </w:rPr>
        <w:t xml:space="preserve">22.4 Embedding vs. Referencing Decisions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200"/>
      </w:tblGrid>
      <w:tr>
        <w:trPr>
          <w:tblHeader/>
        </w:trPr>
        <w:tc>
          <w:tcPr>
            <w:tcW w:type="dxa" w:w="2800"/>
            <w:shd w:fill="1B2A55" w:val="clear"/>
            <w:tcMar>
              <w:top w:type="dxa" w:w="60"/>
              <w:left w:type="dxa" w:w="90"/>
              <w:bottom w:type="dxa" w:w="60"/>
              <w:right w:type="dxa" w:w="90"/>
            </w:tcMar>
            <w:vAlign w:val="center"/>
          </w:tcPr>
          <w:p>
            <w:pPr>
              <w:jc w:val="left"/>
            </w:pPr>
            <w:r>
              <w:rPr>
                <w:b/>
                <w:bCs/>
                <w:color w:val="FFFFFF"/>
                <w:sz w:val="19"/>
                <w:szCs w:val="19"/>
              </w:rPr>
              <w:t xml:space="preserve">Relationship</w:t>
            </w:r>
          </w:p>
        </w:tc>
        <w:tc>
          <w:tcPr>
            <w:tcW w:type="dxa" w:w="2000"/>
            <w:shd w:fill="1B2A55" w:val="clear"/>
            <w:tcMar>
              <w:top w:type="dxa" w:w="60"/>
              <w:left w:type="dxa" w:w="90"/>
              <w:bottom w:type="dxa" w:w="60"/>
              <w:right w:type="dxa" w:w="90"/>
            </w:tcMar>
            <w:vAlign w:val="center"/>
          </w:tcPr>
          <w:p>
            <w:pPr>
              <w:jc w:val="left"/>
            </w:pPr>
            <w:r>
              <w:rPr>
                <w:b/>
                <w:bCs/>
                <w:color w:val="FFFFFF"/>
                <w:sz w:val="19"/>
                <w:szCs w:val="19"/>
              </w:rPr>
              <w:t xml:space="preserve">Approach</w:t>
            </w:r>
          </w:p>
        </w:tc>
        <w:tc>
          <w:tcPr>
            <w:tcW w:type="dxa" w:w="4200"/>
            <w:shd w:fill="1B2A55" w:val="clear"/>
            <w:tcMar>
              <w:top w:type="dxa" w:w="60"/>
              <w:left w:type="dxa" w:w="90"/>
              <w:bottom w:type="dxa" w:w="60"/>
              <w:right w:type="dxa" w:w="90"/>
            </w:tcMar>
            <w:vAlign w:val="center"/>
          </w:tcPr>
          <w:p>
            <w:pPr>
              <w:jc w:val="left"/>
            </w:pPr>
            <w:r>
              <w:rPr>
                <w:b/>
                <w:bCs/>
                <w:color w:val="FFFFFF"/>
                <w:sz w:val="19"/>
                <w:szCs w:val="19"/>
              </w:rPr>
              <w:t xml:space="preserve">Reason</w:t>
            </w:r>
          </w:p>
        </w:tc>
      </w:tr>
      <w:tr>
        <w:tc>
          <w:tcPr>
            <w:tcW w:type="dxa" w:w="2800"/>
            <w:tcMar>
              <w:top w:type="dxa" w:w="60"/>
              <w:left w:type="dxa" w:w="90"/>
              <w:bottom w:type="dxa" w:w="60"/>
              <w:right w:type="dxa" w:w="90"/>
            </w:tcMar>
            <w:vAlign w:val="center"/>
          </w:tcPr>
          <w:p>
            <w:pPr>
              <w:jc w:val="left"/>
            </w:pPr>
            <w:r>
              <w:rPr>
                <w:b w:val="false"/>
                <w:bCs w:val="false"/>
                <w:color w:val="222222"/>
                <w:sz w:val="19"/>
                <w:szCs w:val="19"/>
              </w:rPr>
              <w:t xml:space="preserve">alumni_profiles ↔ users</w:t>
            </w:r>
          </w:p>
        </w:tc>
        <w:tc>
          <w:tcPr>
            <w:tcW w:type="dxa" w:w="2000"/>
            <w:tcMar>
              <w:top w:type="dxa" w:w="60"/>
              <w:left w:type="dxa" w:w="90"/>
              <w:bottom w:type="dxa" w:w="60"/>
              <w:right w:type="dxa" w:w="90"/>
            </w:tcMar>
            <w:vAlign w:val="center"/>
          </w:tcPr>
          <w:p>
            <w:pPr>
              <w:jc w:val="left"/>
            </w:pPr>
            <w:r>
              <w:rPr>
                <w:b w:val="false"/>
                <w:bCs w:val="false"/>
                <w:color w:val="222222"/>
                <w:sz w:val="19"/>
                <w:szCs w:val="19"/>
              </w:rPr>
              <w:t xml:space="preserve">Reference</w:t>
            </w:r>
          </w:p>
        </w:tc>
        <w:tc>
          <w:tcPr>
            <w:tcW w:type="dxa" w:w="4200"/>
            <w:tcMar>
              <w:top w:type="dxa" w:w="60"/>
              <w:left w:type="dxa" w:w="90"/>
              <w:bottom w:type="dxa" w:w="60"/>
              <w:right w:type="dxa" w:w="90"/>
            </w:tcMar>
            <w:vAlign w:val="center"/>
          </w:tcPr>
          <w:p>
            <w:pPr>
              <w:jc w:val="left"/>
            </w:pPr>
            <w:r>
              <w:rPr>
                <w:b w:val="false"/>
                <w:bCs w:val="false"/>
                <w:color w:val="222222"/>
                <w:sz w:val="19"/>
                <w:szCs w:val="19"/>
              </w:rPr>
              <w:t xml:space="preserve">Identity/auth stays in Admin Manager; alumni-specific fields evolve independently</w:t>
            </w:r>
          </w:p>
        </w:tc>
      </w:tr>
      <w:tr>
        <w:tc>
          <w:tcPr>
            <w:tcW w:type="dxa" w:w="2800"/>
            <w:tcMar>
              <w:top w:type="dxa" w:w="60"/>
              <w:left w:type="dxa" w:w="90"/>
              <w:bottom w:type="dxa" w:w="60"/>
              <w:right w:type="dxa" w:w="90"/>
            </w:tcMar>
            <w:vAlign w:val="center"/>
          </w:tcPr>
          <w:p>
            <w:pPr>
              <w:jc w:val="left"/>
            </w:pPr>
            <w:r>
              <w:rPr>
                <w:b w:val="false"/>
                <w:bCs w:val="false"/>
                <w:color w:val="222222"/>
                <w:sz w:val="19"/>
                <w:szCs w:val="19"/>
              </w:rPr>
              <w:t xml:space="preserve">engagement_scores</w:t>
            </w:r>
          </w:p>
        </w:tc>
        <w:tc>
          <w:tcPr>
            <w:tcW w:type="dxa" w:w="2000"/>
            <w:tcMar>
              <w:top w:type="dxa" w:w="60"/>
              <w:left w:type="dxa" w:w="90"/>
              <w:bottom w:type="dxa" w:w="60"/>
              <w:right w:type="dxa" w:w="90"/>
            </w:tcMar>
            <w:vAlign w:val="center"/>
          </w:tcPr>
          <w:p>
            <w:pPr>
              <w:jc w:val="left"/>
            </w:pPr>
            <w:r>
              <w:rPr>
                <w:b w:val="false"/>
                <w:bCs w:val="false"/>
                <w:color w:val="222222"/>
                <w:sz w:val="19"/>
                <w:szCs w:val="19"/>
              </w:rPr>
              <w:t xml:space="preserve">Separate collection, referencing alumni_profile_id</w:t>
            </w:r>
          </w:p>
        </w:tc>
        <w:tc>
          <w:tcPr>
            <w:tcW w:type="dxa" w:w="4200"/>
            <w:tcMar>
              <w:top w:type="dxa" w:w="60"/>
              <w:left w:type="dxa" w:w="90"/>
              <w:bottom w:type="dxa" w:w="60"/>
              <w:right w:type="dxa" w:w="90"/>
            </w:tcMar>
            <w:vAlign w:val="center"/>
          </w:tcPr>
          <w:p>
            <w:pPr>
              <w:jc w:val="left"/>
            </w:pPr>
            <w:r>
              <w:rPr>
                <w:b w:val="false"/>
                <w:bCs w:val="false"/>
                <w:color w:val="222222"/>
                <w:sz w:val="19"/>
                <w:szCs w:val="19"/>
              </w:rPr>
              <w:t xml:space="preserve">Recomputed on a schedule by the Insight Engine — kept out of alumni_profiles so a batch recompute job never contends with profile edits</w:t>
            </w:r>
          </w:p>
        </w:tc>
      </w:tr>
    </w:tbl>
    <w:p>
      <w:r>
        <w:br w:type="page"/>
      </w:r>
    </w:p>
    <w:p>
      <w:pPr>
        <w:pStyle w:val="Heading1"/>
        <w:pBdr>
          <w:bottom w:val="single" w:color="1B2A55" w:sz="12" w:space="4"/>
        </w:pBdr>
        <w:spacing w:after="200" w:before="400"/>
      </w:pPr>
      <w:r>
        <w:rPr>
          <w:b/>
          <w:bCs/>
          <w:color w:val="1B2A55"/>
          <w:sz w:val="30"/>
          <w:szCs w:val="30"/>
        </w:rPr>
        <w:t xml:space="preserve">23. Communication &amp; Announcement — Detailed Schema Design</w:t>
      </w:r>
    </w:p>
    <w:p>
      <w:pPr>
        <w:spacing w:after="140" w:line="276"/>
      </w:pPr>
      <w:r>
        <w:rPr>
          <w:color w:val="222222"/>
          <w:sz w:val="21"/>
          <w:szCs w:val="21"/>
        </w:rPr>
        <w:t xml:space="preserve">This module is the platform's outbound-communication layer, sitting downstream of the Notification Engine (Shared Services layer) referenced throughout this document. Its collections are largely write-once/read-many, except notification_logs which is the delivery ledger for every notification any module triggers.</w:t>
      </w:r>
    </w:p>
    <w:p>
      <w:pPr>
        <w:pStyle w:val="Heading2"/>
        <w:spacing w:after="150" w:before="300"/>
      </w:pPr>
      <w:r>
        <w:rPr>
          <w:b/>
          <w:bCs/>
          <w:color w:val="0F1C3D"/>
          <w:sz w:val="24"/>
          <w:szCs w:val="24"/>
        </w:rPr>
        <w:t xml:space="preserve">23.1 Collections Overview</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200"/>
      </w:tblGrid>
      <w:tr>
        <w:trPr>
          <w:tblHeader/>
        </w:trPr>
        <w:tc>
          <w:tcPr>
            <w:tcW w:type="dxa" w:w="2200"/>
            <w:shd w:fill="1B2A55" w:val="clear"/>
            <w:tcMar>
              <w:top w:type="dxa" w:w="60"/>
              <w:left w:type="dxa" w:w="90"/>
              <w:bottom w:type="dxa" w:w="60"/>
              <w:right w:type="dxa" w:w="90"/>
            </w:tcMar>
            <w:vAlign w:val="center"/>
          </w:tcPr>
          <w:p>
            <w:pPr>
              <w:jc w:val="left"/>
            </w:pPr>
            <w:r>
              <w:rPr>
                <w:b/>
                <w:bCs/>
                <w:color w:val="FFFFFF"/>
                <w:sz w:val="19"/>
                <w:szCs w:val="19"/>
              </w:rPr>
              <w:t xml:space="preserve">Collection</w:t>
            </w:r>
          </w:p>
        </w:tc>
        <w:tc>
          <w:tcPr>
            <w:tcW w:type="dxa" w:w="4000"/>
            <w:shd w:fill="1B2A55" w:val="clear"/>
            <w:tcMar>
              <w:top w:type="dxa" w:w="60"/>
              <w:left w:type="dxa" w:w="90"/>
              <w:bottom w:type="dxa" w:w="60"/>
              <w:right w:type="dxa" w:w="90"/>
            </w:tcMar>
            <w:vAlign w:val="center"/>
          </w:tcPr>
          <w:p>
            <w:pPr>
              <w:jc w:val="left"/>
            </w:pPr>
            <w:r>
              <w:rPr>
                <w:b/>
                <w:bCs/>
                <w:color w:val="FFFFFF"/>
                <w:sz w:val="19"/>
                <w:szCs w:val="19"/>
              </w:rPr>
              <w:t xml:space="preserve">Purpose</w:t>
            </w:r>
          </w:p>
        </w:tc>
        <w:tc>
          <w:tcPr>
            <w:tcW w:type="dxa" w:w="3200"/>
            <w:shd w:fill="1B2A55" w:val="clear"/>
            <w:tcMar>
              <w:top w:type="dxa" w:w="60"/>
              <w:left w:type="dxa" w:w="90"/>
              <w:bottom w:type="dxa" w:w="60"/>
              <w:right w:type="dxa" w:w="90"/>
            </w:tcMar>
            <w:vAlign w:val="center"/>
          </w:tcPr>
          <w:p>
            <w:pPr>
              <w:jc w:val="left"/>
            </w:pPr>
            <w:r>
              <w:rPr>
                <w:b/>
                <w:bCs/>
                <w:color w:val="FFFFFF"/>
                <w:sz w:val="19"/>
                <w:szCs w:val="19"/>
              </w:rPr>
              <w:t xml:space="preserve">Approx. Growth</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announcements</w:t>
            </w:r>
          </w:p>
        </w:tc>
        <w:tc>
          <w:tcPr>
            <w:tcW w:type="dxa" w:w="4000"/>
            <w:tcMar>
              <w:top w:type="dxa" w:w="60"/>
              <w:left w:type="dxa" w:w="90"/>
              <w:bottom w:type="dxa" w:w="60"/>
              <w:right w:type="dxa" w:w="90"/>
            </w:tcMar>
            <w:vAlign w:val="center"/>
          </w:tcPr>
          <w:p>
            <w:pPr>
              <w:jc w:val="left"/>
            </w:pPr>
            <w:r>
              <w:rPr>
                <w:b w:val="false"/>
                <w:bCs w:val="false"/>
                <w:color w:val="222222"/>
                <w:sz w:val="19"/>
                <w:szCs w:val="19"/>
              </w:rPr>
              <w:t xml:space="preserve">Institution-wide or group-targeted announcements</w:t>
            </w:r>
          </w:p>
        </w:tc>
        <w:tc>
          <w:tcPr>
            <w:tcW w:type="dxa" w:w="3200"/>
            <w:tcMar>
              <w:top w:type="dxa" w:w="60"/>
              <w:left w:type="dxa" w:w="90"/>
              <w:bottom w:type="dxa" w:w="60"/>
              <w:right w:type="dxa" w:w="90"/>
            </w:tcMar>
            <w:vAlign w:val="center"/>
          </w:tcPr>
          <w:p>
            <w:pPr>
              <w:jc w:val="left"/>
            </w:pPr>
            <w:r>
              <w:rPr>
                <w:b w:val="false"/>
                <w:bCs w:val="false"/>
                <w:color w:val="222222"/>
                <w:sz w:val="19"/>
                <w:szCs w:val="19"/>
              </w:rPr>
              <w:t xml:space="preserve">Low-Medium</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campaigns</w:t>
            </w:r>
          </w:p>
        </w:tc>
        <w:tc>
          <w:tcPr>
            <w:tcW w:type="dxa" w:w="4000"/>
            <w:tcMar>
              <w:top w:type="dxa" w:w="60"/>
              <w:left w:type="dxa" w:w="90"/>
              <w:bottom w:type="dxa" w:w="60"/>
              <w:right w:type="dxa" w:w="90"/>
            </w:tcMar>
            <w:vAlign w:val="center"/>
          </w:tcPr>
          <w:p>
            <w:pPr>
              <w:jc w:val="left"/>
            </w:pPr>
            <w:r>
              <w:rPr>
                <w:b w:val="false"/>
                <w:bCs w:val="false"/>
                <w:color w:val="222222"/>
                <w:sz w:val="19"/>
                <w:szCs w:val="19"/>
              </w:rPr>
              <w:t xml:space="preserve">Multi-step/scheduled communication campaigns</w:t>
            </w:r>
          </w:p>
        </w:tc>
        <w:tc>
          <w:tcPr>
            <w:tcW w:type="dxa" w:w="3200"/>
            <w:tcMar>
              <w:top w:type="dxa" w:w="60"/>
              <w:left w:type="dxa" w:w="90"/>
              <w:bottom w:type="dxa" w:w="60"/>
              <w:right w:type="dxa" w:w="90"/>
            </w:tcMar>
            <w:vAlign w:val="center"/>
          </w:tcPr>
          <w:p>
            <w:pPr>
              <w:jc w:val="left"/>
            </w:pPr>
            <w:r>
              <w:rPr>
                <w:b w:val="false"/>
                <w:bCs w:val="false"/>
                <w:color w:val="222222"/>
                <w:sz w:val="19"/>
                <w:szCs w:val="19"/>
              </w:rPr>
              <w:t xml:space="preserve">Low</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notification_logs</w:t>
            </w:r>
          </w:p>
        </w:tc>
        <w:tc>
          <w:tcPr>
            <w:tcW w:type="dxa" w:w="4000"/>
            <w:tcMar>
              <w:top w:type="dxa" w:w="60"/>
              <w:left w:type="dxa" w:w="90"/>
              <w:bottom w:type="dxa" w:w="60"/>
              <w:right w:type="dxa" w:w="90"/>
            </w:tcMar>
            <w:vAlign w:val="center"/>
          </w:tcPr>
          <w:p>
            <w:pPr>
              <w:jc w:val="left"/>
            </w:pPr>
            <w:r>
              <w:rPr>
                <w:b w:val="false"/>
                <w:bCs w:val="false"/>
                <w:color w:val="222222"/>
                <w:sz w:val="19"/>
                <w:szCs w:val="19"/>
              </w:rPr>
              <w:t xml:space="preserve">Delivery ledger for every notification sent platform-wide</w:t>
            </w:r>
          </w:p>
        </w:tc>
        <w:tc>
          <w:tcPr>
            <w:tcW w:type="dxa" w:w="3200"/>
            <w:tcMar>
              <w:top w:type="dxa" w:w="60"/>
              <w:left w:type="dxa" w:w="90"/>
              <w:bottom w:type="dxa" w:w="60"/>
              <w:right w:type="dxa" w:w="90"/>
            </w:tcMar>
            <w:vAlign w:val="center"/>
          </w:tcPr>
          <w:p>
            <w:pPr>
              <w:jc w:val="left"/>
            </w:pPr>
            <w:r>
              <w:rPr>
                <w:b w:val="false"/>
                <w:bCs w:val="false"/>
                <w:color w:val="222222"/>
                <w:sz w:val="19"/>
                <w:szCs w:val="19"/>
              </w:rPr>
              <w:t xml:space="preserve">Very High</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survey_responses</w:t>
            </w:r>
          </w:p>
        </w:tc>
        <w:tc>
          <w:tcPr>
            <w:tcW w:type="dxa" w:w="4000"/>
            <w:tcMar>
              <w:top w:type="dxa" w:w="60"/>
              <w:left w:type="dxa" w:w="90"/>
              <w:bottom w:type="dxa" w:w="60"/>
              <w:right w:type="dxa" w:w="90"/>
            </w:tcMar>
            <w:vAlign w:val="center"/>
          </w:tcPr>
          <w:p>
            <w:pPr>
              <w:jc w:val="left"/>
            </w:pPr>
            <w:r>
              <w:rPr>
                <w:b w:val="false"/>
                <w:bCs w:val="false"/>
                <w:color w:val="222222"/>
                <w:sz w:val="19"/>
                <w:szCs w:val="19"/>
              </w:rPr>
              <w:t xml:space="preserve">Feedback/survey submission records</w:t>
            </w:r>
          </w:p>
        </w:tc>
        <w:tc>
          <w:tcPr>
            <w:tcW w:type="dxa" w:w="3200"/>
            <w:tcMar>
              <w:top w:type="dxa" w:w="60"/>
              <w:left w:type="dxa" w:w="90"/>
              <w:bottom w:type="dxa" w:w="60"/>
              <w:right w:type="dxa" w:w="90"/>
            </w:tcMar>
            <w:vAlign w:val="center"/>
          </w:tcPr>
          <w:p>
            <w:pPr>
              <w:jc w:val="left"/>
            </w:pPr>
            <w:r>
              <w:rPr>
                <w:b w:val="false"/>
                <w:bCs w:val="false"/>
                <w:color w:val="222222"/>
                <w:sz w:val="19"/>
                <w:szCs w:val="19"/>
              </w:rPr>
              <w:t xml:space="preserve">Medium</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emergency_alerts</w:t>
            </w:r>
          </w:p>
        </w:tc>
        <w:tc>
          <w:tcPr>
            <w:tcW w:type="dxa" w:w="4000"/>
            <w:tcMar>
              <w:top w:type="dxa" w:w="60"/>
              <w:left w:type="dxa" w:w="90"/>
              <w:bottom w:type="dxa" w:w="60"/>
              <w:right w:type="dxa" w:w="90"/>
            </w:tcMar>
            <w:vAlign w:val="center"/>
          </w:tcPr>
          <w:p>
            <w:pPr>
              <w:jc w:val="left"/>
            </w:pPr>
            <w:r>
              <w:rPr>
                <w:b w:val="false"/>
                <w:bCs w:val="false"/>
                <w:color w:val="222222"/>
                <w:sz w:val="19"/>
                <w:szCs w:val="19"/>
              </w:rPr>
              <w:t xml:space="preserve">High-priority emergency broadcast records</w:t>
            </w:r>
          </w:p>
        </w:tc>
        <w:tc>
          <w:tcPr>
            <w:tcW w:type="dxa" w:w="3200"/>
            <w:tcMar>
              <w:top w:type="dxa" w:w="60"/>
              <w:left w:type="dxa" w:w="90"/>
              <w:bottom w:type="dxa" w:w="60"/>
              <w:right w:type="dxa" w:w="90"/>
            </w:tcMar>
            <w:vAlign w:val="center"/>
          </w:tcPr>
          <w:p>
            <w:pPr>
              <w:jc w:val="left"/>
            </w:pPr>
            <w:r>
              <w:rPr>
                <w:b w:val="false"/>
                <w:bCs w:val="false"/>
                <w:color w:val="222222"/>
                <w:sz w:val="19"/>
                <w:szCs w:val="19"/>
              </w:rPr>
              <w:t xml:space="preserve">Low, but latency-critical</w:t>
            </w:r>
          </w:p>
        </w:tc>
      </w:tr>
    </w:tbl>
    <w:p>
      <w:pPr>
        <w:pStyle w:val="Heading2"/>
        <w:spacing w:after="150" w:before="300"/>
      </w:pPr>
      <w:r>
        <w:rPr>
          <w:b/>
          <w:bCs/>
          <w:color w:val="0F1C3D"/>
          <w:sz w:val="24"/>
          <w:szCs w:val="24"/>
        </w:rPr>
        <w:t xml:space="preserve">23.2 Core Schema — notification_logs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400"/>
      </w:tblGrid>
      <w:tr>
        <w:trPr>
          <w:tblHeader/>
        </w:trPr>
        <w:tc>
          <w:tcPr>
            <w:tcW w:type="dxa" w:w="2200"/>
            <w:shd w:fill="1B2A55" w:val="clear"/>
            <w:tcMar>
              <w:top w:type="dxa" w:w="60"/>
              <w:left w:type="dxa" w:w="90"/>
              <w:bottom w:type="dxa" w:w="60"/>
              <w:right w:type="dxa" w:w="90"/>
            </w:tcMar>
            <w:vAlign w:val="center"/>
          </w:tcPr>
          <w:p>
            <w:pPr>
              <w:jc w:val="left"/>
            </w:pPr>
            <w:r>
              <w:rPr>
                <w:b/>
                <w:bCs/>
                <w:color w:val="FFFFFF"/>
                <w:sz w:val="19"/>
                <w:szCs w:val="19"/>
              </w:rPr>
              <w:t xml:space="preserve">Field</w:t>
            </w:r>
          </w:p>
        </w:tc>
        <w:tc>
          <w:tcPr>
            <w:tcW w:type="dxa" w:w="1800"/>
            <w:shd w:fill="1B2A55" w:val="clear"/>
            <w:tcMar>
              <w:top w:type="dxa" w:w="60"/>
              <w:left w:type="dxa" w:w="90"/>
              <w:bottom w:type="dxa" w:w="60"/>
              <w:right w:type="dxa" w:w="90"/>
            </w:tcMar>
            <w:vAlign w:val="center"/>
          </w:tcPr>
          <w:p>
            <w:pPr>
              <w:jc w:val="left"/>
            </w:pPr>
            <w:r>
              <w:rPr>
                <w:b/>
                <w:bCs/>
                <w:color w:val="FFFFFF"/>
                <w:sz w:val="19"/>
                <w:szCs w:val="19"/>
              </w:rPr>
              <w:t xml:space="preserve">Type</w:t>
            </w:r>
          </w:p>
        </w:tc>
        <w:tc>
          <w:tcPr>
            <w:tcW w:type="dxa" w:w="5400"/>
            <w:shd w:fill="1B2A55" w:val="clear"/>
            <w:tcMar>
              <w:top w:type="dxa" w:w="60"/>
              <w:left w:type="dxa" w:w="90"/>
              <w:bottom w:type="dxa" w:w="60"/>
              <w:right w:type="dxa" w:w="90"/>
            </w:tcMar>
            <w:vAlign w:val="center"/>
          </w:tcPr>
          <w:p>
            <w:pPr>
              <w:jc w:val="left"/>
            </w:pPr>
            <w:r>
              <w:rPr>
                <w:b/>
                <w:bCs/>
                <w:color w:val="FFFFFF"/>
                <w:sz w:val="19"/>
                <w:szCs w:val="19"/>
              </w:rPr>
              <w:t xml:space="preserve">Notes</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_id</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ObjectId</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institution_id</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ObjectId</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Shard key leading field</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recipient_id</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ObjectId</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Ref → Admin Manager users</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channel</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String (enum)</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push | email | sms | whatsapp | in_app</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source_event</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String</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The originating platform event, e.g. FeePaid, EnrollmentCreated — traces back to Section 11's outbox events</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status</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String (enum)</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queued | sent | delivered | failed</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sent_at</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Date</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
            </w:r>
          </w:p>
        </w:tc>
      </w:tr>
    </w:tbl>
    <w:p>
      <w:pPr>
        <w:pStyle w:val="ListParagraph"/>
        <w:numPr>
          <w:ilvl w:val="0"/>
          <w:numId w:val="2"/>
        </w:numPr>
        <w:spacing w:after="60"/>
      </w:pPr>
      <w:r>
        <w:rPr>
          <w:color w:val="222222"/>
          <w:sz w:val="21"/>
          <w:szCs w:val="21"/>
        </w:rPr>
        <w:t xml:space="preserve">notification_logs is populated exclusively by the Notification Engine consuming Kafka events, never written directly by another module — the same 'only a consumer writes here' discipline used for audit_logs in Section 7.4.</w:t>
      </w:r>
    </w:p>
    <w:p>
      <w:pPr>
        <w:pStyle w:val="ListParagraph"/>
        <w:numPr>
          <w:ilvl w:val="0"/>
          <w:numId w:val="2"/>
        </w:numPr>
        <w:spacing w:after="60"/>
      </w:pPr>
      <w:r>
        <w:rPr>
          <w:color w:val="222222"/>
          <w:sz w:val="21"/>
          <w:szCs w:val="21"/>
        </w:rPr>
        <w:t xml:space="preserve">Given its very high volume, notification_logs uses a shorter active-retention window than audit_logs (see Section 13.1) and is a lower-priority candidate for capped/TTL-based aging, since it is a delivery record rather than a compliance record.</w:t>
      </w:r>
    </w:p>
    <w:p>
      <w:pPr>
        <w:pStyle w:val="Heading2"/>
        <w:spacing w:after="150" w:before="300"/>
      </w:pPr>
      <w:r>
        <w:rPr>
          <w:b/>
          <w:bCs/>
          <w:color w:val="0F1C3D"/>
          <w:sz w:val="24"/>
          <w:szCs w:val="24"/>
        </w:rPr>
        <w:t xml:space="preserve">23.3 Core Schema — emergency_alerts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400"/>
      </w:tblGrid>
      <w:tr>
        <w:trPr>
          <w:tblHeader/>
        </w:trPr>
        <w:tc>
          <w:tcPr>
            <w:tcW w:type="dxa" w:w="2200"/>
            <w:shd w:fill="1B2A55" w:val="clear"/>
            <w:tcMar>
              <w:top w:type="dxa" w:w="60"/>
              <w:left w:type="dxa" w:w="90"/>
              <w:bottom w:type="dxa" w:w="60"/>
              <w:right w:type="dxa" w:w="90"/>
            </w:tcMar>
            <w:vAlign w:val="center"/>
          </w:tcPr>
          <w:p>
            <w:pPr>
              <w:jc w:val="left"/>
            </w:pPr>
            <w:r>
              <w:rPr>
                <w:b/>
                <w:bCs/>
                <w:color w:val="FFFFFF"/>
                <w:sz w:val="19"/>
                <w:szCs w:val="19"/>
              </w:rPr>
              <w:t xml:space="preserve">Field</w:t>
            </w:r>
          </w:p>
        </w:tc>
        <w:tc>
          <w:tcPr>
            <w:tcW w:type="dxa" w:w="1800"/>
            <w:shd w:fill="1B2A55" w:val="clear"/>
            <w:tcMar>
              <w:top w:type="dxa" w:w="60"/>
              <w:left w:type="dxa" w:w="90"/>
              <w:bottom w:type="dxa" w:w="60"/>
              <w:right w:type="dxa" w:w="90"/>
            </w:tcMar>
            <w:vAlign w:val="center"/>
          </w:tcPr>
          <w:p>
            <w:pPr>
              <w:jc w:val="left"/>
            </w:pPr>
            <w:r>
              <w:rPr>
                <w:b/>
                <w:bCs/>
                <w:color w:val="FFFFFF"/>
                <w:sz w:val="19"/>
                <w:szCs w:val="19"/>
              </w:rPr>
              <w:t xml:space="preserve">Type</w:t>
            </w:r>
          </w:p>
        </w:tc>
        <w:tc>
          <w:tcPr>
            <w:tcW w:type="dxa" w:w="5400"/>
            <w:shd w:fill="1B2A55" w:val="clear"/>
            <w:tcMar>
              <w:top w:type="dxa" w:w="60"/>
              <w:left w:type="dxa" w:w="90"/>
              <w:bottom w:type="dxa" w:w="60"/>
              <w:right w:type="dxa" w:w="90"/>
            </w:tcMar>
            <w:vAlign w:val="center"/>
          </w:tcPr>
          <w:p>
            <w:pPr>
              <w:jc w:val="left"/>
            </w:pPr>
            <w:r>
              <w:rPr>
                <w:b/>
                <w:bCs/>
                <w:color w:val="FFFFFF"/>
                <w:sz w:val="19"/>
                <w:szCs w:val="19"/>
              </w:rPr>
              <w:t xml:space="preserve">Notes</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_id</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ObjectId</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institution_id</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ObjectId</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message</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String</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severity</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String (enum)</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advisory | warning | critical</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target_scope</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Object</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 scope_type: 'institution'|'hostel'|'department', scope_id }</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broadcast_at</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Date</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acknowledgement_count</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Int</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Denormalized counter, incremented via $inc as recipients acknowledge</w:t>
            </w:r>
          </w:p>
        </w:tc>
      </w:tr>
    </w:tbl>
    <w:p>
      <w:pPr>
        <w:pBdr>
          <w:left w:val="single" w:color="1B2A55" w:sz="18" w:space="6"/>
        </w:pBdr>
        <w:shd w:fill="EEF1F8" w:val="clear"/>
        <w:spacing w:after="200" w:before="100"/>
        <w:ind w:left="120"/>
      </w:pPr>
      <w:r>
        <w:rPr>
          <w:i/>
          <w:iCs/>
          <w:color w:val="0F1C3D"/>
          <w:sz w:val="20"/>
          <w:szCs w:val="20"/>
        </w:rPr>
        <w:t xml:space="preserve">Design note: emergency_alerts writes with writeConcern: majority and is read with readPreference: primary despite its low volume — unlike most read paths in this document, latency and staleness tolerance are deliberately traded away here because correctness during an active emergency matters more than read scalability.</w:t>
      </w:r>
    </w:p>
    <w:p>
      <w:pPr>
        <w:pStyle w:val="Heading2"/>
        <w:spacing w:after="150" w:before="300"/>
      </w:pPr>
      <w:r>
        <w:rPr>
          <w:b/>
          <w:bCs/>
          <w:color w:val="0F1C3D"/>
          <w:sz w:val="24"/>
          <w:szCs w:val="24"/>
        </w:rPr>
        <w:t xml:space="preserve">23.4 Core Schema — campaigns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400"/>
      </w:tblGrid>
      <w:tr>
        <w:trPr>
          <w:tblHeader/>
        </w:trPr>
        <w:tc>
          <w:tcPr>
            <w:tcW w:type="dxa" w:w="2200"/>
            <w:shd w:fill="1B2A55" w:val="clear"/>
            <w:tcMar>
              <w:top w:type="dxa" w:w="60"/>
              <w:left w:type="dxa" w:w="90"/>
              <w:bottom w:type="dxa" w:w="60"/>
              <w:right w:type="dxa" w:w="90"/>
            </w:tcMar>
            <w:vAlign w:val="center"/>
          </w:tcPr>
          <w:p>
            <w:pPr>
              <w:jc w:val="left"/>
            </w:pPr>
            <w:r>
              <w:rPr>
                <w:b/>
                <w:bCs/>
                <w:color w:val="FFFFFF"/>
                <w:sz w:val="19"/>
                <w:szCs w:val="19"/>
              </w:rPr>
              <w:t xml:space="preserve">Field</w:t>
            </w:r>
          </w:p>
        </w:tc>
        <w:tc>
          <w:tcPr>
            <w:tcW w:type="dxa" w:w="1800"/>
            <w:shd w:fill="1B2A55" w:val="clear"/>
            <w:tcMar>
              <w:top w:type="dxa" w:w="60"/>
              <w:left w:type="dxa" w:w="90"/>
              <w:bottom w:type="dxa" w:w="60"/>
              <w:right w:type="dxa" w:w="90"/>
            </w:tcMar>
            <w:vAlign w:val="center"/>
          </w:tcPr>
          <w:p>
            <w:pPr>
              <w:jc w:val="left"/>
            </w:pPr>
            <w:r>
              <w:rPr>
                <w:b/>
                <w:bCs/>
                <w:color w:val="FFFFFF"/>
                <w:sz w:val="19"/>
                <w:szCs w:val="19"/>
              </w:rPr>
              <w:t xml:space="preserve">Type</w:t>
            </w:r>
          </w:p>
        </w:tc>
        <w:tc>
          <w:tcPr>
            <w:tcW w:type="dxa" w:w="5400"/>
            <w:shd w:fill="1B2A55" w:val="clear"/>
            <w:tcMar>
              <w:top w:type="dxa" w:w="60"/>
              <w:left w:type="dxa" w:w="90"/>
              <w:bottom w:type="dxa" w:w="60"/>
              <w:right w:type="dxa" w:w="90"/>
            </w:tcMar>
            <w:vAlign w:val="center"/>
          </w:tcPr>
          <w:p>
            <w:pPr>
              <w:jc w:val="left"/>
            </w:pPr>
            <w:r>
              <w:rPr>
                <w:b/>
                <w:bCs/>
                <w:color w:val="FFFFFF"/>
                <w:sz w:val="19"/>
                <w:szCs w:val="19"/>
              </w:rPr>
              <w:t xml:space="preserve">Notes</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_id</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ObjectId</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institution_id</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ObjectId</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Shard key leading field</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name</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String</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steps</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Array&lt;Object&gt;</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Embedded: [{offset_days, channel, template_id}] — bounded sequence, always read/edited as a whole campaign</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target_segment</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Object</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 segment_type: 'all'|'program'|'batch'|'custom', filter } — resolved to a recipient list at run time, not stored per-recipient</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status</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String (enum)</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draft | scheduled | running | completed | paused</w:t>
            </w:r>
          </w:p>
        </w:tc>
      </w:tr>
      <w:tr>
        <w:tc>
          <w:tcPr>
            <w:tcW w:type="dxa" w:w="2200"/>
            <w:tcMar>
              <w:top w:type="dxa" w:w="60"/>
              <w:left w:type="dxa" w:w="90"/>
              <w:bottom w:type="dxa" w:w="60"/>
              <w:right w:type="dxa" w:w="90"/>
            </w:tcMar>
            <w:vAlign w:val="center"/>
          </w:tcPr>
          <w:p>
            <w:pPr>
              <w:jc w:val="left"/>
            </w:pPr>
            <w:r>
              <w:rPr>
                <w:b w:val="false"/>
                <w:bCs w:val="false"/>
                <w:color w:val="222222"/>
                <w:sz w:val="19"/>
                <w:szCs w:val="19"/>
              </w:rPr>
              <w:t xml:space="preserve">scheduled_start</w:t>
            </w:r>
          </w:p>
        </w:tc>
        <w:tc>
          <w:tcPr>
            <w:tcW w:type="dxa" w:w="1800"/>
            <w:tcMar>
              <w:top w:type="dxa" w:w="60"/>
              <w:left w:type="dxa" w:w="90"/>
              <w:bottom w:type="dxa" w:w="60"/>
              <w:right w:type="dxa" w:w="90"/>
            </w:tcMar>
            <w:vAlign w:val="center"/>
          </w:tcPr>
          <w:p>
            <w:pPr>
              <w:jc w:val="left"/>
            </w:pPr>
            <w:r>
              <w:rPr>
                <w:b w:val="false"/>
                <w:bCs w:val="false"/>
                <w:color w:val="222222"/>
                <w:sz w:val="19"/>
                <w:szCs w:val="19"/>
              </w:rPr>
              <w:t xml:space="preserve">Date</w:t>
            </w:r>
          </w:p>
        </w:tc>
        <w:tc>
          <w:tcPr>
            <w:tcW w:type="dxa" w:w="5400"/>
            <w:tcMar>
              <w:top w:type="dxa" w:w="60"/>
              <w:left w:type="dxa" w:w="90"/>
              <w:bottom w:type="dxa" w:w="60"/>
              <w:right w:type="dxa" w:w="90"/>
            </w:tcMar>
            <w:vAlign w:val="center"/>
          </w:tcPr>
          <w:p>
            <w:pPr>
              <w:jc w:val="left"/>
            </w:pPr>
            <w:r>
              <w:rPr>
                <w:b w:val="false"/>
                <w:bCs w:val="false"/>
                <w:color w:val="222222"/>
                <w:sz w:val="19"/>
                <w:szCs w:val="19"/>
              </w:rPr>
              <w:t xml:space="preserve"/>
            </w:r>
          </w:p>
        </w:tc>
      </w:tr>
    </w:tbl>
    <w:p>
      <w:pPr>
        <w:pStyle w:val="ListParagraph"/>
        <w:numPr>
          <w:ilvl w:val="0"/>
          <w:numId w:val="2"/>
        </w:numPr>
        <w:spacing w:after="60"/>
      </w:pPr>
      <w:r>
        <w:rPr>
          <w:color w:val="222222"/>
          <w:sz w:val="21"/>
          <w:szCs w:val="21"/>
        </w:rPr>
        <w:t xml:space="preserve">A running campaign does not pre-materialize one document per recipient — a scheduler resolves target_segment against Admin Manager's users collection at each step's send time and emits individual events for the Notification Engine to log in notification_logs, keeping campaigns itself small regardless of audience size.</w:t>
      </w:r>
    </w:p>
    <w:p>
      <w:pPr>
        <w:pStyle w:val="Heading2"/>
        <w:spacing w:after="150" w:before="300"/>
      </w:pPr>
      <w:r>
        <w:rPr>
          <w:b/>
          <w:bCs/>
          <w:color w:val="0F1C3D"/>
          <w:sz w:val="24"/>
          <w:szCs w:val="24"/>
        </w:rPr>
        <w:t xml:space="preserve">23.5 Embedding vs. Referencing Decisions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200"/>
      </w:tblGrid>
      <w:tr>
        <w:trPr>
          <w:tblHeader/>
        </w:trPr>
        <w:tc>
          <w:tcPr>
            <w:tcW w:type="dxa" w:w="2800"/>
            <w:shd w:fill="1B2A55" w:val="clear"/>
            <w:tcMar>
              <w:top w:type="dxa" w:w="60"/>
              <w:left w:type="dxa" w:w="90"/>
              <w:bottom w:type="dxa" w:w="60"/>
              <w:right w:type="dxa" w:w="90"/>
            </w:tcMar>
            <w:vAlign w:val="center"/>
          </w:tcPr>
          <w:p>
            <w:pPr>
              <w:jc w:val="left"/>
            </w:pPr>
            <w:r>
              <w:rPr>
                <w:b/>
                <w:bCs/>
                <w:color w:val="FFFFFF"/>
                <w:sz w:val="19"/>
                <w:szCs w:val="19"/>
              </w:rPr>
              <w:t xml:space="preserve">Relationship</w:t>
            </w:r>
          </w:p>
        </w:tc>
        <w:tc>
          <w:tcPr>
            <w:tcW w:type="dxa" w:w="2000"/>
            <w:shd w:fill="1B2A55" w:val="clear"/>
            <w:tcMar>
              <w:top w:type="dxa" w:w="60"/>
              <w:left w:type="dxa" w:w="90"/>
              <w:bottom w:type="dxa" w:w="60"/>
              <w:right w:type="dxa" w:w="90"/>
            </w:tcMar>
            <w:vAlign w:val="center"/>
          </w:tcPr>
          <w:p>
            <w:pPr>
              <w:jc w:val="left"/>
            </w:pPr>
            <w:r>
              <w:rPr>
                <w:b/>
                <w:bCs/>
                <w:color w:val="FFFFFF"/>
                <w:sz w:val="19"/>
                <w:szCs w:val="19"/>
              </w:rPr>
              <w:t xml:space="preserve">Approach</w:t>
            </w:r>
          </w:p>
        </w:tc>
        <w:tc>
          <w:tcPr>
            <w:tcW w:type="dxa" w:w="4200"/>
            <w:shd w:fill="1B2A55" w:val="clear"/>
            <w:tcMar>
              <w:top w:type="dxa" w:w="60"/>
              <w:left w:type="dxa" w:w="90"/>
              <w:bottom w:type="dxa" w:w="60"/>
              <w:right w:type="dxa" w:w="90"/>
            </w:tcMar>
            <w:vAlign w:val="center"/>
          </w:tcPr>
          <w:p>
            <w:pPr>
              <w:jc w:val="left"/>
            </w:pPr>
            <w:r>
              <w:rPr>
                <w:b/>
                <w:bCs/>
                <w:color w:val="FFFFFF"/>
                <w:sz w:val="19"/>
                <w:szCs w:val="19"/>
              </w:rPr>
              <w:t xml:space="preserve">Reason</w:t>
            </w:r>
          </w:p>
        </w:tc>
      </w:tr>
      <w:tr>
        <w:tc>
          <w:tcPr>
            <w:tcW w:type="dxa" w:w="2800"/>
            <w:tcMar>
              <w:top w:type="dxa" w:w="60"/>
              <w:left w:type="dxa" w:w="90"/>
              <w:bottom w:type="dxa" w:w="60"/>
              <w:right w:type="dxa" w:w="90"/>
            </w:tcMar>
            <w:vAlign w:val="center"/>
          </w:tcPr>
          <w:p>
            <w:pPr>
              <w:jc w:val="left"/>
            </w:pPr>
            <w:r>
              <w:rPr>
                <w:b w:val="false"/>
                <w:bCs w:val="false"/>
                <w:color w:val="222222"/>
                <w:sz w:val="19"/>
                <w:szCs w:val="19"/>
              </w:rPr>
              <w:t xml:space="preserve">campaigns.steps</w:t>
            </w:r>
          </w:p>
        </w:tc>
        <w:tc>
          <w:tcPr>
            <w:tcW w:type="dxa" w:w="2000"/>
            <w:tcMar>
              <w:top w:type="dxa" w:w="60"/>
              <w:left w:type="dxa" w:w="90"/>
              <w:bottom w:type="dxa" w:w="60"/>
              <w:right w:type="dxa" w:w="90"/>
            </w:tcMar>
            <w:vAlign w:val="center"/>
          </w:tcPr>
          <w:p>
            <w:pPr>
              <w:jc w:val="left"/>
            </w:pPr>
            <w:r>
              <w:rPr>
                <w:b w:val="false"/>
                <w:bCs w:val="false"/>
                <w:color w:val="222222"/>
                <w:sz w:val="19"/>
                <w:szCs w:val="19"/>
              </w:rPr>
              <w:t xml:space="preserve">Embed</w:t>
            </w:r>
          </w:p>
        </w:tc>
        <w:tc>
          <w:tcPr>
            <w:tcW w:type="dxa" w:w="4200"/>
            <w:tcMar>
              <w:top w:type="dxa" w:w="60"/>
              <w:left w:type="dxa" w:w="90"/>
              <w:bottom w:type="dxa" w:w="60"/>
              <w:right w:type="dxa" w:w="90"/>
            </w:tcMar>
            <w:vAlign w:val="center"/>
          </w:tcPr>
          <w:p>
            <w:pPr>
              <w:jc w:val="left"/>
            </w:pPr>
            <w:r>
              <w:rPr>
                <w:b w:val="false"/>
                <w:bCs w:val="false"/>
                <w:color w:val="222222"/>
                <w:sz w:val="19"/>
                <w:szCs w:val="19"/>
              </w:rPr>
              <w:t xml:space="preserve">Small, ordered, bounded sequence with a single edit lifecycle tied to the campaign</w:t>
            </w:r>
          </w:p>
        </w:tc>
      </w:tr>
      <w:tr>
        <w:tc>
          <w:tcPr>
            <w:tcW w:type="dxa" w:w="2800"/>
            <w:tcMar>
              <w:top w:type="dxa" w:w="60"/>
              <w:left w:type="dxa" w:w="90"/>
              <w:bottom w:type="dxa" w:w="60"/>
              <w:right w:type="dxa" w:w="90"/>
            </w:tcMar>
            <w:vAlign w:val="center"/>
          </w:tcPr>
          <w:p>
            <w:pPr>
              <w:jc w:val="left"/>
            </w:pPr>
            <w:r>
              <w:rPr>
                <w:b w:val="false"/>
                <w:bCs w:val="false"/>
                <w:color w:val="222222"/>
                <w:sz w:val="19"/>
                <w:szCs w:val="19"/>
              </w:rPr>
              <w:t xml:space="preserve">campaigns ↔ recipients</w:t>
            </w:r>
          </w:p>
        </w:tc>
        <w:tc>
          <w:tcPr>
            <w:tcW w:type="dxa" w:w="2000"/>
            <w:tcMar>
              <w:top w:type="dxa" w:w="60"/>
              <w:left w:type="dxa" w:w="90"/>
              <w:bottom w:type="dxa" w:w="60"/>
              <w:right w:type="dxa" w:w="90"/>
            </w:tcMar>
            <w:vAlign w:val="center"/>
          </w:tcPr>
          <w:p>
            <w:pPr>
              <w:jc w:val="left"/>
            </w:pPr>
            <w:r>
              <w:rPr>
                <w:b w:val="false"/>
                <w:bCs w:val="false"/>
                <w:color w:val="222222"/>
                <w:sz w:val="19"/>
                <w:szCs w:val="19"/>
              </w:rPr>
              <w:t xml:space="preserve">Reference (resolved at send-time, not stored)</w:t>
            </w:r>
          </w:p>
        </w:tc>
        <w:tc>
          <w:tcPr>
            <w:tcW w:type="dxa" w:w="4200"/>
            <w:tcMar>
              <w:top w:type="dxa" w:w="60"/>
              <w:left w:type="dxa" w:w="90"/>
              <w:bottom w:type="dxa" w:w="60"/>
              <w:right w:type="dxa" w:w="90"/>
            </w:tcMar>
            <w:vAlign w:val="center"/>
          </w:tcPr>
          <w:p>
            <w:pPr>
              <w:jc w:val="left"/>
            </w:pPr>
            <w:r>
              <w:rPr>
                <w:b w:val="false"/>
                <w:bCs w:val="false"/>
                <w:color w:val="222222"/>
                <w:sz w:val="19"/>
                <w:szCs w:val="19"/>
              </w:rPr>
              <w:t xml:space="preserve">Avoids an unbounded per-recipient array and keeps campaigns cheap to read/edit regardless of audience size</w:t>
            </w:r>
          </w:p>
        </w:tc>
      </w:tr>
      <w:tr>
        <w:tc>
          <w:tcPr>
            <w:tcW w:type="dxa" w:w="2800"/>
            <w:tcMar>
              <w:top w:type="dxa" w:w="60"/>
              <w:left w:type="dxa" w:w="90"/>
              <w:bottom w:type="dxa" w:w="60"/>
              <w:right w:type="dxa" w:w="90"/>
            </w:tcMar>
            <w:vAlign w:val="center"/>
          </w:tcPr>
          <w:p>
            <w:pPr>
              <w:jc w:val="left"/>
            </w:pPr>
            <w:r>
              <w:rPr>
                <w:b w:val="false"/>
                <w:bCs w:val="false"/>
                <w:color w:val="222222"/>
                <w:sz w:val="19"/>
                <w:szCs w:val="19"/>
              </w:rPr>
              <w:t xml:space="preserve">notification_logs ↔ announcements/campaigns</w:t>
            </w:r>
          </w:p>
        </w:tc>
        <w:tc>
          <w:tcPr>
            <w:tcW w:type="dxa" w:w="2000"/>
            <w:tcMar>
              <w:top w:type="dxa" w:w="60"/>
              <w:left w:type="dxa" w:w="90"/>
              <w:bottom w:type="dxa" w:w="60"/>
              <w:right w:type="dxa" w:w="90"/>
            </w:tcMar>
            <w:vAlign w:val="center"/>
          </w:tcPr>
          <w:p>
            <w:pPr>
              <w:jc w:val="left"/>
            </w:pPr>
            <w:r>
              <w:rPr>
                <w:b w:val="false"/>
                <w:bCs w:val="false"/>
                <w:color w:val="222222"/>
                <w:sz w:val="19"/>
                <w:szCs w:val="19"/>
              </w:rPr>
              <w:t xml:space="preserve">Reference via source_event</w:t>
            </w:r>
          </w:p>
        </w:tc>
        <w:tc>
          <w:tcPr>
            <w:tcW w:type="dxa" w:w="4200"/>
            <w:tcMar>
              <w:top w:type="dxa" w:w="60"/>
              <w:left w:type="dxa" w:w="90"/>
              <w:bottom w:type="dxa" w:w="60"/>
              <w:right w:type="dxa" w:w="90"/>
            </w:tcMar>
            <w:vAlign w:val="center"/>
          </w:tcPr>
          <w:p>
            <w:pPr>
              <w:jc w:val="left"/>
            </w:pPr>
            <w:r>
              <w:rPr>
                <w:b w:val="false"/>
                <w:bCs w:val="false"/>
                <w:color w:val="222222"/>
                <w:sz w:val="19"/>
                <w:szCs w:val="19"/>
              </w:rPr>
              <w:t xml:space="preserve">Delivery history must remain queryable even after the originating announcement/campaign is edited or archived</w:t>
            </w:r>
          </w:p>
        </w:tc>
      </w:tr>
    </w:tbl>
    <w:p>
      <w:r>
        <w:br w:type="page"/>
      </w:r>
    </w:p>
    <w:p>
      <w:pPr>
        <w:pStyle w:val="Heading1"/>
        <w:pBdr>
          <w:bottom w:val="single" w:color="1B2A55" w:sz="12" w:space="4"/>
        </w:pBdr>
        <w:spacing w:after="200" w:before="400"/>
      </w:pPr>
      <w:r>
        <w:rPr>
          <w:b/>
          <w:bCs/>
          <w:color w:val="1B2A55"/>
          <w:sz w:val="30"/>
          <w:szCs w:val="30"/>
        </w:rPr>
        <w:t xml:space="preserve">24. Assumptions &amp; Open Items</w:t>
      </w:r>
    </w:p>
    <w:p>
      <w:pPr>
        <w:spacing w:after="140" w:line="276"/>
      </w:pPr>
      <w:r>
        <w:rPr>
          <w:color w:val="222222"/>
          <w:sz w:val="21"/>
          <w:szCs w:val="21"/>
        </w:rPr>
        <w:t xml:space="preserve">This v2.0 revision extends full field-level schema design from the four v1.0 priority modules to all 13 core platform modules (Sections 4-23). The cross-cutting architecture — tenancy, sharding, replication, transactions, integration, and security (Sections 2, 9-13) — was designed to already generalize across every module and required no structural changes.</w:t>
      </w:r>
    </w:p>
    <w:p>
      <w:pPr>
        <w:pStyle w:val="Heading2"/>
        <w:spacing w:after="150" w:before="300"/>
      </w:pPr>
      <w:r>
        <w:rPr>
          <w:b/>
          <w:bCs/>
          <w:color w:val="0F1C3D"/>
          <w:sz w:val="24"/>
          <w:szCs w:val="24"/>
        </w:rPr>
        <w:t xml:space="preserve">24.1 Assumptions Made in This Document</w:t>
      </w:r>
    </w:p>
    <w:p>
      <w:pPr>
        <w:pStyle w:val="ListParagraph"/>
        <w:numPr>
          <w:ilvl w:val="0"/>
          <w:numId w:val="2"/>
        </w:numPr>
        <w:spacing w:after="60"/>
      </w:pPr>
      <w:r>
        <w:rPr>
          <w:color w:val="222222"/>
          <w:sz w:val="21"/>
          <w:szCs w:val="21"/>
        </w:rPr>
        <w:t xml:space="preserve">MongoDB 7.x feature set is assumed available (Queryable Encryption, time-series collections used for Transport's gps_pings in Section 20.2, $jsonSchema validators).</w:t>
      </w:r>
    </w:p>
    <w:p>
      <w:pPr>
        <w:pStyle w:val="ListParagraph"/>
        <w:numPr>
          <w:ilvl w:val="0"/>
          <w:numId w:val="2"/>
        </w:numPr>
        <w:spacing w:after="60"/>
      </w:pPr>
      <w:r>
        <w:rPr>
          <w:color w:val="222222"/>
          <w:sz w:val="21"/>
          <w:szCs w:val="21"/>
        </w:rPr>
        <w:t xml:space="preserve">Every module is assumed to publish domain events to the shared Event Bus via the outbox pattern (Section 11.2) — the module-specific sections (15-23) name the specific events each module produces/consumes, but the delivery mechanism itself is not re-explained per module.</w:t>
      </w:r>
    </w:p>
    <w:p>
      <w:pPr>
        <w:pStyle w:val="ListParagraph"/>
        <w:numPr>
          <w:ilvl w:val="0"/>
          <w:numId w:val="2"/>
        </w:numPr>
        <w:spacing w:after="60"/>
      </w:pPr>
      <w:r>
        <w:rPr>
          <w:color w:val="222222"/>
          <w:sz w:val="21"/>
          <w:szCs w:val="21"/>
        </w:rPr>
        <w:t xml:space="preserve">Exact shared-vs-dedicated cluster thresholds, node sizing, and zone-to-institution mapping remain operational/capacity-planning decisions, not fixed in this document.</w:t>
      </w:r>
    </w:p>
    <w:p>
      <w:pPr>
        <w:pStyle w:val="ListParagraph"/>
        <w:numPr>
          <w:ilvl w:val="0"/>
          <w:numId w:val="2"/>
        </w:numPr>
        <w:spacing w:after="60"/>
      </w:pPr>
      <w:r>
        <w:rPr>
          <w:color w:val="222222"/>
          <w:sz w:val="21"/>
          <w:szCs w:val="21"/>
        </w:rPr>
        <w:t xml:space="preserve">Fields shown as "illustrative" in each module's schema tables cover the collection's primary/most-referenced fields, not an exhaustive field list — supplementary metadata fields (created_by, notes, tags, etc.) are expected during implementation and do not require a document revision to add.</w:t>
      </w:r>
    </w:p>
    <w:p>
      <w:pPr>
        <w:pStyle w:val="Heading2"/>
        <w:spacing w:after="150" w:before="300"/>
      </w:pPr>
      <w:r>
        <w:rPr>
          <w:b/>
          <w:bCs/>
          <w:color w:val="0F1C3D"/>
          <w:sz w:val="24"/>
          <w:szCs w:val="24"/>
        </w:rPr>
        <w:t xml:space="preserve">24.2 Open Items for Follow-Up</w:t>
      </w:r>
    </w:p>
    <w:p>
      <w:pPr>
        <w:pStyle w:val="ListParagraph"/>
        <w:numPr>
          <w:ilvl w:val="0"/>
          <w:numId w:val="2"/>
        </w:numPr>
        <w:spacing w:after="60"/>
      </w:pPr>
      <w:r>
        <w:rPr>
          <w:color w:val="222222"/>
          <w:sz w:val="21"/>
          <w:szCs w:val="21"/>
        </w:rPr>
        <w:t xml:space="preserve">Confirmation of which fields (if any) require MongoDB Queryable Encryption vs. standard encryption-at-rest, pending each institution's specific regulatory obligations (e.g. government ID numbers collected by some institutions but not others).</w:t>
      </w:r>
    </w:p>
    <w:p>
      <w:pPr>
        <w:pStyle w:val="ListParagraph"/>
        <w:numPr>
          <w:ilvl w:val="0"/>
          <w:numId w:val="2"/>
        </w:numPr>
        <w:spacing w:after="60"/>
      </w:pPr>
      <w:r>
        <w:rPr>
          <w:color w:val="222222"/>
          <w:sz w:val="21"/>
          <w:szCs w:val="21"/>
        </w:rPr>
        <w:t xml:space="preserve">Formal capacity planning (shard count, node sizing, IOPS) once real institution counts and per-institution document-volume estimates are available.</w:t>
      </w:r>
    </w:p>
    <w:p>
      <w:pPr>
        <w:pStyle w:val="ListParagraph"/>
        <w:numPr>
          <w:ilvl w:val="0"/>
          <w:numId w:val="2"/>
        </w:numPr>
        <w:spacing w:after="60"/>
      </w:pPr>
      <w:r>
        <w:rPr>
          <w:color w:val="222222"/>
          <w:sz w:val="21"/>
          <w:szCs w:val="21"/>
        </w:rPr>
        <w:t xml:space="preserve">The provisioning script (campsync_provision.js) currently applies full validators for the four v1.0 priority modules and light baseline validators for the nine modules added in this revision — updating it to match the full schemas in Sections 15-23 is a direct follow-up.</w:t>
      </w:r>
    </w:p>
    <w:p>
      <w:pPr>
        <w:pStyle w:val="ListParagraph"/>
        <w:numPr>
          <w:ilvl w:val="0"/>
          <w:numId w:val="2"/>
        </w:numPr>
        <w:spacing w:after="60"/>
      </w:pPr>
      <w:r>
        <w:rPr>
          <w:color w:val="222222"/>
          <w:sz w:val="21"/>
          <w:szCs w:val="21"/>
        </w:rPr>
        <w:t xml:space="preserve">Per-module read/write volume estimates, once available, should be used to revisit the shard-key choices in Section 10.1 for the newly detailed high-volume collections (submissions, attendance_timesheets, book_circulations, notification_logs).</w:t>
      </w:r>
    </w:p>
    <w:p>
      <w:r>
        <w:br w:type="page"/>
      </w:r>
    </w:p>
    <w:sectPr>
      <w:headerReference w:type="default" r:id="rId7"/>
      <w:footerReference w:type="default" r:id="rId8"/>
      <w:pgSz w:w="11906" w:h="16838" w:orient="portrait"/>
      <w:pgMar w:top="1300" w:right="1100" w:bottom="12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55" w:sz="6" w:space="4"/>
      </w:pBdr>
      <w:tabs>
        <w:tab w:val="right" w:pos="9500"/>
      </w:tabs>
    </w:pPr>
    <w:r>
      <w:rPr>
        <w:b/>
        <w:bCs/>
        <w:color w:val="0F1C3D"/>
        <w:sz w:val="16"/>
        <w:szCs w:val="16"/>
      </w:rPr>
      <w:t xml:space="preserve">CampSync — MongoDB Data Architecture</w:t>
    </w:r>
    <w:r>
      <w:rPr>
        <w:color w:val="595959"/>
        <w:sz w:val="16"/>
        <w:szCs w:val="16"/>
      </w:rPr>
      <w:t xml:space="preserve">	DDD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0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a8f0749a068ba3473920c0f09f7f034581bf426.png"/><Relationship Id="rId10" Type="http://schemas.openxmlformats.org/officeDocument/2006/relationships/image" Target="media/28270f2e1b20768b88c0e1f5040c6dfe4810eea6.png"/><Relationship Id="rId11" Type="http://schemas.openxmlformats.org/officeDocument/2006/relationships/image" Target="media/65d76e61bf38531470725f35e64310ff0e617ae9.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2026-08-03T10:34:29.999Z</dcterms:created>
  <dcterms:modified xsi:type="dcterms:W3CDTF">2026-08-03T10:34:30.013Z</dcterms:modified>
</cp:coreProperties>
</file>

<file path=docProps/custom.xml><?xml version="1.0" encoding="utf-8"?>
<Properties xmlns="http://schemas.openxmlformats.org/officeDocument/2006/custom-properties" xmlns:vt="http://schemas.openxmlformats.org/officeDocument/2006/docPropsVTypes"/>
</file>