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44"/>
        </w:rPr>
        <w:t>CampXSync Platform Tier API Documentation</w:t>
      </w:r>
    </w:p>
    <w:p>
      <w:pPr>
        <w:jc w:val="center"/>
      </w:pPr>
      <w:r>
        <w:rPr>
          <w:rFonts w:ascii="Arial" w:hAnsi="Arial"/>
          <w:i/>
          <w:color w:val="4682B4"/>
          <w:sz w:val="28"/>
        </w:rPr>
        <w:t>Admin Panel Microservice (platform-admin-service) - Updated Spec v1.1</w:t>
      </w:r>
    </w:p>
    <w:p/>
    <w:p>
      <w:pPr>
        <w:pStyle w:val="Heading1"/>
      </w:pPr>
      <w:r>
        <w:rPr>
          <w:color w:val="003366"/>
        </w:rPr>
        <w:t>1. Executive Overview</w:t>
      </w:r>
    </w:p>
    <w:p>
      <w:r>
        <w:t>This document provides the full API specification for the CampXSync Platform Tier Admin Panel Microservice. Updated based on the latest user story release, this microservice exposes 26 REST API endpoints across 8 core epics to manage institute provisioning, global platform configurations, staff RBAC, data governance policies, billing subscriptions, analytics rollups, automated compliance checks, and platform/tenant audit boundary isolation.</w:t>
      </w:r>
    </w:p>
    <w:tbl>
      <w:tblPr>
        <w:tblW w:type="auto" w:w="0"/>
        <w:jc w:val="center"/>
        <w:tblLook w:firstColumn="1" w:firstRow="1" w:lastColumn="0" w:lastRow="0" w:noHBand="0" w:noVBand="1" w:val="04A0"/>
      </w:tblPr>
      <w:tblGrid>
        <w:gridCol w:w="4680"/>
        <w:gridCol w:w="4680"/>
      </w:tblGrid>
      <w:tr>
        <w:tc>
          <w:tcPr>
            <w:tcW w:type="dxa" w:w="4680"/>
            <w:shd w:fill="F0F4F8"/>
          </w:tcPr>
          <w:p>
            <w:r>
              <w:rPr>
                <w:b/>
                <w:sz w:val="20"/>
              </w:rPr>
              <w:t>Service Name</w:t>
            </w:r>
          </w:p>
        </w:tc>
        <w:tc>
          <w:tcPr>
            <w:tcW w:type="dxa" w:w="4680"/>
            <w:shd w:fill="FAFAFA"/>
          </w:tcPr>
          <w:p>
            <w:r>
              <w:rPr>
                <w:sz w:val="20"/>
              </w:rPr>
              <w:t>platform-admin-service</w:t>
            </w:r>
          </w:p>
        </w:tc>
      </w:tr>
      <w:tr>
        <w:tc>
          <w:tcPr>
            <w:tcW w:type="dxa" w:w="4680"/>
            <w:shd w:fill="F0F4F8"/>
          </w:tcPr>
          <w:p>
            <w:r>
              <w:rPr>
                <w:b/>
                <w:sz w:val="20"/>
              </w:rPr>
              <w:t>Source Code Directory</w:t>
            </w:r>
          </w:p>
        </w:tc>
        <w:tc>
          <w:tcPr>
            <w:tcW w:type="dxa" w:w="4680"/>
            <w:shd w:fill="FAFAFA"/>
          </w:tcPr>
          <w:p>
            <w:r>
              <w:rPr>
                <w:sz w:val="20"/>
              </w:rPr>
              <w:t>d:\CampXSync\CampXSync\services\platform-admin-service</w:t>
            </w:r>
          </w:p>
        </w:tc>
      </w:tr>
      <w:tr>
        <w:tc>
          <w:tcPr>
            <w:tcW w:type="dxa" w:w="4680"/>
            <w:shd w:fill="F0F4F8"/>
          </w:tcPr>
          <w:p>
            <w:r>
              <w:rPr>
                <w:b/>
                <w:sz w:val="20"/>
              </w:rPr>
              <w:t>Target Runtime</w:t>
            </w:r>
          </w:p>
        </w:tc>
        <w:tc>
          <w:tcPr>
            <w:tcW w:type="dxa" w:w="4680"/>
            <w:shd w:fill="FAFAFA"/>
          </w:tcPr>
          <w:p>
            <w:r>
              <w:rPr>
                <w:sz w:val="20"/>
              </w:rPr>
              <w:t>Java 8 (Spring Boot 2.7.18 / OpenAPI 1.7.0)</w:t>
            </w:r>
          </w:p>
        </w:tc>
      </w:tr>
      <w:tr>
        <w:tc>
          <w:tcPr>
            <w:tcW w:type="dxa" w:w="4680"/>
            <w:shd w:fill="F0F4F8"/>
          </w:tcPr>
          <w:p>
            <w:r>
              <w:rPr>
                <w:b/>
                <w:sz w:val="20"/>
              </w:rPr>
              <w:t>Default Server Port</w:t>
            </w:r>
          </w:p>
        </w:tc>
        <w:tc>
          <w:tcPr>
            <w:tcW w:type="dxa" w:w="4680"/>
            <w:shd w:fill="FAFAFA"/>
          </w:tcPr>
          <w:p>
            <w:r>
              <w:rPr>
                <w:sz w:val="20"/>
              </w:rPr>
              <w:t>8088</w:t>
            </w:r>
          </w:p>
        </w:tc>
      </w:tr>
      <w:tr>
        <w:tc>
          <w:tcPr>
            <w:tcW w:type="dxa" w:w="4680"/>
            <w:shd w:fill="F0F4F8"/>
          </w:tcPr>
          <w:p>
            <w:r>
              <w:rPr>
                <w:b/>
                <w:sz w:val="20"/>
              </w:rPr>
              <w:t>Swagger / OpenAPI UI</w:t>
            </w:r>
          </w:p>
        </w:tc>
        <w:tc>
          <w:tcPr>
            <w:tcW w:type="dxa" w:w="4680"/>
            <w:shd w:fill="FAFAFA"/>
          </w:tcPr>
          <w:p>
            <w:r>
              <w:rPr>
                <w:sz w:val="20"/>
              </w:rPr>
              <w:t>http://localhost:8088/swagger-ui.html</w:t>
            </w:r>
          </w:p>
        </w:tc>
      </w:tr>
      <w:tr>
        <w:tc>
          <w:tcPr>
            <w:tcW w:type="dxa" w:w="4680"/>
            <w:shd w:fill="F0F4F8"/>
          </w:tcPr>
          <w:p>
            <w:r>
              <w:rPr>
                <w:b/>
                <w:sz w:val="20"/>
              </w:rPr>
              <w:t>Total User Stories Covered</w:t>
            </w:r>
          </w:p>
        </w:tc>
        <w:tc>
          <w:tcPr>
            <w:tcW w:type="dxa" w:w="4680"/>
            <w:shd w:fill="FAFAFA"/>
          </w:tcPr>
          <w:p>
            <w:r>
              <w:rPr>
                <w:sz w:val="20"/>
              </w:rPr>
              <w:t>39 User Stories (including Story 53 Audit Isolation &amp; Story 6 Lifecycle Events)</w:t>
            </w:r>
          </w:p>
        </w:tc>
      </w:tr>
    </w:tbl>
    <w:p/>
    <w:p>
      <w:pPr>
        <w:pStyle w:val="Heading1"/>
      </w:pPr>
      <w:r>
        <w:rPr>
          <w:color w:val="003366"/>
        </w:rPr>
        <w:t>2. Institute Management Service</w:t>
      </w:r>
    </w:p>
    <w:p>
      <w:r>
        <w:rPr>
          <w:i/>
          <w:sz w:val="21"/>
        </w:rPr>
        <w:t>Onboarding, status lifecycle transitions with specific event publishing (InstituteSuspended, InstituteOffboarded, InstituteStatusChanged), and profile updates for educational institutes.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r>
              <w:rPr>
                <w:b/>
                <w:color w:val="FFFFFF"/>
                <w:sz w:val="20"/>
              </w:rPr>
              <w:t>Method</w:t>
            </w:r>
          </w:p>
        </w:tc>
        <w:tc>
          <w:tcPr>
            <w:tcW w:type="dxa" w:w="1872"/>
            <w:shd w:fill="003366"/>
          </w:tcPr>
          <w:p>
            <w:r>
              <w:rPr>
                <w:b/>
                <w:color w:val="FFFFFF"/>
                <w:sz w:val="20"/>
              </w:rPr>
              <w:t>Endpoint</w:t>
            </w:r>
          </w:p>
        </w:tc>
        <w:tc>
          <w:tcPr>
            <w:tcW w:type="dxa" w:w="1872"/>
            <w:shd w:fill="003366"/>
          </w:tcPr>
          <w:p>
            <w:r>
              <w:rPr>
                <w:b/>
                <w:color w:val="FFFFFF"/>
                <w:sz w:val="20"/>
              </w:rPr>
              <w:t>Purpose</w:t>
            </w:r>
          </w:p>
        </w:tc>
        <w:tc>
          <w:tcPr>
            <w:tcW w:type="dxa" w:w="1872"/>
            <w:shd w:fill="003366"/>
          </w:tcPr>
          <w:p>
            <w:r>
              <w:rPr>
                <w:b/>
                <w:color w:val="FFFFFF"/>
                <w:sz w:val="20"/>
              </w:rPr>
              <w:t>Request / Response DTOs</w:t>
            </w:r>
          </w:p>
        </w:tc>
        <w:tc>
          <w:tcPr>
            <w:tcW w:type="dxa" w:w="1872"/>
            <w:shd w:fill="003366"/>
          </w:tcPr>
          <w:p>
            <w:r>
              <w:rPr>
                <w:b/>
                <w:color w:val="FFFFFF"/>
                <w:sz w:val="20"/>
              </w:rPr>
              <w:t>Status Codes</w:t>
            </w:r>
          </w:p>
        </w:tc>
      </w:tr>
      <w:tr>
        <w:tc>
          <w:tcPr>
            <w:tcW w:type="dxa" w:w="1872"/>
          </w:tcPr>
          <w:p>
            <w:r>
              <w:rPr>
                <w:b/>
                <w:color w:val="008000"/>
                <w:sz w:val="19"/>
              </w:rPr>
              <w:t>POST</w:t>
            </w:r>
          </w:p>
        </w:tc>
        <w:tc>
          <w:tcPr>
            <w:tcW w:type="dxa" w:w="1872"/>
          </w:tcPr>
          <w:p>
            <w:r>
              <w:rPr>
                <w:sz w:val="19"/>
              </w:rPr>
              <w:t>/v1/institutes</w:t>
            </w:r>
          </w:p>
        </w:tc>
        <w:tc>
          <w:tcPr>
            <w:tcW w:type="dxa" w:w="1872"/>
          </w:tcPr>
          <w:p>
            <w:r>
              <w:rPr>
                <w:sz w:val="19"/>
              </w:rPr>
              <w:t>Provision Institute</w:t>
            </w:r>
          </w:p>
        </w:tc>
        <w:tc>
          <w:tcPr>
            <w:tcW w:type="dxa" w:w="1872"/>
          </w:tcPr>
          <w:p>
            <w:r>
              <w:rPr>
                <w:sz w:val="19"/>
              </w:rPr>
              <w:t>ProvisionInstituteRequest -&gt; 201 Created (InstituteResponse)</w:t>
            </w:r>
          </w:p>
        </w:tc>
        <w:tc>
          <w:tcPr>
            <w:tcW w:type="dxa" w:w="1872"/>
          </w:tcPr>
          <w:p>
            <w:r>
              <w:rPr>
                <w:sz w:val="19"/>
              </w:rPr>
              <w:t>201, 403, 409</w:t>
            </w:r>
          </w:p>
        </w:tc>
      </w:tr>
      <w:tr>
        <w:tc>
          <w:tcPr>
            <w:tcW w:type="dxa" w:w="1872"/>
          </w:tcPr>
          <w:p>
            <w:r>
              <w:rPr>
                <w:b/>
                <w:color w:val="003399"/>
                <w:sz w:val="19"/>
              </w:rPr>
              <w:t>GET</w:t>
            </w:r>
          </w:p>
        </w:tc>
        <w:tc>
          <w:tcPr>
            <w:tcW w:type="dxa" w:w="1872"/>
          </w:tcPr>
          <w:p>
            <w:r>
              <w:rPr>
                <w:sz w:val="19"/>
              </w:rPr>
              <w:t>/v1/institutes/{id}</w:t>
            </w:r>
          </w:p>
        </w:tc>
        <w:tc>
          <w:tcPr>
            <w:tcW w:type="dxa" w:w="1872"/>
          </w:tcPr>
          <w:p>
            <w:r>
              <w:rPr>
                <w:sz w:val="19"/>
              </w:rPr>
              <w:t>View Institute Details</w:t>
            </w:r>
          </w:p>
        </w:tc>
        <w:tc>
          <w:tcPr>
            <w:tcW w:type="dxa" w:w="1872"/>
          </w:tcPr>
          <w:p>
            <w:r>
              <w:rPr>
                <w:sz w:val="19"/>
              </w:rPr>
              <w:t>path: id -&gt; 200 OK (InstituteResponse)</w:t>
            </w:r>
          </w:p>
        </w:tc>
        <w:tc>
          <w:tcPr>
            <w:tcW w:type="dxa" w:w="1872"/>
          </w:tcPr>
          <w:p>
            <w:r>
              <w:rPr>
                <w:sz w:val="19"/>
              </w:rPr>
              <w:t>200, 404</w:t>
            </w:r>
          </w:p>
        </w:tc>
      </w:tr>
      <w:tr>
        <w:tc>
          <w:tcPr>
            <w:tcW w:type="dxa" w:w="1872"/>
          </w:tcPr>
          <w:p>
            <w:r>
              <w:rPr>
                <w:b/>
                <w:color w:val="003399"/>
                <w:sz w:val="19"/>
              </w:rPr>
              <w:t>GET</w:t>
            </w:r>
          </w:p>
        </w:tc>
        <w:tc>
          <w:tcPr>
            <w:tcW w:type="dxa" w:w="1872"/>
          </w:tcPr>
          <w:p>
            <w:r>
              <w:rPr>
                <w:sz w:val="19"/>
              </w:rPr>
              <w:t>/v1/institutes</w:t>
            </w:r>
          </w:p>
        </w:tc>
        <w:tc>
          <w:tcPr>
            <w:tcW w:type="dxa" w:w="1872"/>
          </w:tcPr>
          <w:p>
            <w:r>
              <w:rPr>
                <w:sz w:val="19"/>
              </w:rPr>
              <w:t>List &amp; Filter Institutes</w:t>
            </w:r>
          </w:p>
        </w:tc>
        <w:tc>
          <w:tcPr>
            <w:tcW w:type="dxa" w:w="1872"/>
          </w:tcPr>
          <w:p>
            <w:r>
              <w:rPr>
                <w:sz w:val="19"/>
              </w:rPr>
              <w:t>query: status, tenancy_tier, page, size -&gt; 200 OK (PaginatedInstitutesResponse)</w:t>
            </w:r>
          </w:p>
        </w:tc>
        <w:tc>
          <w:tcPr>
            <w:tcW w:type="dxa" w:w="1872"/>
          </w:tcPr>
          <w:p>
            <w:r>
              <w:rPr>
                <w:sz w:val="19"/>
              </w:rPr>
              <w:t>200</w:t>
            </w:r>
          </w:p>
        </w:tc>
      </w:tr>
      <w:tr>
        <w:tc>
          <w:tcPr>
            <w:tcW w:type="dxa" w:w="1872"/>
          </w:tcPr>
          <w:p>
            <w:r>
              <w:rPr>
                <w:b/>
                <w:color w:val="CC6600"/>
                <w:sz w:val="19"/>
              </w:rPr>
              <w:t>PATCH</w:t>
            </w:r>
          </w:p>
        </w:tc>
        <w:tc>
          <w:tcPr>
            <w:tcW w:type="dxa" w:w="1872"/>
          </w:tcPr>
          <w:p>
            <w:r>
              <w:rPr>
                <w:sz w:val="19"/>
              </w:rPr>
              <w:t>/v1/institutes/{id}/status</w:t>
            </w:r>
          </w:p>
        </w:tc>
        <w:tc>
          <w:tcPr>
            <w:tcW w:type="dxa" w:w="1872"/>
          </w:tcPr>
          <w:p>
            <w:r>
              <w:rPr>
                <w:sz w:val="19"/>
              </w:rPr>
              <w:t>Transition Lifecycle Status</w:t>
            </w:r>
          </w:p>
        </w:tc>
        <w:tc>
          <w:tcPr>
            <w:tcW w:type="dxa" w:w="1872"/>
          </w:tcPr>
          <w:p>
            <w:r>
              <w:rPr>
                <w:sz w:val="19"/>
              </w:rPr>
              <w:t>UpdateStatusRequest (Publishes InstituteSuspended/Offboarded &amp; InstituteStatusChanged)</w:t>
            </w:r>
          </w:p>
        </w:tc>
        <w:tc>
          <w:tcPr>
            <w:tcW w:type="dxa" w:w="1872"/>
          </w:tcPr>
          <w:p>
            <w:r>
              <w:rPr>
                <w:sz w:val="19"/>
              </w:rPr>
              <w:t>200, 400, 404</w:t>
            </w:r>
          </w:p>
        </w:tc>
      </w:tr>
      <w:tr>
        <w:tc>
          <w:tcPr>
            <w:tcW w:type="dxa" w:w="1872"/>
          </w:tcPr>
          <w:p>
            <w:r>
              <w:rPr>
                <w:b/>
                <w:color w:val="CC6600"/>
                <w:sz w:val="19"/>
              </w:rPr>
              <w:t>PATCH</w:t>
            </w:r>
          </w:p>
        </w:tc>
        <w:tc>
          <w:tcPr>
            <w:tcW w:type="dxa" w:w="1872"/>
          </w:tcPr>
          <w:p>
            <w:r>
              <w:rPr>
                <w:sz w:val="19"/>
              </w:rPr>
              <w:t>/v1/institutes/{id}</w:t>
            </w:r>
          </w:p>
        </w:tc>
        <w:tc>
          <w:tcPr>
            <w:tcW w:type="dxa" w:w="1872"/>
          </w:tcPr>
          <w:p>
            <w:r>
              <w:rPr>
                <w:sz w:val="19"/>
              </w:rPr>
              <w:t>Update Institute Profile</w:t>
            </w:r>
          </w:p>
        </w:tc>
        <w:tc>
          <w:tcPr>
            <w:tcW w:type="dxa" w:w="1872"/>
          </w:tcPr>
          <w:p>
            <w:r>
              <w:rPr>
                <w:sz w:val="19"/>
              </w:rPr>
              <w:t>UpdateInstituteRequest -&gt; 200 OK (InstituteResponse)</w:t>
            </w:r>
          </w:p>
        </w:tc>
        <w:tc>
          <w:tcPr>
            <w:tcW w:type="dxa" w:w="1872"/>
          </w:tcPr>
          <w:p>
            <w:r>
              <w:rPr>
                <w:sz w:val="19"/>
              </w:rPr>
              <w:t>200, 404, 409</w:t>
            </w:r>
          </w:p>
        </w:tc>
      </w:tr>
    </w:tbl>
    <w:p/>
    <w:p>
      <w:pPr>
        <w:pStyle w:val="Heading1"/>
      </w:pPr>
      <w:r>
        <w:rPr>
          <w:color w:val="003366"/>
        </w:rPr>
        <w:t>3. Platform Configuration Service</w:t>
      </w:r>
    </w:p>
    <w:p>
      <w:r>
        <w:rPr>
          <w:i/>
          <w:sz w:val="21"/>
        </w:rPr>
        <w:t>Global feature flags, platform default parameters, and audit history.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r>
              <w:rPr>
                <w:b/>
                <w:color w:val="FFFFFF"/>
                <w:sz w:val="20"/>
              </w:rPr>
              <w:t>Method</w:t>
            </w:r>
          </w:p>
        </w:tc>
        <w:tc>
          <w:tcPr>
            <w:tcW w:type="dxa" w:w="1872"/>
            <w:shd w:fill="003366"/>
          </w:tcPr>
          <w:p>
            <w:r>
              <w:rPr>
                <w:b/>
                <w:color w:val="FFFFFF"/>
                <w:sz w:val="20"/>
              </w:rPr>
              <w:t>Endpoint</w:t>
            </w:r>
          </w:p>
        </w:tc>
        <w:tc>
          <w:tcPr>
            <w:tcW w:type="dxa" w:w="1872"/>
            <w:shd w:fill="003366"/>
          </w:tcPr>
          <w:p>
            <w:r>
              <w:rPr>
                <w:b/>
                <w:color w:val="FFFFFF"/>
                <w:sz w:val="20"/>
              </w:rPr>
              <w:t>Purpose</w:t>
            </w:r>
          </w:p>
        </w:tc>
        <w:tc>
          <w:tcPr>
            <w:tcW w:type="dxa" w:w="1872"/>
            <w:shd w:fill="003366"/>
          </w:tcPr>
          <w:p>
            <w:r>
              <w:rPr>
                <w:b/>
                <w:color w:val="FFFFFF"/>
                <w:sz w:val="20"/>
              </w:rPr>
              <w:t>Request / Response DTOs</w:t>
            </w:r>
          </w:p>
        </w:tc>
        <w:tc>
          <w:tcPr>
            <w:tcW w:type="dxa" w:w="1872"/>
            <w:shd w:fill="003366"/>
          </w:tcPr>
          <w:p>
            <w:r>
              <w:rPr>
                <w:b/>
                <w:color w:val="FFFFFF"/>
                <w:sz w:val="20"/>
              </w:rPr>
              <w:t>Status Codes</w:t>
            </w:r>
          </w:p>
        </w:tc>
      </w:tr>
      <w:tr>
        <w:tc>
          <w:tcPr>
            <w:tcW w:type="dxa" w:w="1872"/>
          </w:tcPr>
          <w:p>
            <w:r>
              <w:rPr>
                <w:b/>
                <w:color w:val="003399"/>
                <w:sz w:val="19"/>
              </w:rPr>
              <w:t>GET</w:t>
            </w:r>
          </w:p>
        </w:tc>
        <w:tc>
          <w:tcPr>
            <w:tcW w:type="dxa" w:w="1872"/>
          </w:tcPr>
          <w:p>
            <w:r>
              <w:rPr>
                <w:sz w:val="19"/>
              </w:rPr>
              <w:t>/v1/platform-configs</w:t>
            </w:r>
          </w:p>
        </w:tc>
        <w:tc>
          <w:tcPr>
            <w:tcW w:type="dxa" w:w="1872"/>
          </w:tcPr>
          <w:p>
            <w:r>
              <w:rPr>
                <w:sz w:val="19"/>
              </w:rPr>
              <w:t>View Current Platform Configs</w:t>
            </w:r>
          </w:p>
        </w:tc>
        <w:tc>
          <w:tcPr>
            <w:tcW w:type="dxa" w:w="1872"/>
          </w:tcPr>
          <w:p>
            <w:r>
              <w:rPr>
                <w:sz w:val="19"/>
              </w:rPr>
              <w:t>None -&gt; 200 OK (List&lt;PlatformConfigResponse&gt;)</w:t>
            </w:r>
          </w:p>
        </w:tc>
        <w:tc>
          <w:tcPr>
            <w:tcW w:type="dxa" w:w="1872"/>
          </w:tcPr>
          <w:p>
            <w:r>
              <w:rPr>
                <w:sz w:val="19"/>
              </w:rPr>
              <w:t>200</w:t>
            </w:r>
          </w:p>
        </w:tc>
      </w:tr>
      <w:tr>
        <w:tc>
          <w:tcPr>
            <w:tcW w:type="dxa" w:w="1872"/>
          </w:tcPr>
          <w:p>
            <w:r>
              <w:rPr>
                <w:b/>
                <w:color w:val="CC6600"/>
                <w:sz w:val="19"/>
              </w:rPr>
              <w:t>PATCH</w:t>
            </w:r>
          </w:p>
        </w:tc>
        <w:tc>
          <w:tcPr>
            <w:tcW w:type="dxa" w:w="1872"/>
          </w:tcPr>
          <w:p>
            <w:r>
              <w:rPr>
                <w:sz w:val="19"/>
              </w:rPr>
              <w:t>/v1/platform-configs/{key}</w:t>
            </w:r>
          </w:p>
        </w:tc>
        <w:tc>
          <w:tcPr>
            <w:tcW w:type="dxa" w:w="1872"/>
          </w:tcPr>
          <w:p>
            <w:r>
              <w:rPr>
                <w:sz w:val="19"/>
              </w:rPr>
              <w:t>Update Global Config Setting</w:t>
            </w:r>
          </w:p>
        </w:tc>
        <w:tc>
          <w:tcPr>
            <w:tcW w:type="dxa" w:w="1872"/>
          </w:tcPr>
          <w:p>
            <w:r>
              <w:rPr>
                <w:sz w:val="19"/>
              </w:rPr>
              <w:t>UpdateConfigRequest, header: X-Actor-Id -&gt; 200 OK (PlatformConfigResponse)</w:t>
            </w:r>
          </w:p>
        </w:tc>
        <w:tc>
          <w:tcPr>
            <w:tcW w:type="dxa" w:w="1872"/>
          </w:tcPr>
          <w:p>
            <w:r>
              <w:rPr>
                <w:sz w:val="19"/>
              </w:rPr>
              <w:t>200, 404</w:t>
            </w:r>
          </w:p>
        </w:tc>
      </w:tr>
      <w:tr>
        <w:tc>
          <w:tcPr>
            <w:tcW w:type="dxa" w:w="1872"/>
          </w:tcPr>
          <w:p>
            <w:r>
              <w:rPr>
                <w:b/>
                <w:color w:val="003399"/>
                <w:sz w:val="19"/>
              </w:rPr>
              <w:t>GET</w:t>
            </w:r>
          </w:p>
        </w:tc>
        <w:tc>
          <w:tcPr>
            <w:tcW w:type="dxa" w:w="1872"/>
          </w:tcPr>
          <w:p>
            <w:r>
              <w:rPr>
                <w:sz w:val="19"/>
              </w:rPr>
              <w:t>/v1/platform-configs/history</w:t>
            </w:r>
          </w:p>
        </w:tc>
        <w:tc>
          <w:tcPr>
            <w:tcW w:type="dxa" w:w="1872"/>
          </w:tcPr>
          <w:p>
            <w:r>
              <w:rPr>
                <w:sz w:val="19"/>
              </w:rPr>
              <w:t>View Config Audit History</w:t>
            </w:r>
          </w:p>
        </w:tc>
        <w:tc>
          <w:tcPr>
            <w:tcW w:type="dxa" w:w="1872"/>
          </w:tcPr>
          <w:p>
            <w:r>
              <w:rPr>
                <w:sz w:val="19"/>
              </w:rPr>
              <w:t>query: key -&gt; 200 OK (List&lt;ConfigAuditHistoryResponse&gt;)</w:t>
            </w:r>
          </w:p>
        </w:tc>
        <w:tc>
          <w:tcPr>
            <w:tcW w:type="dxa" w:w="1872"/>
          </w:tcPr>
          <w:p>
            <w:r>
              <w:rPr>
                <w:sz w:val="19"/>
              </w:rPr>
              <w:t>200</w:t>
            </w:r>
          </w:p>
        </w:tc>
      </w:tr>
    </w:tbl>
    <w:p/>
    <w:p>
      <w:pPr>
        <w:pStyle w:val="Heading1"/>
      </w:pPr>
      <w:r>
        <w:rPr>
          <w:color w:val="003366"/>
        </w:rPr>
        <w:t>4. Platform RBAC Service</w:t>
      </w:r>
    </w:p>
    <w:p>
      <w:r>
        <w:rPr>
          <w:i/>
          <w:sz w:val="21"/>
        </w:rPr>
        <w:t>Internal staff role management, role assignments, and permission evaluation.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r>
              <w:rPr>
                <w:b/>
                <w:color w:val="FFFFFF"/>
                <w:sz w:val="20"/>
              </w:rPr>
              <w:t>Method</w:t>
            </w:r>
          </w:p>
        </w:tc>
        <w:tc>
          <w:tcPr>
            <w:tcW w:type="dxa" w:w="1872"/>
            <w:shd w:fill="003366"/>
          </w:tcPr>
          <w:p>
            <w:r>
              <w:rPr>
                <w:b/>
                <w:color w:val="FFFFFF"/>
                <w:sz w:val="20"/>
              </w:rPr>
              <w:t>Endpoint</w:t>
            </w:r>
          </w:p>
        </w:tc>
        <w:tc>
          <w:tcPr>
            <w:tcW w:type="dxa" w:w="1872"/>
            <w:shd w:fill="003366"/>
          </w:tcPr>
          <w:p>
            <w:r>
              <w:rPr>
                <w:b/>
                <w:color w:val="FFFFFF"/>
                <w:sz w:val="20"/>
              </w:rPr>
              <w:t>Purpose</w:t>
            </w:r>
          </w:p>
        </w:tc>
        <w:tc>
          <w:tcPr>
            <w:tcW w:type="dxa" w:w="1872"/>
            <w:shd w:fill="003366"/>
          </w:tcPr>
          <w:p>
            <w:r>
              <w:rPr>
                <w:b/>
                <w:color w:val="FFFFFF"/>
                <w:sz w:val="20"/>
              </w:rPr>
              <w:t>Request / Response DTOs</w:t>
            </w:r>
          </w:p>
        </w:tc>
        <w:tc>
          <w:tcPr>
            <w:tcW w:type="dxa" w:w="1872"/>
            <w:shd w:fill="003366"/>
          </w:tcPr>
          <w:p>
            <w:r>
              <w:rPr>
                <w:b/>
                <w:color w:val="FFFFFF"/>
                <w:sz w:val="20"/>
              </w:rPr>
              <w:t>Status Codes</w:t>
            </w:r>
          </w:p>
        </w:tc>
      </w:tr>
      <w:tr>
        <w:tc>
          <w:tcPr>
            <w:tcW w:type="dxa" w:w="1872"/>
          </w:tcPr>
          <w:p>
            <w:r>
              <w:rPr>
                <w:b/>
                <w:color w:val="008000"/>
                <w:sz w:val="19"/>
              </w:rPr>
              <w:t>POST</w:t>
            </w:r>
          </w:p>
        </w:tc>
        <w:tc>
          <w:tcPr>
            <w:tcW w:type="dxa" w:w="1872"/>
          </w:tcPr>
          <w:p>
            <w:r>
              <w:rPr>
                <w:sz w:val="19"/>
              </w:rPr>
              <w:t>/v1/platform-roles</w:t>
            </w:r>
          </w:p>
        </w:tc>
        <w:tc>
          <w:tcPr>
            <w:tcW w:type="dxa" w:w="1872"/>
          </w:tcPr>
          <w:p>
            <w:r>
              <w:rPr>
                <w:sz w:val="19"/>
              </w:rPr>
              <w:t>Define Platform Role</w:t>
            </w:r>
          </w:p>
        </w:tc>
        <w:tc>
          <w:tcPr>
            <w:tcW w:type="dxa" w:w="1872"/>
          </w:tcPr>
          <w:p>
            <w:r>
              <w:rPr>
                <w:sz w:val="19"/>
              </w:rPr>
              <w:t>CreatePlatformRoleRequest -&gt; 201 Created (PlatformRoleResponse)</w:t>
            </w:r>
          </w:p>
        </w:tc>
        <w:tc>
          <w:tcPr>
            <w:tcW w:type="dxa" w:w="1872"/>
          </w:tcPr>
          <w:p>
            <w:r>
              <w:rPr>
                <w:sz w:val="19"/>
              </w:rPr>
              <w:t>201, 400</w:t>
            </w:r>
          </w:p>
        </w:tc>
      </w:tr>
      <w:tr>
        <w:tc>
          <w:tcPr>
            <w:tcW w:type="dxa" w:w="1872"/>
          </w:tcPr>
          <w:p>
            <w:r>
              <w:rPr>
                <w:b/>
                <w:color w:val="003399"/>
                <w:sz w:val="19"/>
              </w:rPr>
              <w:t>GET</w:t>
            </w:r>
          </w:p>
        </w:tc>
        <w:tc>
          <w:tcPr>
            <w:tcW w:type="dxa" w:w="1872"/>
          </w:tcPr>
          <w:p>
            <w:r>
              <w:rPr>
                <w:sz w:val="19"/>
              </w:rPr>
              <w:t>/v1/platform-roles</w:t>
            </w:r>
          </w:p>
        </w:tc>
        <w:tc>
          <w:tcPr>
            <w:tcW w:type="dxa" w:w="1872"/>
          </w:tcPr>
          <w:p>
            <w:r>
              <w:rPr>
                <w:sz w:val="19"/>
              </w:rPr>
              <w:t>List Platform Roles</w:t>
            </w:r>
          </w:p>
        </w:tc>
        <w:tc>
          <w:tcPr>
            <w:tcW w:type="dxa" w:w="1872"/>
          </w:tcPr>
          <w:p>
            <w:r>
              <w:rPr>
                <w:sz w:val="19"/>
              </w:rPr>
              <w:t>None -&gt; 200 OK (List&lt;PlatformRoleResponse&gt;)</w:t>
            </w:r>
          </w:p>
        </w:tc>
        <w:tc>
          <w:tcPr>
            <w:tcW w:type="dxa" w:w="1872"/>
          </w:tcPr>
          <w:p>
            <w:r>
              <w:rPr>
                <w:sz w:val="19"/>
              </w:rPr>
              <w:t>200</w:t>
            </w:r>
          </w:p>
        </w:tc>
      </w:tr>
      <w:tr>
        <w:tc>
          <w:tcPr>
            <w:tcW w:type="dxa" w:w="1872"/>
          </w:tcPr>
          <w:p>
            <w:r>
              <w:rPr>
                <w:b/>
                <w:color w:val="008000"/>
                <w:sz w:val="19"/>
              </w:rPr>
              <w:t>POST</w:t>
            </w:r>
          </w:p>
        </w:tc>
        <w:tc>
          <w:tcPr>
            <w:tcW w:type="dxa" w:w="1872"/>
          </w:tcPr>
          <w:p>
            <w:r>
              <w:rPr>
                <w:sz w:val="19"/>
              </w:rPr>
              <w:t>/v1/platform-role-assignments</w:t>
            </w:r>
          </w:p>
        </w:tc>
        <w:tc>
          <w:tcPr>
            <w:tcW w:type="dxa" w:w="1872"/>
          </w:tcPr>
          <w:p>
            <w:r>
              <w:rPr>
                <w:sz w:val="19"/>
              </w:rPr>
              <w:t>Grant Role to Staff Member</w:t>
            </w:r>
          </w:p>
        </w:tc>
        <w:tc>
          <w:tcPr>
            <w:tcW w:type="dxa" w:w="1872"/>
          </w:tcPr>
          <w:p>
            <w:r>
              <w:rPr>
                <w:sz w:val="19"/>
              </w:rPr>
              <w:t>GrantRoleRequest -&gt; 201 Created (RoleAssignmentResponse)</w:t>
            </w:r>
          </w:p>
        </w:tc>
        <w:tc>
          <w:tcPr>
            <w:tcW w:type="dxa" w:w="1872"/>
          </w:tcPr>
          <w:p>
            <w:r>
              <w:rPr>
                <w:sz w:val="19"/>
              </w:rPr>
              <w:t>201, 404</w:t>
            </w:r>
          </w:p>
        </w:tc>
      </w:tr>
      <w:tr>
        <w:tc>
          <w:tcPr>
            <w:tcW w:type="dxa" w:w="1872"/>
          </w:tcPr>
          <w:p>
            <w:r>
              <w:rPr>
                <w:b/>
                <w:color w:val="003399"/>
                <w:sz w:val="19"/>
              </w:rPr>
              <w:t>GET</w:t>
            </w:r>
          </w:p>
        </w:tc>
        <w:tc>
          <w:tcPr>
            <w:tcW w:type="dxa" w:w="1872"/>
          </w:tcPr>
          <w:p>
            <w:r>
              <w:rPr>
                <w:sz w:val="19"/>
              </w:rPr>
              <w:t>/v1/platform-role-assignments/{staff_id}/effective</w:t>
            </w:r>
          </w:p>
        </w:tc>
        <w:tc>
          <w:tcPr>
            <w:tcW w:type="dxa" w:w="1872"/>
          </w:tcPr>
          <w:p>
            <w:r>
              <w:rPr>
                <w:sz w:val="19"/>
              </w:rPr>
              <w:t>Resolve Effective Permissions</w:t>
            </w:r>
          </w:p>
        </w:tc>
        <w:tc>
          <w:tcPr>
            <w:tcW w:type="dxa" w:w="1872"/>
          </w:tcPr>
          <w:p>
            <w:r>
              <w:rPr>
                <w:sz w:val="19"/>
              </w:rPr>
              <w:t>path: staff_id -&gt; 200 OK (EffectivePermissionsResponse)</w:t>
            </w:r>
          </w:p>
        </w:tc>
        <w:tc>
          <w:tcPr>
            <w:tcW w:type="dxa" w:w="1872"/>
          </w:tcPr>
          <w:p>
            <w:r>
              <w:rPr>
                <w:sz w:val="19"/>
              </w:rPr>
              <w:t>200</w:t>
            </w:r>
          </w:p>
        </w:tc>
      </w:tr>
      <w:tr>
        <w:tc>
          <w:tcPr>
            <w:tcW w:type="dxa" w:w="1872"/>
          </w:tcPr>
          <w:p>
            <w:r>
              <w:rPr>
                <w:b/>
                <w:color w:val="CC0000"/>
                <w:sz w:val="19"/>
              </w:rPr>
              <w:t>DELETE</w:t>
            </w:r>
          </w:p>
        </w:tc>
        <w:tc>
          <w:tcPr>
            <w:tcW w:type="dxa" w:w="1872"/>
          </w:tcPr>
          <w:p>
            <w:r>
              <w:rPr>
                <w:sz w:val="19"/>
              </w:rPr>
              <w:t>/v1/platform-role-assignments/{id}</w:t>
            </w:r>
          </w:p>
        </w:tc>
        <w:tc>
          <w:tcPr>
            <w:tcW w:type="dxa" w:w="1872"/>
          </w:tcPr>
          <w:p>
            <w:r>
              <w:rPr>
                <w:sz w:val="19"/>
              </w:rPr>
              <w:t>Revoke Role Assignment</w:t>
            </w:r>
          </w:p>
        </w:tc>
        <w:tc>
          <w:tcPr>
            <w:tcW w:type="dxa" w:w="1872"/>
          </w:tcPr>
          <w:p>
            <w:r>
              <w:rPr>
                <w:sz w:val="19"/>
              </w:rPr>
              <w:t>path: id -&gt; 204 No Content</w:t>
            </w:r>
          </w:p>
        </w:tc>
        <w:tc>
          <w:tcPr>
            <w:tcW w:type="dxa" w:w="1872"/>
          </w:tcPr>
          <w:p>
            <w:r>
              <w:rPr>
                <w:sz w:val="19"/>
              </w:rPr>
              <w:t>204, 404</w:t>
            </w:r>
          </w:p>
        </w:tc>
      </w:tr>
    </w:tbl>
    <w:p/>
    <w:p>
      <w:pPr>
        <w:pStyle w:val="Heading1"/>
      </w:pPr>
      <w:r>
        <w:rPr>
          <w:color w:val="003366"/>
        </w:rPr>
        <w:t>5. Data Governance Service</w:t>
      </w:r>
    </w:p>
    <w:p>
      <w:r>
        <w:rPr>
          <w:i/>
          <w:sz w:val="21"/>
        </w:rPr>
        <w:t>Retention, residency, and access policy management across tenants.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r>
              <w:rPr>
                <w:b/>
                <w:color w:val="FFFFFF"/>
                <w:sz w:val="20"/>
              </w:rPr>
              <w:t>Method</w:t>
            </w:r>
          </w:p>
        </w:tc>
        <w:tc>
          <w:tcPr>
            <w:tcW w:type="dxa" w:w="1872"/>
            <w:shd w:fill="003366"/>
          </w:tcPr>
          <w:p>
            <w:r>
              <w:rPr>
                <w:b/>
                <w:color w:val="FFFFFF"/>
                <w:sz w:val="20"/>
              </w:rPr>
              <w:t>Endpoint</w:t>
            </w:r>
          </w:p>
        </w:tc>
        <w:tc>
          <w:tcPr>
            <w:tcW w:type="dxa" w:w="1872"/>
            <w:shd w:fill="003366"/>
          </w:tcPr>
          <w:p>
            <w:r>
              <w:rPr>
                <w:b/>
                <w:color w:val="FFFFFF"/>
                <w:sz w:val="20"/>
              </w:rPr>
              <w:t>Purpose</w:t>
            </w:r>
          </w:p>
        </w:tc>
        <w:tc>
          <w:tcPr>
            <w:tcW w:type="dxa" w:w="1872"/>
            <w:shd w:fill="003366"/>
          </w:tcPr>
          <w:p>
            <w:r>
              <w:rPr>
                <w:b/>
                <w:color w:val="FFFFFF"/>
                <w:sz w:val="20"/>
              </w:rPr>
              <w:t>Request / Response DTOs</w:t>
            </w:r>
          </w:p>
        </w:tc>
        <w:tc>
          <w:tcPr>
            <w:tcW w:type="dxa" w:w="1872"/>
            <w:shd w:fill="003366"/>
          </w:tcPr>
          <w:p>
            <w:r>
              <w:rPr>
                <w:b/>
                <w:color w:val="FFFFFF"/>
                <w:sz w:val="20"/>
              </w:rPr>
              <w:t>Status Codes</w:t>
            </w:r>
          </w:p>
        </w:tc>
      </w:tr>
      <w:tr>
        <w:tc>
          <w:tcPr>
            <w:tcW w:type="dxa" w:w="1872"/>
          </w:tcPr>
          <w:p>
            <w:r>
              <w:rPr>
                <w:b/>
                <w:color w:val="008000"/>
                <w:sz w:val="19"/>
              </w:rPr>
              <w:t>POST</w:t>
            </w:r>
          </w:p>
        </w:tc>
        <w:tc>
          <w:tcPr>
            <w:tcW w:type="dxa" w:w="1872"/>
          </w:tcPr>
          <w:p>
            <w:r>
              <w:rPr>
                <w:sz w:val="19"/>
              </w:rPr>
              <w:t>/v1/policies</w:t>
            </w:r>
          </w:p>
        </w:tc>
        <w:tc>
          <w:tcPr>
            <w:tcW w:type="dxa" w:w="1872"/>
          </w:tcPr>
          <w:p>
            <w:r>
              <w:rPr>
                <w:sz w:val="19"/>
              </w:rPr>
              <w:t>Create Governance Policy</w:t>
            </w:r>
          </w:p>
        </w:tc>
        <w:tc>
          <w:tcPr>
            <w:tcW w:type="dxa" w:w="1872"/>
          </w:tcPr>
          <w:p>
            <w:r>
              <w:rPr>
                <w:sz w:val="19"/>
              </w:rPr>
              <w:t>CreatePolicyRequest -&gt; 201 Created (PolicyResponse)</w:t>
            </w:r>
          </w:p>
        </w:tc>
        <w:tc>
          <w:tcPr>
            <w:tcW w:type="dxa" w:w="1872"/>
          </w:tcPr>
          <w:p>
            <w:r>
              <w:rPr>
                <w:sz w:val="19"/>
              </w:rPr>
              <w:t>201</w:t>
            </w:r>
          </w:p>
        </w:tc>
      </w:tr>
      <w:tr>
        <w:tc>
          <w:tcPr>
            <w:tcW w:type="dxa" w:w="1872"/>
          </w:tcPr>
          <w:p>
            <w:r>
              <w:rPr>
                <w:b/>
                <w:color w:val="003399"/>
                <w:sz w:val="19"/>
              </w:rPr>
              <w:t>GET</w:t>
            </w:r>
          </w:p>
        </w:tc>
        <w:tc>
          <w:tcPr>
            <w:tcW w:type="dxa" w:w="1872"/>
          </w:tcPr>
          <w:p>
            <w:r>
              <w:rPr>
                <w:sz w:val="19"/>
              </w:rPr>
              <w:t>/v1/policies</w:t>
            </w:r>
          </w:p>
        </w:tc>
        <w:tc>
          <w:tcPr>
            <w:tcW w:type="dxa" w:w="1872"/>
          </w:tcPr>
          <w:p>
            <w:r>
              <w:rPr>
                <w:sz w:val="19"/>
              </w:rPr>
              <w:t>List Governance Policies</w:t>
            </w:r>
          </w:p>
        </w:tc>
        <w:tc>
          <w:tcPr>
            <w:tcW w:type="dxa" w:w="1872"/>
          </w:tcPr>
          <w:p>
            <w:r>
              <w:rPr>
                <w:sz w:val="19"/>
              </w:rPr>
              <w:t>query: applies_to -&gt; 200 OK (List&lt;PolicyResponse&gt;)</w:t>
            </w:r>
          </w:p>
        </w:tc>
        <w:tc>
          <w:tcPr>
            <w:tcW w:type="dxa" w:w="1872"/>
          </w:tcPr>
          <w:p>
            <w:r>
              <w:rPr>
                <w:sz w:val="19"/>
              </w:rPr>
              <w:t>200</w:t>
            </w:r>
          </w:p>
        </w:tc>
      </w:tr>
      <w:tr>
        <w:tc>
          <w:tcPr>
            <w:tcW w:type="dxa" w:w="1872"/>
          </w:tcPr>
          <w:p>
            <w:r>
              <w:rPr>
                <w:b/>
                <w:color w:val="CC6600"/>
                <w:sz w:val="19"/>
              </w:rPr>
              <w:t>PATCH</w:t>
            </w:r>
          </w:p>
        </w:tc>
        <w:tc>
          <w:tcPr>
            <w:tcW w:type="dxa" w:w="1872"/>
          </w:tcPr>
          <w:p>
            <w:r>
              <w:rPr>
                <w:sz w:val="19"/>
              </w:rPr>
              <w:t>/v1/policies/{id}</w:t>
            </w:r>
          </w:p>
        </w:tc>
        <w:tc>
          <w:tcPr>
            <w:tcW w:type="dxa" w:w="1872"/>
          </w:tcPr>
          <w:p>
            <w:r>
              <w:rPr>
                <w:sz w:val="19"/>
              </w:rPr>
              <w:t>Update Policy &amp; Trigger Re-check</w:t>
            </w:r>
          </w:p>
        </w:tc>
        <w:tc>
          <w:tcPr>
            <w:tcW w:type="dxa" w:w="1872"/>
          </w:tcPr>
          <w:p>
            <w:r>
              <w:rPr>
                <w:sz w:val="19"/>
              </w:rPr>
              <w:t>UpdatePolicyRequest -&gt; 200 OK (PolicyResponse)</w:t>
            </w:r>
          </w:p>
        </w:tc>
        <w:tc>
          <w:tcPr>
            <w:tcW w:type="dxa" w:w="1872"/>
          </w:tcPr>
          <w:p>
            <w:r>
              <w:rPr>
                <w:sz w:val="19"/>
              </w:rPr>
              <w:t>200, 404</w:t>
            </w:r>
          </w:p>
        </w:tc>
      </w:tr>
      <w:tr>
        <w:tc>
          <w:tcPr>
            <w:tcW w:type="dxa" w:w="1872"/>
          </w:tcPr>
          <w:p>
            <w:r>
              <w:rPr>
                <w:b/>
                <w:color w:val="CC0000"/>
                <w:sz w:val="19"/>
              </w:rPr>
              <w:t>DELETE</w:t>
            </w:r>
          </w:p>
        </w:tc>
        <w:tc>
          <w:tcPr>
            <w:tcW w:type="dxa" w:w="1872"/>
          </w:tcPr>
          <w:p>
            <w:r>
              <w:rPr>
                <w:sz w:val="19"/>
              </w:rPr>
              <w:t>/v1/policies/{id}</w:t>
            </w:r>
          </w:p>
        </w:tc>
        <w:tc>
          <w:tcPr>
            <w:tcW w:type="dxa" w:w="1872"/>
          </w:tcPr>
          <w:p>
            <w:r>
              <w:rPr>
                <w:sz w:val="19"/>
              </w:rPr>
              <w:t>Retire Policy</w:t>
            </w:r>
          </w:p>
        </w:tc>
        <w:tc>
          <w:tcPr>
            <w:tcW w:type="dxa" w:w="1872"/>
          </w:tcPr>
          <w:p>
            <w:r>
              <w:rPr>
                <w:sz w:val="19"/>
              </w:rPr>
              <w:t>path: id -&gt; 200 OK (PolicyResponse with status RETIRED)</w:t>
            </w:r>
          </w:p>
        </w:tc>
        <w:tc>
          <w:tcPr>
            <w:tcW w:type="dxa" w:w="1872"/>
          </w:tcPr>
          <w:p>
            <w:r>
              <w:rPr>
                <w:sz w:val="19"/>
              </w:rPr>
              <w:t>200, 404</w:t>
            </w:r>
          </w:p>
        </w:tc>
      </w:tr>
    </w:tbl>
    <w:p/>
    <w:p>
      <w:pPr>
        <w:pStyle w:val="Heading1"/>
      </w:pPr>
      <w:r>
        <w:rPr>
          <w:color w:val="003366"/>
        </w:rPr>
        <w:t>6. Billing &amp; Subscription Service</w:t>
      </w:r>
    </w:p>
    <w:p>
      <w:r>
        <w:rPr>
          <w:i/>
          <w:sz w:val="21"/>
        </w:rPr>
        <w:t>Subscription plan tracking, plan migration with settlement checks, and manual charges.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r>
              <w:rPr>
                <w:b/>
                <w:color w:val="FFFFFF"/>
                <w:sz w:val="20"/>
              </w:rPr>
              <w:t>Method</w:t>
            </w:r>
          </w:p>
        </w:tc>
        <w:tc>
          <w:tcPr>
            <w:tcW w:type="dxa" w:w="1872"/>
            <w:shd w:fill="003366"/>
          </w:tcPr>
          <w:p>
            <w:r>
              <w:rPr>
                <w:b/>
                <w:color w:val="FFFFFF"/>
                <w:sz w:val="20"/>
              </w:rPr>
              <w:t>Endpoint</w:t>
            </w:r>
          </w:p>
        </w:tc>
        <w:tc>
          <w:tcPr>
            <w:tcW w:type="dxa" w:w="1872"/>
            <w:shd w:fill="003366"/>
          </w:tcPr>
          <w:p>
            <w:r>
              <w:rPr>
                <w:b/>
                <w:color w:val="FFFFFF"/>
                <w:sz w:val="20"/>
              </w:rPr>
              <w:t>Purpose</w:t>
            </w:r>
          </w:p>
        </w:tc>
        <w:tc>
          <w:tcPr>
            <w:tcW w:type="dxa" w:w="1872"/>
            <w:shd w:fill="003366"/>
          </w:tcPr>
          <w:p>
            <w:r>
              <w:rPr>
                <w:b/>
                <w:color w:val="FFFFFF"/>
                <w:sz w:val="20"/>
              </w:rPr>
              <w:t>Request / Response DTOs</w:t>
            </w:r>
          </w:p>
        </w:tc>
        <w:tc>
          <w:tcPr>
            <w:tcW w:type="dxa" w:w="1872"/>
            <w:shd w:fill="003366"/>
          </w:tcPr>
          <w:p>
            <w:r>
              <w:rPr>
                <w:b/>
                <w:color w:val="FFFFFF"/>
                <w:sz w:val="20"/>
              </w:rPr>
              <w:t>Status Codes</w:t>
            </w:r>
          </w:p>
        </w:tc>
      </w:tr>
      <w:tr>
        <w:tc>
          <w:tcPr>
            <w:tcW w:type="dxa" w:w="1872"/>
          </w:tcPr>
          <w:p>
            <w:r>
              <w:rPr>
                <w:b/>
                <w:color w:val="003399"/>
                <w:sz w:val="19"/>
              </w:rPr>
              <w:t>GET</w:t>
            </w:r>
          </w:p>
        </w:tc>
        <w:tc>
          <w:tcPr>
            <w:tcW w:type="dxa" w:w="1872"/>
          </w:tcPr>
          <w:p>
            <w:r>
              <w:rPr>
                <w:sz w:val="19"/>
              </w:rPr>
              <w:t>/v1/billing-accounts/{institution_id}</w:t>
            </w:r>
          </w:p>
        </w:tc>
        <w:tc>
          <w:tcPr>
            <w:tcW w:type="dxa" w:w="1872"/>
          </w:tcPr>
          <w:p>
            <w:r>
              <w:rPr>
                <w:sz w:val="19"/>
              </w:rPr>
              <w:t>View Billing &amp; Plan Status</w:t>
            </w:r>
          </w:p>
        </w:tc>
        <w:tc>
          <w:tcPr>
            <w:tcW w:type="dxa" w:w="1872"/>
          </w:tcPr>
          <w:p>
            <w:r>
              <w:rPr>
                <w:sz w:val="19"/>
              </w:rPr>
              <w:t>path: institution_id -&gt; 200 OK (BillingAccountResponse)</w:t>
            </w:r>
          </w:p>
        </w:tc>
        <w:tc>
          <w:tcPr>
            <w:tcW w:type="dxa" w:w="1872"/>
          </w:tcPr>
          <w:p>
            <w:r>
              <w:rPr>
                <w:sz w:val="19"/>
              </w:rPr>
              <w:t>200, 404</w:t>
            </w:r>
          </w:p>
        </w:tc>
      </w:tr>
      <w:tr>
        <w:tc>
          <w:tcPr>
            <w:tcW w:type="dxa" w:w="1872"/>
          </w:tcPr>
          <w:p>
            <w:r>
              <w:rPr>
                <w:b/>
                <w:color w:val="008000"/>
                <w:sz w:val="19"/>
              </w:rPr>
              <w:t>POST</w:t>
            </w:r>
          </w:p>
        </w:tc>
        <w:tc>
          <w:tcPr>
            <w:tcW w:type="dxa" w:w="1872"/>
          </w:tcPr>
          <w:p>
            <w:r>
              <w:rPr>
                <w:sz w:val="19"/>
              </w:rPr>
              <w:t>/v1/billing-accounts/{institution_id}/change-plan</w:t>
            </w:r>
          </w:p>
        </w:tc>
        <w:tc>
          <w:tcPr>
            <w:tcW w:type="dxa" w:w="1872"/>
          </w:tcPr>
          <w:p>
            <w:r>
              <w:rPr>
                <w:sz w:val="19"/>
              </w:rPr>
              <w:t>Change Subscription Plan</w:t>
            </w:r>
          </w:p>
        </w:tc>
        <w:tc>
          <w:tcPr>
            <w:tcW w:type="dxa" w:w="1872"/>
          </w:tcPr>
          <w:p>
            <w:r>
              <w:rPr>
                <w:sz w:val="19"/>
              </w:rPr>
              <w:t>ChangePlanRequest -&gt; 200 OK (BillingAccountResponse)</w:t>
            </w:r>
          </w:p>
        </w:tc>
        <w:tc>
          <w:tcPr>
            <w:tcW w:type="dxa" w:w="1872"/>
          </w:tcPr>
          <w:p>
            <w:r>
              <w:rPr>
                <w:sz w:val="19"/>
              </w:rPr>
              <w:t>200, 402, 404</w:t>
            </w:r>
          </w:p>
        </w:tc>
      </w:tr>
      <w:tr>
        <w:tc>
          <w:tcPr>
            <w:tcW w:type="dxa" w:w="1872"/>
          </w:tcPr>
          <w:p>
            <w:r>
              <w:rPr>
                <w:b/>
                <w:color w:val="008000"/>
                <w:sz w:val="19"/>
              </w:rPr>
              <w:t>POST</w:t>
            </w:r>
          </w:p>
        </w:tc>
        <w:tc>
          <w:tcPr>
            <w:tcW w:type="dxa" w:w="1872"/>
          </w:tcPr>
          <w:p>
            <w:r>
              <w:rPr>
                <w:sz w:val="19"/>
              </w:rPr>
              <w:t>/v1/billing-accounts/{institution_id}/charge</w:t>
            </w:r>
          </w:p>
        </w:tc>
        <w:tc>
          <w:tcPr>
            <w:tcW w:type="dxa" w:w="1872"/>
          </w:tcPr>
          <w:p>
            <w:r>
              <w:rPr>
                <w:sz w:val="19"/>
              </w:rPr>
              <w:t>Trigger Manual Settlement</w:t>
            </w:r>
          </w:p>
        </w:tc>
        <w:tc>
          <w:tcPr>
            <w:tcW w:type="dxa" w:w="1872"/>
          </w:tcPr>
          <w:p>
            <w:r>
              <w:rPr>
                <w:sz w:val="19"/>
              </w:rPr>
              <w:t>ChargeRequest -&gt; 200 OK (SettlementResponse)</w:t>
            </w:r>
          </w:p>
        </w:tc>
        <w:tc>
          <w:tcPr>
            <w:tcW w:type="dxa" w:w="1872"/>
          </w:tcPr>
          <w:p>
            <w:r>
              <w:rPr>
                <w:sz w:val="19"/>
              </w:rPr>
              <w:t>200, 402, 404</w:t>
            </w:r>
          </w:p>
        </w:tc>
      </w:tr>
    </w:tbl>
    <w:p/>
    <w:p>
      <w:pPr>
        <w:pStyle w:val="Heading1"/>
      </w:pPr>
      <w:r>
        <w:rPr>
          <w:color w:val="003366"/>
        </w:rPr>
        <w:t>7. Platform Analytics Service</w:t>
      </w:r>
    </w:p>
    <w:p>
      <w:r>
        <w:rPr>
          <w:i/>
          <w:sz w:val="21"/>
        </w:rPr>
        <w:t>Precomputed metric rollups across institutes and manual snapshot trigger.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r>
              <w:rPr>
                <w:b/>
                <w:color w:val="FFFFFF"/>
                <w:sz w:val="20"/>
              </w:rPr>
              <w:t>Method</w:t>
            </w:r>
          </w:p>
        </w:tc>
        <w:tc>
          <w:tcPr>
            <w:tcW w:type="dxa" w:w="1872"/>
            <w:shd w:fill="003366"/>
          </w:tcPr>
          <w:p>
            <w:r>
              <w:rPr>
                <w:b/>
                <w:color w:val="FFFFFF"/>
                <w:sz w:val="20"/>
              </w:rPr>
              <w:t>Endpoint</w:t>
            </w:r>
          </w:p>
        </w:tc>
        <w:tc>
          <w:tcPr>
            <w:tcW w:type="dxa" w:w="1872"/>
            <w:shd w:fill="003366"/>
          </w:tcPr>
          <w:p>
            <w:r>
              <w:rPr>
                <w:b/>
                <w:color w:val="FFFFFF"/>
                <w:sz w:val="20"/>
              </w:rPr>
              <w:t>Purpose</w:t>
            </w:r>
          </w:p>
        </w:tc>
        <w:tc>
          <w:tcPr>
            <w:tcW w:type="dxa" w:w="1872"/>
            <w:shd w:fill="003366"/>
          </w:tcPr>
          <w:p>
            <w:r>
              <w:rPr>
                <w:b/>
                <w:color w:val="FFFFFF"/>
                <w:sz w:val="20"/>
              </w:rPr>
              <w:t>Request / Response DTOs</w:t>
            </w:r>
          </w:p>
        </w:tc>
        <w:tc>
          <w:tcPr>
            <w:tcW w:type="dxa" w:w="1872"/>
            <w:shd w:fill="003366"/>
          </w:tcPr>
          <w:p>
            <w:r>
              <w:rPr>
                <w:b/>
                <w:color w:val="FFFFFF"/>
                <w:sz w:val="20"/>
              </w:rPr>
              <w:t>Status Codes</w:t>
            </w:r>
          </w:p>
        </w:tc>
      </w:tr>
      <w:tr>
        <w:tc>
          <w:tcPr>
            <w:tcW w:type="dxa" w:w="1872"/>
          </w:tcPr>
          <w:p>
            <w:r>
              <w:rPr>
                <w:b/>
                <w:color w:val="003399"/>
                <w:sz w:val="19"/>
              </w:rPr>
              <w:t>GET</w:t>
            </w:r>
          </w:p>
        </w:tc>
        <w:tc>
          <w:tcPr>
            <w:tcW w:type="dxa" w:w="1872"/>
          </w:tcPr>
          <w:p>
            <w:r>
              <w:rPr>
                <w:sz w:val="19"/>
              </w:rPr>
              <w:t>/v1/analytics/snapshots</w:t>
            </w:r>
          </w:p>
        </w:tc>
        <w:tc>
          <w:tcPr>
            <w:tcW w:type="dxa" w:w="1872"/>
          </w:tcPr>
          <w:p>
            <w:r>
              <w:rPr>
                <w:sz w:val="19"/>
              </w:rPr>
              <w:t>View Cross-Institution Rollups</w:t>
            </w:r>
          </w:p>
        </w:tc>
        <w:tc>
          <w:tcPr>
            <w:tcW w:type="dxa" w:w="1872"/>
          </w:tcPr>
          <w:p>
            <w:r>
              <w:rPr>
                <w:sz w:val="19"/>
              </w:rPr>
              <w:t>query: metric, period -&gt; 200 OK (AnalyticsSnapshotResponse)</w:t>
            </w:r>
          </w:p>
        </w:tc>
        <w:tc>
          <w:tcPr>
            <w:tcW w:type="dxa" w:w="1872"/>
          </w:tcPr>
          <w:p>
            <w:r>
              <w:rPr>
                <w:sz w:val="19"/>
              </w:rPr>
              <w:t>200</w:t>
            </w:r>
          </w:p>
        </w:tc>
      </w:tr>
      <w:tr>
        <w:tc>
          <w:tcPr>
            <w:tcW w:type="dxa" w:w="1872"/>
          </w:tcPr>
          <w:p>
            <w:r>
              <w:rPr>
                <w:b/>
                <w:color w:val="008000"/>
                <w:sz w:val="19"/>
              </w:rPr>
              <w:t>POST</w:t>
            </w:r>
          </w:p>
        </w:tc>
        <w:tc>
          <w:tcPr>
            <w:tcW w:type="dxa" w:w="1872"/>
          </w:tcPr>
          <w:p>
            <w:r>
              <w:rPr>
                <w:sz w:val="19"/>
              </w:rPr>
              <w:t>/v1/analytics/snapshots/recompute</w:t>
            </w:r>
          </w:p>
        </w:tc>
        <w:tc>
          <w:tcPr>
            <w:tcW w:type="dxa" w:w="1872"/>
          </w:tcPr>
          <w:p>
            <w:r>
              <w:rPr>
                <w:sz w:val="19"/>
              </w:rPr>
              <w:t>Trigger Manual Recompute</w:t>
            </w:r>
          </w:p>
        </w:tc>
        <w:tc>
          <w:tcPr>
            <w:tcW w:type="dxa" w:w="1872"/>
          </w:tcPr>
          <w:p>
            <w:r>
              <w:rPr>
                <w:sz w:val="19"/>
              </w:rPr>
              <w:t>RecomputeRequest -&gt; 202 Accepted (RecomputeJobResponse)</w:t>
            </w:r>
          </w:p>
        </w:tc>
        <w:tc>
          <w:tcPr>
            <w:tcW w:type="dxa" w:w="1872"/>
          </w:tcPr>
          <w:p>
            <w:r>
              <w:rPr>
                <w:sz w:val="19"/>
              </w:rPr>
              <w:t>202</w:t>
            </w:r>
          </w:p>
        </w:tc>
      </w:tr>
    </w:tbl>
    <w:p/>
    <w:p>
      <w:pPr>
        <w:pStyle w:val="Heading1"/>
      </w:pPr>
      <w:r>
        <w:rPr>
          <w:color w:val="003366"/>
        </w:rPr>
        <w:t>8. Security &amp; Compliance Service</w:t>
      </w:r>
    </w:p>
    <w:p>
      <w:r>
        <w:rPr>
          <w:i/>
          <w:sz w:val="21"/>
        </w:rPr>
        <w:t>Automated policy compliance checks and violation reporting.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r>
              <w:rPr>
                <w:b/>
                <w:color w:val="FFFFFF"/>
                <w:sz w:val="20"/>
              </w:rPr>
              <w:t>Method</w:t>
            </w:r>
          </w:p>
        </w:tc>
        <w:tc>
          <w:tcPr>
            <w:tcW w:type="dxa" w:w="1872"/>
            <w:shd w:fill="003366"/>
          </w:tcPr>
          <w:p>
            <w:r>
              <w:rPr>
                <w:b/>
                <w:color w:val="FFFFFF"/>
                <w:sz w:val="20"/>
              </w:rPr>
              <w:t>Endpoint</w:t>
            </w:r>
          </w:p>
        </w:tc>
        <w:tc>
          <w:tcPr>
            <w:tcW w:type="dxa" w:w="1872"/>
            <w:shd w:fill="003366"/>
          </w:tcPr>
          <w:p>
            <w:r>
              <w:rPr>
                <w:b/>
                <w:color w:val="FFFFFF"/>
                <w:sz w:val="20"/>
              </w:rPr>
              <w:t>Purpose</w:t>
            </w:r>
          </w:p>
        </w:tc>
        <w:tc>
          <w:tcPr>
            <w:tcW w:type="dxa" w:w="1872"/>
            <w:shd w:fill="003366"/>
          </w:tcPr>
          <w:p>
            <w:r>
              <w:rPr>
                <w:b/>
                <w:color w:val="FFFFFF"/>
                <w:sz w:val="20"/>
              </w:rPr>
              <w:t>Request / Response DTOs</w:t>
            </w:r>
          </w:p>
        </w:tc>
        <w:tc>
          <w:tcPr>
            <w:tcW w:type="dxa" w:w="1872"/>
            <w:shd w:fill="003366"/>
          </w:tcPr>
          <w:p>
            <w:r>
              <w:rPr>
                <w:b/>
                <w:color w:val="FFFFFF"/>
                <w:sz w:val="20"/>
              </w:rPr>
              <w:t>Status Codes</w:t>
            </w:r>
          </w:p>
        </w:tc>
      </w:tr>
      <w:tr>
        <w:tc>
          <w:tcPr>
            <w:tcW w:type="dxa" w:w="1872"/>
          </w:tcPr>
          <w:p>
            <w:r>
              <w:rPr>
                <w:b/>
                <w:color w:val="008000"/>
                <w:sz w:val="19"/>
              </w:rPr>
              <w:t>POST</w:t>
            </w:r>
          </w:p>
        </w:tc>
        <w:tc>
          <w:tcPr>
            <w:tcW w:type="dxa" w:w="1872"/>
          </w:tcPr>
          <w:p>
            <w:r>
              <w:rPr>
                <w:sz w:val="19"/>
              </w:rPr>
              <w:t>/v1/compliance-checks/run</w:t>
            </w:r>
          </w:p>
        </w:tc>
        <w:tc>
          <w:tcPr>
            <w:tcW w:type="dxa" w:w="1872"/>
          </w:tcPr>
          <w:p>
            <w:r>
              <w:rPr>
                <w:sz w:val="19"/>
              </w:rPr>
              <w:t>Trigger Compliance Check</w:t>
            </w:r>
          </w:p>
        </w:tc>
        <w:tc>
          <w:tcPr>
            <w:tcW w:type="dxa" w:w="1872"/>
          </w:tcPr>
          <w:p>
            <w:r>
              <w:rPr>
                <w:sz w:val="19"/>
              </w:rPr>
              <w:t>RunComplianceCheckRequest -&gt; 202 Accepted (ComplianceCheckTriggerResponse)</w:t>
            </w:r>
          </w:p>
        </w:tc>
        <w:tc>
          <w:tcPr>
            <w:tcW w:type="dxa" w:w="1872"/>
          </w:tcPr>
          <w:p>
            <w:r>
              <w:rPr>
                <w:sz w:val="19"/>
              </w:rPr>
              <w:t>202</w:t>
            </w:r>
          </w:p>
        </w:tc>
      </w:tr>
      <w:tr>
        <w:tc>
          <w:tcPr>
            <w:tcW w:type="dxa" w:w="1872"/>
          </w:tcPr>
          <w:p>
            <w:r>
              <w:rPr>
                <w:b/>
                <w:color w:val="003399"/>
                <w:sz w:val="19"/>
              </w:rPr>
              <w:t>GET</w:t>
            </w:r>
          </w:p>
        </w:tc>
        <w:tc>
          <w:tcPr>
            <w:tcW w:type="dxa" w:w="1872"/>
          </w:tcPr>
          <w:p>
            <w:r>
              <w:rPr>
                <w:sz w:val="19"/>
              </w:rPr>
              <w:t>/v1/compliance-checks/{institution_id}</w:t>
            </w:r>
          </w:p>
        </w:tc>
        <w:tc>
          <w:tcPr>
            <w:tcW w:type="dxa" w:w="1872"/>
          </w:tcPr>
          <w:p>
            <w:r>
              <w:rPr>
                <w:sz w:val="19"/>
              </w:rPr>
              <w:t>View Institute Compliance Results</w:t>
            </w:r>
          </w:p>
        </w:tc>
        <w:tc>
          <w:tcPr>
            <w:tcW w:type="dxa" w:w="1872"/>
          </w:tcPr>
          <w:p>
            <w:r>
              <w:rPr>
                <w:sz w:val="19"/>
              </w:rPr>
              <w:t>path: institution_id -&gt; 200 OK (ComplianceCheckResultResponse)</w:t>
            </w:r>
          </w:p>
        </w:tc>
        <w:tc>
          <w:tcPr>
            <w:tcW w:type="dxa" w:w="1872"/>
          </w:tcPr>
          <w:p>
            <w:r>
              <w:rPr>
                <w:sz w:val="19"/>
              </w:rPr>
              <w:t>200</w:t>
            </w:r>
          </w:p>
        </w:tc>
      </w:tr>
      <w:tr>
        <w:tc>
          <w:tcPr>
            <w:tcW w:type="dxa" w:w="1872"/>
          </w:tcPr>
          <w:p>
            <w:r>
              <w:rPr>
                <w:b/>
                <w:color w:val="003399"/>
                <w:sz w:val="19"/>
              </w:rPr>
              <w:t>GET</w:t>
            </w:r>
          </w:p>
        </w:tc>
        <w:tc>
          <w:tcPr>
            <w:tcW w:type="dxa" w:w="1872"/>
          </w:tcPr>
          <w:p>
            <w:r>
              <w:rPr>
                <w:sz w:val="19"/>
              </w:rPr>
              <w:t>/v1/compliance-checks</w:t>
            </w:r>
          </w:p>
        </w:tc>
        <w:tc>
          <w:tcPr>
            <w:tcW w:type="dxa" w:w="1872"/>
          </w:tcPr>
          <w:p>
            <w:r>
              <w:rPr>
                <w:sz w:val="19"/>
              </w:rPr>
              <w:t>List Non-Compliant Institutes</w:t>
            </w:r>
          </w:p>
        </w:tc>
        <w:tc>
          <w:tcPr>
            <w:tcW w:type="dxa" w:w="1872"/>
          </w:tcPr>
          <w:p>
            <w:r>
              <w:rPr>
                <w:sz w:val="19"/>
              </w:rPr>
              <w:t>query: flagged=true -&gt; 200 OK (List&lt;ComplianceCheckResultResponse&gt;)</w:t>
            </w:r>
          </w:p>
        </w:tc>
        <w:tc>
          <w:tcPr>
            <w:tcW w:type="dxa" w:w="1872"/>
          </w:tcPr>
          <w:p>
            <w:r>
              <w:rPr>
                <w:sz w:val="19"/>
              </w:rPr>
              <w:t>200</w:t>
            </w:r>
          </w:p>
        </w:tc>
      </w:tr>
    </w:tbl>
    <w:p/>
    <w:p>
      <w:pPr>
        <w:pStyle w:val="Heading1"/>
      </w:pPr>
      <w:r>
        <w:rPr>
          <w:color w:val="003366"/>
        </w:rPr>
        <w:t>9. Audit &amp; System Health Service</w:t>
      </w:r>
    </w:p>
    <w:p>
      <w:r>
        <w:rPr>
          <w:i/>
          <w:sz w:val="21"/>
        </w:rPr>
        <w:t>Immutable platform audit trail queries with strict Platform/Tenant audience boundary isolation (Story 53) and central health monitoring.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r>
              <w:rPr>
                <w:b/>
                <w:color w:val="FFFFFF"/>
                <w:sz w:val="20"/>
              </w:rPr>
              <w:t>Method</w:t>
            </w:r>
          </w:p>
        </w:tc>
        <w:tc>
          <w:tcPr>
            <w:tcW w:type="dxa" w:w="1872"/>
            <w:shd w:fill="003366"/>
          </w:tcPr>
          <w:p>
            <w:r>
              <w:rPr>
                <w:b/>
                <w:color w:val="FFFFFF"/>
                <w:sz w:val="20"/>
              </w:rPr>
              <w:t>Endpoint</w:t>
            </w:r>
          </w:p>
        </w:tc>
        <w:tc>
          <w:tcPr>
            <w:tcW w:type="dxa" w:w="1872"/>
            <w:shd w:fill="003366"/>
          </w:tcPr>
          <w:p>
            <w:r>
              <w:rPr>
                <w:b/>
                <w:color w:val="FFFFFF"/>
                <w:sz w:val="20"/>
              </w:rPr>
              <w:t>Purpose</w:t>
            </w:r>
          </w:p>
        </w:tc>
        <w:tc>
          <w:tcPr>
            <w:tcW w:type="dxa" w:w="1872"/>
            <w:shd w:fill="003366"/>
          </w:tcPr>
          <w:p>
            <w:r>
              <w:rPr>
                <w:b/>
                <w:color w:val="FFFFFF"/>
                <w:sz w:val="20"/>
              </w:rPr>
              <w:t>Request / Response DTOs</w:t>
            </w:r>
          </w:p>
        </w:tc>
        <w:tc>
          <w:tcPr>
            <w:tcW w:type="dxa" w:w="1872"/>
            <w:shd w:fill="003366"/>
          </w:tcPr>
          <w:p>
            <w:r>
              <w:rPr>
                <w:b/>
                <w:color w:val="FFFFFF"/>
                <w:sz w:val="20"/>
              </w:rPr>
              <w:t>Status Codes</w:t>
            </w:r>
          </w:p>
        </w:tc>
      </w:tr>
      <w:tr>
        <w:tc>
          <w:tcPr>
            <w:tcW w:type="dxa" w:w="1872"/>
          </w:tcPr>
          <w:p>
            <w:r>
              <w:rPr>
                <w:b/>
                <w:color w:val="003399"/>
                <w:sz w:val="19"/>
              </w:rPr>
              <w:t>GET</w:t>
            </w:r>
          </w:p>
        </w:tc>
        <w:tc>
          <w:tcPr>
            <w:tcW w:type="dxa" w:w="1872"/>
          </w:tcPr>
          <w:p>
            <w:r>
              <w:rPr>
                <w:sz w:val="19"/>
              </w:rPr>
              <w:t>/v1/platform-audit-logs</w:t>
            </w:r>
          </w:p>
        </w:tc>
        <w:tc>
          <w:tcPr>
            <w:tcW w:type="dxa" w:w="1872"/>
          </w:tcPr>
          <w:p>
            <w:r>
              <w:rPr>
                <w:sz w:val="19"/>
              </w:rPr>
              <w:t>Query Platform Audit Trail</w:t>
            </w:r>
          </w:p>
        </w:tc>
        <w:tc>
          <w:tcPr>
            <w:tcW w:type="dxa" w:w="1872"/>
          </w:tcPr>
          <w:p>
            <w:r>
              <w:rPr>
                <w:sz w:val="19"/>
              </w:rPr>
              <w:t>query: event_type, institution_id, page, size (Strictly Platform Audits)</w:t>
            </w:r>
          </w:p>
        </w:tc>
        <w:tc>
          <w:tcPr>
            <w:tcW w:type="dxa" w:w="1872"/>
          </w:tcPr>
          <w:p>
            <w:r>
              <w:rPr>
                <w:sz w:val="19"/>
              </w:rPr>
              <w:t>200</w:t>
            </w:r>
          </w:p>
        </w:tc>
      </w:tr>
      <w:tr>
        <w:tc>
          <w:tcPr>
            <w:tcW w:type="dxa" w:w="1872"/>
          </w:tcPr>
          <w:p>
            <w:r>
              <w:rPr>
                <w:b/>
                <w:color w:val="003399"/>
                <w:sz w:val="19"/>
              </w:rPr>
              <w:t>GET</w:t>
            </w:r>
          </w:p>
        </w:tc>
        <w:tc>
          <w:tcPr>
            <w:tcW w:type="dxa" w:w="1872"/>
          </w:tcPr>
          <w:p>
            <w:r>
              <w:rPr>
                <w:sz w:val="19"/>
              </w:rPr>
              <w:t>/v1/system-health</w:t>
            </w:r>
          </w:p>
        </w:tc>
        <w:tc>
          <w:tcPr>
            <w:tcW w:type="dxa" w:w="1872"/>
          </w:tcPr>
          <w:p>
            <w:r>
              <w:rPr>
                <w:sz w:val="19"/>
              </w:rPr>
              <w:t>View Aggregated System Health</w:t>
            </w:r>
          </w:p>
        </w:tc>
        <w:tc>
          <w:tcPr>
            <w:tcW w:type="dxa" w:w="1872"/>
          </w:tcPr>
          <w:p>
            <w:r>
              <w:rPr>
                <w:sz w:val="19"/>
              </w:rPr>
              <w:t>None -&gt; 200 OK (SystemHealthResponse)</w:t>
            </w:r>
          </w:p>
        </w:tc>
        <w:tc>
          <w:tcPr>
            <w:tcW w:type="dxa" w:w="1872"/>
          </w:tcPr>
          <w:p>
            <w:r>
              <w:rPr>
                <w:sz w:val="19"/>
              </w:rPr>
              <w:t>200</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