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448" w:rsidRDefault="00D53448" w:rsidP="00D534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RECORD OF REVISION</w:t>
      </w:r>
    </w:p>
    <w:tbl>
      <w:tblPr>
        <w:tblStyle w:val="TableGrid"/>
        <w:tblW w:w="10771" w:type="dxa"/>
        <w:tblLook w:val="04A0" w:firstRow="1" w:lastRow="0" w:firstColumn="1" w:lastColumn="0" w:noHBand="0" w:noVBand="1"/>
      </w:tblPr>
      <w:tblGrid>
        <w:gridCol w:w="2186"/>
        <w:gridCol w:w="2201"/>
        <w:gridCol w:w="4665"/>
        <w:gridCol w:w="1719"/>
      </w:tblGrid>
      <w:tr w:rsidR="00D53448" w:rsidTr="00750B05">
        <w:trPr>
          <w:trHeight w:val="970"/>
        </w:trPr>
        <w:tc>
          <w:tcPr>
            <w:tcW w:w="2186" w:type="dxa"/>
            <w:vAlign w:val="center"/>
          </w:tcPr>
          <w:p w:rsidR="00D53448" w:rsidRPr="00B50026" w:rsidRDefault="00D53448" w:rsidP="004635F8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>Rev.</w:t>
            </w:r>
          </w:p>
          <w:p w:rsidR="00D53448" w:rsidRPr="00B50026" w:rsidRDefault="00D53448" w:rsidP="004635F8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>Ident.</w:t>
            </w:r>
          </w:p>
        </w:tc>
        <w:tc>
          <w:tcPr>
            <w:tcW w:w="2201" w:type="dxa"/>
            <w:vAlign w:val="center"/>
          </w:tcPr>
          <w:p w:rsidR="00D53448" w:rsidRPr="00B50026" w:rsidRDefault="00D53448" w:rsidP="004635F8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>Rev.</w:t>
            </w:r>
          </w:p>
          <w:p w:rsidR="00D53448" w:rsidRPr="00B50026" w:rsidRDefault="00D53448" w:rsidP="004635F8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665" w:type="dxa"/>
            <w:vAlign w:val="center"/>
          </w:tcPr>
          <w:p w:rsidR="00D53448" w:rsidRPr="00B50026" w:rsidRDefault="00D53448" w:rsidP="004635F8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>Description of Revision</w:t>
            </w:r>
          </w:p>
        </w:tc>
        <w:tc>
          <w:tcPr>
            <w:tcW w:w="1719" w:type="dxa"/>
            <w:vAlign w:val="center"/>
          </w:tcPr>
          <w:p w:rsidR="00D53448" w:rsidRPr="00B50026" w:rsidRDefault="00D53448" w:rsidP="004635F8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 xml:space="preserve">Repair </w:t>
            </w:r>
          </w:p>
          <w:p w:rsidR="00D53448" w:rsidRPr="00B50026" w:rsidRDefault="00D53448" w:rsidP="004635F8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 xml:space="preserve">Station </w:t>
            </w:r>
          </w:p>
          <w:p w:rsidR="00D53448" w:rsidRPr="00B50026" w:rsidRDefault="00D53448" w:rsidP="004635F8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 xml:space="preserve">Approval </w:t>
            </w:r>
          </w:p>
        </w:tc>
      </w:tr>
      <w:tr w:rsidR="00D53448" w:rsidTr="00750B05">
        <w:trPr>
          <w:trHeight w:val="1123"/>
        </w:trPr>
        <w:tc>
          <w:tcPr>
            <w:tcW w:w="2186" w:type="dxa"/>
            <w:vAlign w:val="center"/>
          </w:tcPr>
          <w:p w:rsidR="00D53448" w:rsidRDefault="00D53448" w:rsidP="004635F8">
            <w:pPr>
              <w:jc w:val="center"/>
            </w:pPr>
            <w:r>
              <w:t>17</w:t>
            </w:r>
          </w:p>
        </w:tc>
        <w:tc>
          <w:tcPr>
            <w:tcW w:w="2201" w:type="dxa"/>
            <w:vAlign w:val="center"/>
          </w:tcPr>
          <w:p w:rsidR="00D53448" w:rsidRDefault="00D53448" w:rsidP="004635F8">
            <w:pPr>
              <w:jc w:val="center"/>
            </w:pPr>
            <w:r>
              <w:t>10/2016</w:t>
            </w:r>
          </w:p>
        </w:tc>
        <w:tc>
          <w:tcPr>
            <w:tcW w:w="4665" w:type="dxa"/>
            <w:vAlign w:val="center"/>
          </w:tcPr>
          <w:p w:rsidR="00D53448" w:rsidRDefault="00D53448" w:rsidP="00750B05">
            <w:pPr>
              <w:spacing w:after="0"/>
            </w:pPr>
            <w:r>
              <w:t xml:space="preserve">Added Additional Fixed Location at </w:t>
            </w:r>
            <w:proofErr w:type="spellStart"/>
            <w:r>
              <w:t>Borsight</w:t>
            </w:r>
            <w:proofErr w:type="spellEnd"/>
            <w:r>
              <w:t xml:space="preserve"> Inc. Hanger at Ogden-Hinckley Airport Ogden, Utah</w:t>
            </w:r>
          </w:p>
          <w:p w:rsidR="00750B05" w:rsidRDefault="00B44B89" w:rsidP="00750B05">
            <w:pPr>
              <w:spacing w:after="0"/>
            </w:pPr>
            <w:r>
              <w:t>Added Hanger floor plans</w:t>
            </w:r>
            <w:r w:rsidR="00750B05">
              <w:t xml:space="preserve"> for Tac Air, </w:t>
            </w:r>
            <w:proofErr w:type="spellStart"/>
            <w:r w:rsidR="00750B05">
              <w:t>Borsight</w:t>
            </w:r>
            <w:proofErr w:type="spellEnd"/>
            <w:r w:rsidR="00750B05">
              <w:t xml:space="preserve"> and Aviation Services Group.</w:t>
            </w:r>
          </w:p>
        </w:tc>
        <w:tc>
          <w:tcPr>
            <w:tcW w:w="1719" w:type="dxa"/>
            <w:vAlign w:val="center"/>
          </w:tcPr>
          <w:p w:rsidR="00D53448" w:rsidRDefault="00D53448" w:rsidP="004635F8">
            <w:pPr>
              <w:jc w:val="center"/>
            </w:pPr>
            <w:r>
              <w:t>SEE LIST OF EFF. PAGES</w:t>
            </w:r>
          </w:p>
        </w:tc>
      </w:tr>
      <w:tr w:rsidR="000D50E6" w:rsidTr="00750B05">
        <w:trPr>
          <w:trHeight w:val="1123"/>
        </w:trPr>
        <w:tc>
          <w:tcPr>
            <w:tcW w:w="2186" w:type="dxa"/>
            <w:vAlign w:val="center"/>
          </w:tcPr>
          <w:p w:rsidR="000D50E6" w:rsidRDefault="000D50E6" w:rsidP="004635F8">
            <w:pPr>
              <w:jc w:val="center"/>
            </w:pPr>
            <w:r>
              <w:t>18</w:t>
            </w:r>
          </w:p>
        </w:tc>
        <w:tc>
          <w:tcPr>
            <w:tcW w:w="2201" w:type="dxa"/>
            <w:vAlign w:val="center"/>
          </w:tcPr>
          <w:p w:rsidR="000D50E6" w:rsidRDefault="000D50E6" w:rsidP="004635F8">
            <w:pPr>
              <w:jc w:val="center"/>
            </w:pPr>
            <w:r>
              <w:t>8/2017</w:t>
            </w:r>
          </w:p>
        </w:tc>
        <w:tc>
          <w:tcPr>
            <w:tcW w:w="4665" w:type="dxa"/>
            <w:vAlign w:val="center"/>
          </w:tcPr>
          <w:p w:rsidR="000D50E6" w:rsidRDefault="000D50E6" w:rsidP="00750B05">
            <w:pPr>
              <w:spacing w:after="0"/>
            </w:pPr>
            <w:r>
              <w:t xml:space="preserve">Revise floor plan for </w:t>
            </w:r>
            <w:r w:rsidR="00105B3F">
              <w:t xml:space="preserve">Additional Fixed Location at </w:t>
            </w:r>
            <w:r>
              <w:t>Av</w:t>
            </w:r>
            <w:r w:rsidR="00105B3F">
              <w:t>iation Services Group, Hanger 52</w:t>
            </w:r>
            <w:r>
              <w:t xml:space="preserve">G </w:t>
            </w:r>
            <w:r w:rsidR="00D4254D">
              <w:t xml:space="preserve">at St George Regional Airport </w:t>
            </w:r>
            <w:r>
              <w:t xml:space="preserve">St George, Utah. Relocate Kings Avionics Office and test equipment storage from parts room to </w:t>
            </w:r>
            <w:r w:rsidR="00843440">
              <w:t xml:space="preserve">front </w:t>
            </w:r>
            <w:r>
              <w:t>office</w:t>
            </w:r>
            <w:r w:rsidR="00843440">
              <w:t xml:space="preserve"> area.</w:t>
            </w:r>
            <w:r w:rsidR="00D4254D">
              <w:t xml:space="preserve"> </w:t>
            </w:r>
          </w:p>
        </w:tc>
        <w:tc>
          <w:tcPr>
            <w:tcW w:w="1719" w:type="dxa"/>
            <w:vAlign w:val="center"/>
          </w:tcPr>
          <w:p w:rsidR="000D50E6" w:rsidRDefault="00D4254D" w:rsidP="004635F8">
            <w:pPr>
              <w:jc w:val="center"/>
            </w:pPr>
            <w:r>
              <w:t>SEE LIST OF EFF. PAGES</w:t>
            </w:r>
          </w:p>
        </w:tc>
      </w:tr>
      <w:tr w:rsidR="00BF3919" w:rsidTr="00750B05">
        <w:trPr>
          <w:trHeight w:val="1123"/>
        </w:trPr>
        <w:tc>
          <w:tcPr>
            <w:tcW w:w="2186" w:type="dxa"/>
            <w:vAlign w:val="center"/>
          </w:tcPr>
          <w:p w:rsidR="00BF3919" w:rsidRDefault="00BF3919" w:rsidP="004635F8">
            <w:pPr>
              <w:jc w:val="center"/>
            </w:pPr>
            <w:r>
              <w:t>19</w:t>
            </w:r>
          </w:p>
        </w:tc>
        <w:tc>
          <w:tcPr>
            <w:tcW w:w="2201" w:type="dxa"/>
            <w:vAlign w:val="center"/>
          </w:tcPr>
          <w:p w:rsidR="00BF3919" w:rsidRDefault="00BF3919" w:rsidP="004635F8">
            <w:pPr>
              <w:jc w:val="center"/>
            </w:pPr>
            <w:r>
              <w:t>2/2018</w:t>
            </w:r>
          </w:p>
        </w:tc>
        <w:tc>
          <w:tcPr>
            <w:tcW w:w="4665" w:type="dxa"/>
            <w:vAlign w:val="center"/>
          </w:tcPr>
          <w:p w:rsidR="00BF3919" w:rsidRDefault="00BF3919" w:rsidP="00750B05">
            <w:pPr>
              <w:spacing w:after="0"/>
            </w:pPr>
            <w:r>
              <w:t>Update Cover page, floor plans and housing to reflect voluntary surrender of KD6D661N Air Agency Certificate</w:t>
            </w:r>
            <w:r w:rsidR="00CD3334">
              <w:t xml:space="preserve">. Removed Additional Fixed Location at </w:t>
            </w:r>
            <w:proofErr w:type="spellStart"/>
            <w:r w:rsidR="00CD3334">
              <w:t>Borsight</w:t>
            </w:r>
            <w:proofErr w:type="spellEnd"/>
            <w:r w:rsidR="00CD3334">
              <w:t xml:space="preserve"> Inc. </w:t>
            </w:r>
            <w:bookmarkStart w:id="0" w:name="_GoBack"/>
            <w:bookmarkEnd w:id="0"/>
          </w:p>
        </w:tc>
        <w:tc>
          <w:tcPr>
            <w:tcW w:w="1719" w:type="dxa"/>
            <w:vAlign w:val="center"/>
          </w:tcPr>
          <w:p w:rsidR="00BF3919" w:rsidRDefault="00BF3919" w:rsidP="004635F8">
            <w:pPr>
              <w:jc w:val="center"/>
            </w:pPr>
            <w:r>
              <w:t>SEE LIST OF EFF, PAGES</w:t>
            </w:r>
          </w:p>
        </w:tc>
      </w:tr>
    </w:tbl>
    <w:p w:rsidR="00D53448" w:rsidRPr="0043460A" w:rsidRDefault="00D53448" w:rsidP="00D53448">
      <w:pPr>
        <w:rPr>
          <w:sz w:val="28"/>
          <w:szCs w:val="28"/>
        </w:rPr>
      </w:pPr>
    </w:p>
    <w:p w:rsidR="00053B9E" w:rsidRDefault="00053B9E"/>
    <w:p w:rsidR="00053B9E" w:rsidRPr="00053B9E" w:rsidRDefault="00053B9E" w:rsidP="00053B9E"/>
    <w:p w:rsidR="00053B9E" w:rsidRPr="00053B9E" w:rsidRDefault="00053B9E" w:rsidP="00053B9E"/>
    <w:p w:rsidR="00053B9E" w:rsidRPr="00053B9E" w:rsidRDefault="00053B9E" w:rsidP="00053B9E"/>
    <w:p w:rsidR="00053B9E" w:rsidRPr="00053B9E" w:rsidRDefault="00053B9E" w:rsidP="00053B9E"/>
    <w:p w:rsidR="00053B9E" w:rsidRPr="00053B9E" w:rsidRDefault="00053B9E" w:rsidP="00053B9E"/>
    <w:p w:rsidR="00053B9E" w:rsidRPr="00053B9E" w:rsidRDefault="00053B9E" w:rsidP="00053B9E"/>
    <w:p w:rsidR="00053B9E" w:rsidRPr="00053B9E" w:rsidRDefault="00053B9E" w:rsidP="00053B9E"/>
    <w:p w:rsidR="00053B9E" w:rsidRPr="00053B9E" w:rsidRDefault="00053B9E" w:rsidP="00053B9E"/>
    <w:p w:rsidR="00053B9E" w:rsidRPr="00053B9E" w:rsidRDefault="00053B9E" w:rsidP="00053B9E"/>
    <w:p w:rsidR="00053B9E" w:rsidRDefault="00053B9E" w:rsidP="00053B9E"/>
    <w:p w:rsidR="003303BC" w:rsidRPr="00053B9E" w:rsidRDefault="003303BC" w:rsidP="00053B9E">
      <w:pPr>
        <w:ind w:firstLine="720"/>
      </w:pPr>
    </w:p>
    <w:sectPr w:rsidR="003303BC" w:rsidRPr="00053B9E" w:rsidSect="00B44E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4A7" w:rsidRDefault="005D14A7" w:rsidP="00D53448">
      <w:pPr>
        <w:spacing w:after="0" w:line="240" w:lineRule="auto"/>
      </w:pPr>
      <w:r>
        <w:separator/>
      </w:r>
    </w:p>
  </w:endnote>
  <w:endnote w:type="continuationSeparator" w:id="0">
    <w:p w:rsidR="005D14A7" w:rsidRDefault="005D14A7" w:rsidP="00D5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B9E" w:rsidRDefault="00053B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118" w:rsidRPr="000443F8" w:rsidRDefault="005D14A7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Rev. 1</w:t>
    </w:r>
    <w:r w:rsidR="00053B9E">
      <w:rPr>
        <w:rFonts w:ascii="Times New Roman" w:hAnsi="Times New Roman" w:cs="Times New Roman"/>
        <w:sz w:val="20"/>
        <w:szCs w:val="20"/>
      </w:rPr>
      <w:t>9</w:t>
    </w:r>
    <w:r w:rsidRPr="000443F8">
      <w:rPr>
        <w:rFonts w:ascii="Times New Roman" w:hAnsi="Times New Roman" w:cs="Times New Roman"/>
        <w:sz w:val="20"/>
        <w:szCs w:val="20"/>
      </w:rPr>
      <w:tab/>
    </w:r>
    <w:r w:rsidRPr="000443F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0443F8">
      <w:rPr>
        <w:rFonts w:ascii="Times New Roman" w:hAnsi="Times New Roman" w:cs="Times New Roman"/>
        <w:sz w:val="20"/>
        <w:szCs w:val="20"/>
      </w:rPr>
      <w:t>Page v</w:t>
    </w:r>
    <w:r w:rsidR="00D53448">
      <w:rPr>
        <w:rFonts w:ascii="Times New Roman" w:hAnsi="Times New Roman" w:cs="Times New Roman"/>
        <w:sz w:val="20"/>
        <w:szCs w:val="20"/>
      </w:rPr>
      <w:t>i</w:t>
    </w:r>
  </w:p>
  <w:p w:rsidR="000B4118" w:rsidRPr="000443F8" w:rsidRDefault="005D14A7">
    <w:pPr>
      <w:pStyle w:val="Footer"/>
      <w:rPr>
        <w:rFonts w:ascii="Times New Roman" w:hAnsi="Times New Roman" w:cs="Times New Roman"/>
        <w:sz w:val="20"/>
        <w:szCs w:val="20"/>
      </w:rPr>
    </w:pPr>
    <w:r w:rsidRPr="000443F8">
      <w:rPr>
        <w:rFonts w:ascii="Times New Roman" w:hAnsi="Times New Roman" w:cs="Times New Roman"/>
        <w:sz w:val="20"/>
        <w:szCs w:val="20"/>
      </w:rPr>
      <w:tab/>
    </w:r>
    <w:r w:rsidRPr="000443F8">
      <w:rPr>
        <w:rFonts w:ascii="Times New Roman" w:hAnsi="Times New Roman" w:cs="Times New Roman"/>
        <w:sz w:val="20"/>
        <w:szCs w:val="20"/>
      </w:rPr>
      <w:tab/>
      <w:t xml:space="preserve">DATED </w:t>
    </w:r>
    <w:r w:rsidR="00053B9E">
      <w:rPr>
        <w:rFonts w:ascii="Times New Roman" w:hAnsi="Times New Roman" w:cs="Times New Roman"/>
        <w:sz w:val="20"/>
        <w:szCs w:val="20"/>
      </w:rPr>
      <w:t>02/2018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B9E" w:rsidRDefault="00053B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4A7" w:rsidRDefault="005D14A7" w:rsidP="00D53448">
      <w:pPr>
        <w:spacing w:after="0" w:line="240" w:lineRule="auto"/>
      </w:pPr>
      <w:r>
        <w:separator/>
      </w:r>
    </w:p>
  </w:footnote>
  <w:footnote w:type="continuationSeparator" w:id="0">
    <w:p w:rsidR="005D14A7" w:rsidRDefault="005D14A7" w:rsidP="00D53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B9E" w:rsidRDefault="00053B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026" w:rsidRDefault="005D14A7" w:rsidP="00B50026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KINGS AVIONICS</w:t>
    </w:r>
  </w:p>
  <w:p w:rsidR="00B50026" w:rsidRDefault="005D14A7" w:rsidP="00B50026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REPAIR STATION </w:t>
    </w:r>
  </w:p>
  <w:p w:rsidR="00B50026" w:rsidRPr="00B50026" w:rsidRDefault="005D14A7" w:rsidP="00B50026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MANUAL</w:t>
    </w:r>
  </w:p>
  <w:p w:rsidR="00B50026" w:rsidRDefault="00CD333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B9E" w:rsidRDefault="00053B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48"/>
    <w:rsid w:val="00053B9E"/>
    <w:rsid w:val="000D50E6"/>
    <w:rsid w:val="00105B3F"/>
    <w:rsid w:val="003303BC"/>
    <w:rsid w:val="003A10AF"/>
    <w:rsid w:val="005D14A7"/>
    <w:rsid w:val="00750B05"/>
    <w:rsid w:val="00843440"/>
    <w:rsid w:val="00B44B89"/>
    <w:rsid w:val="00BF3919"/>
    <w:rsid w:val="00CD3334"/>
    <w:rsid w:val="00D4254D"/>
    <w:rsid w:val="00D5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5F83A-E0E2-4939-95D3-CB8DFD2C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44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44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5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448"/>
    <w:rPr>
      <w:rFonts w:eastAsiaTheme="minorEastAsia"/>
    </w:rPr>
  </w:style>
  <w:style w:type="table" w:styleId="TableGrid">
    <w:name w:val="Table Grid"/>
    <w:basedOn w:val="TableNormal"/>
    <w:uiPriority w:val="59"/>
    <w:rsid w:val="00D5344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2824</TotalTime>
  <Pages>2</Pages>
  <Words>122</Words>
  <Characters>650</Characters>
  <Application>Microsoft Office Word</Application>
  <DocSecurity>0</DocSecurity>
  <Lines>50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Hayden</dc:creator>
  <cp:keywords/>
  <dc:description/>
  <cp:lastModifiedBy>Steve Hayden</cp:lastModifiedBy>
  <cp:revision>9</cp:revision>
  <dcterms:created xsi:type="dcterms:W3CDTF">2016-10-11T18:29:00Z</dcterms:created>
  <dcterms:modified xsi:type="dcterms:W3CDTF">2018-02-15T23:19:00Z</dcterms:modified>
</cp:coreProperties>
</file>