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Cami Call</w:t>
      </w:r>
    </w:p>
    <w:p w:rsidR="00000000" w:rsidDel="00000000" w:rsidP="00000000" w:rsidRDefault="00000000" w:rsidRPr="00000000" w14:paraId="00000002">
      <w:pPr>
        <w:spacing w:after="0" w:before="0" w:line="240" w:lineRule="auto"/>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Cotiviti Written Report</w:t>
      </w:r>
    </w:p>
    <w:p w:rsidR="00000000" w:rsidDel="00000000" w:rsidP="00000000" w:rsidRDefault="00000000" w:rsidRPr="00000000" w14:paraId="00000003">
      <w:pPr>
        <w:spacing w:after="0" w:before="0" w:line="240" w:lineRule="auto"/>
        <w:rPr>
          <w:rFonts w:ascii="Calibri" w:cs="Calibri" w:eastAsia="Calibri" w:hAnsi="Calibri"/>
          <w:b w:val="1"/>
          <w:color w:val="212121"/>
          <w:sz w:val="26"/>
          <w:szCs w:val="26"/>
          <w:highlight w:val="white"/>
        </w:rPr>
      </w:pPr>
      <w:r w:rsidDel="00000000" w:rsidR="00000000" w:rsidRPr="00000000">
        <w:rPr>
          <w:rFonts w:ascii="Calibri" w:cs="Calibri" w:eastAsia="Calibri" w:hAnsi="Calibri"/>
          <w:color w:val="212121"/>
          <w:sz w:val="24"/>
          <w:szCs w:val="24"/>
          <w:highlight w:val="white"/>
          <w:rtl w:val="0"/>
        </w:rPr>
        <w:t xml:space="preserve">August 25, 2024</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b w:val="1"/>
          <w:color w:val="212121"/>
          <w:sz w:val="26"/>
          <w:szCs w:val="26"/>
          <w:highlight w:val="white"/>
        </w:rPr>
      </w:pP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color w:val="212121"/>
          <w:highlight w:val="white"/>
        </w:rPr>
      </w:pPr>
      <w:r w:rsidDel="00000000" w:rsidR="00000000" w:rsidRPr="00000000">
        <w:rPr>
          <w:rFonts w:ascii="Calibri" w:cs="Calibri" w:eastAsia="Calibri" w:hAnsi="Calibri"/>
          <w:b w:val="1"/>
          <w:color w:val="212121"/>
          <w:sz w:val="26"/>
          <w:szCs w:val="26"/>
          <w:highlight w:val="white"/>
          <w:rtl w:val="0"/>
        </w:rPr>
        <w:t xml:space="preserve">Clinical Decision Making and Pattern Recognition in Healthcare</w:t>
      </w: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b w:val="1"/>
          <w:color w:val="212121"/>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3"/>
        </w:numPr>
        <w:spacing w:after="240" w:before="240" w:line="24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Introduction</w:t>
      </w:r>
    </w:p>
    <w:p w:rsidR="00000000" w:rsidDel="00000000" w:rsidP="00000000" w:rsidRDefault="00000000" w:rsidRPr="00000000" w14:paraId="00000008">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Clinical decision-making is the cornerstone of healthcare, producing accurate diagnoses, driving true results through identified courses of treatment, and management of patients. Through the rapid evolution of healthcare data analytics, largely in pattern recognition, advanced methodologies have been born, such as chain reasoning, agentic generative AI, classification, prediction, inference, clustering, and time-series anomaly detection. These technologies have played a vital role in increasing not only the efficiency of clinical decisions, but the accuracy - especially in the context of Treatment, Payment, and Operations (TPO). Because of its leadership in healthcare analytics, Cotiviti is in a unique and opportune position to leverage these innovations to improve upon outcomes, reduce costs, and streamline operations. </w:t>
      </w:r>
    </w:p>
    <w:p w:rsidR="00000000" w:rsidDel="00000000" w:rsidP="00000000" w:rsidRDefault="00000000" w:rsidRPr="00000000" w14:paraId="00000009">
      <w:pPr>
        <w:numPr>
          <w:ilvl w:val="0"/>
          <w:numId w:val="3"/>
        </w:numPr>
        <w:spacing w:after="240" w:before="240" w:line="240" w:lineRule="auto"/>
        <w:ind w:left="720" w:hanging="360"/>
        <w:rPr>
          <w:rFonts w:ascii="Calibri" w:cs="Calibri" w:eastAsia="Calibri" w:hAnsi="Calibri"/>
          <w:b w:val="1"/>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Trend Analysis </w:t>
      </w:r>
    </w:p>
    <w:p w:rsidR="00000000" w:rsidDel="00000000" w:rsidP="00000000" w:rsidRDefault="00000000" w:rsidRPr="00000000" w14:paraId="0000000A">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In recent years, many industries have witnessed and experienced significant advancements in the adoption of artificial intelligence (AI) and machine learning (ML), and healthcare is certainly among them. Whether it be for chain reasoning, predictions, time-series anomaly detection, and more, AI and ML have played crucial roles in clinical decision-making, and will continue to. </w:t>
      </w:r>
    </w:p>
    <w:p w:rsidR="00000000" w:rsidDel="00000000" w:rsidP="00000000" w:rsidRDefault="00000000" w:rsidRPr="00000000" w14:paraId="0000000B">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b w:val="1"/>
          <w:color w:val="212121"/>
          <w:highlight w:val="white"/>
          <w:rtl w:val="0"/>
        </w:rPr>
        <w:t xml:space="preserve">Chain reasoning,</w:t>
      </w:r>
      <w:r w:rsidDel="00000000" w:rsidR="00000000" w:rsidRPr="00000000">
        <w:rPr>
          <w:rFonts w:ascii="Calibri" w:cs="Calibri" w:eastAsia="Calibri" w:hAnsi="Calibri"/>
          <w:color w:val="212121"/>
          <w:highlight w:val="white"/>
          <w:rtl w:val="0"/>
        </w:rPr>
        <w:t xml:space="preserve"> which entails making informed decisions through linking medical events and data points, has become majorly important in complicated cases where many variables must be taken into consideration. </w:t>
      </w:r>
      <w:r w:rsidDel="00000000" w:rsidR="00000000" w:rsidRPr="00000000">
        <w:rPr>
          <w:rFonts w:ascii="Calibri" w:cs="Calibri" w:eastAsia="Calibri" w:hAnsi="Calibri"/>
          <w:b w:val="1"/>
          <w:color w:val="212121"/>
          <w:highlight w:val="white"/>
          <w:rtl w:val="0"/>
        </w:rPr>
        <w:t xml:space="preserve">Agentic generative AI,</w:t>
      </w:r>
      <w:r w:rsidDel="00000000" w:rsidR="00000000" w:rsidRPr="00000000">
        <w:rPr>
          <w:rFonts w:ascii="Calibri" w:cs="Calibri" w:eastAsia="Calibri" w:hAnsi="Calibri"/>
          <w:color w:val="212121"/>
          <w:highlight w:val="white"/>
          <w:rtl w:val="0"/>
        </w:rPr>
        <w:t xml:space="preserve"> a process in which AI simulates human-like decisions, is being used in the healthcare world to predict the health outcomes of patients and create personalized treatment plans. </w:t>
      </w:r>
      <w:r w:rsidDel="00000000" w:rsidR="00000000" w:rsidRPr="00000000">
        <w:rPr>
          <w:rFonts w:ascii="Calibri" w:cs="Calibri" w:eastAsia="Calibri" w:hAnsi="Calibri"/>
          <w:b w:val="1"/>
          <w:color w:val="212121"/>
          <w:highlight w:val="white"/>
          <w:rtl w:val="0"/>
        </w:rPr>
        <w:t xml:space="preserve">Classification </w:t>
      </w:r>
      <w:r w:rsidDel="00000000" w:rsidR="00000000" w:rsidRPr="00000000">
        <w:rPr>
          <w:rFonts w:ascii="Calibri" w:cs="Calibri" w:eastAsia="Calibri" w:hAnsi="Calibri"/>
          <w:color w:val="212121"/>
          <w:highlight w:val="white"/>
          <w:rtl w:val="0"/>
        </w:rPr>
        <w:t xml:space="preserve">and </w:t>
      </w:r>
      <w:r w:rsidDel="00000000" w:rsidR="00000000" w:rsidRPr="00000000">
        <w:rPr>
          <w:rFonts w:ascii="Calibri" w:cs="Calibri" w:eastAsia="Calibri" w:hAnsi="Calibri"/>
          <w:b w:val="1"/>
          <w:color w:val="212121"/>
          <w:highlight w:val="white"/>
          <w:rtl w:val="0"/>
        </w:rPr>
        <w:t xml:space="preserve">prediction models</w:t>
      </w:r>
      <w:r w:rsidDel="00000000" w:rsidR="00000000" w:rsidRPr="00000000">
        <w:rPr>
          <w:rFonts w:ascii="Calibri" w:cs="Calibri" w:eastAsia="Calibri" w:hAnsi="Calibri"/>
          <w:color w:val="212121"/>
          <w:highlight w:val="white"/>
          <w:rtl w:val="0"/>
        </w:rPr>
        <w:t xml:space="preserve"> are now big players in diagnosing diseases, predicting treatment outcomes, and optimizing recovery strategies.</w:t>
      </w:r>
      <w:r w:rsidDel="00000000" w:rsidR="00000000" w:rsidRPr="00000000">
        <w:rPr>
          <w:rFonts w:ascii="Calibri" w:cs="Calibri" w:eastAsia="Calibri" w:hAnsi="Calibri"/>
          <w:b w:val="1"/>
          <w:color w:val="212121"/>
          <w:highlight w:val="white"/>
          <w:rtl w:val="0"/>
        </w:rPr>
        <w:t xml:space="preserve"> Inference, </w:t>
      </w:r>
      <w:r w:rsidDel="00000000" w:rsidR="00000000" w:rsidRPr="00000000">
        <w:rPr>
          <w:rFonts w:ascii="Calibri" w:cs="Calibri" w:eastAsia="Calibri" w:hAnsi="Calibri"/>
          <w:color w:val="212121"/>
          <w:highlight w:val="white"/>
          <w:rtl w:val="0"/>
        </w:rPr>
        <w:t xml:space="preserve">the process of deriving conclusions from data, has been greatly improved upon by ML algorithms that have the ability to analyze overwhelming datasets to extrapolate patterns and correlations that may be overlooked by human clinicians. </w:t>
      </w:r>
      <w:r w:rsidDel="00000000" w:rsidR="00000000" w:rsidRPr="00000000">
        <w:rPr>
          <w:rFonts w:ascii="Calibri" w:cs="Calibri" w:eastAsia="Calibri" w:hAnsi="Calibri"/>
          <w:b w:val="1"/>
          <w:color w:val="212121"/>
          <w:highlight w:val="white"/>
          <w:rtl w:val="0"/>
        </w:rPr>
        <w:t xml:space="preserve">Clustering,</w:t>
      </w:r>
      <w:r w:rsidDel="00000000" w:rsidR="00000000" w:rsidRPr="00000000">
        <w:rPr>
          <w:rFonts w:ascii="Calibri" w:cs="Calibri" w:eastAsia="Calibri" w:hAnsi="Calibri"/>
          <w:color w:val="212121"/>
          <w:highlight w:val="white"/>
          <w:rtl w:val="0"/>
        </w:rPr>
        <w:t xml:space="preserve"> or the grouping of similar data points, can be used to identify and form patient subgroups with similar characteristics, fostering more targeted interventions. </w:t>
      </w:r>
      <w:r w:rsidDel="00000000" w:rsidR="00000000" w:rsidRPr="00000000">
        <w:rPr>
          <w:rFonts w:ascii="Calibri" w:cs="Calibri" w:eastAsia="Calibri" w:hAnsi="Calibri"/>
          <w:b w:val="1"/>
          <w:color w:val="212121"/>
          <w:highlight w:val="white"/>
          <w:rtl w:val="0"/>
        </w:rPr>
        <w:t xml:space="preserve">Time-series anomaly detection, </w:t>
      </w:r>
      <w:r w:rsidDel="00000000" w:rsidR="00000000" w:rsidRPr="00000000">
        <w:rPr>
          <w:rFonts w:ascii="Calibri" w:cs="Calibri" w:eastAsia="Calibri" w:hAnsi="Calibri"/>
          <w:color w:val="212121"/>
          <w:highlight w:val="white"/>
          <w:rtl w:val="0"/>
        </w:rPr>
        <w:t xml:space="preserve">a method in which unusual occurrences/patterns within data can be identified over time, is specifically valuable in monitoring patient vital signs and predicting/detecting potential health issues before they become life-threatening. Not only have these innovative technologies improved the accuracy of clinical decision-making, but they have heavily streamlined operations and resources required for diagnoses and treatments, and in turn, have majorly cut operational costs.  </w:t>
      </w:r>
      <w:r w:rsidDel="00000000" w:rsidR="00000000" w:rsidRPr="00000000">
        <w:rPr>
          <w:rtl w:val="0"/>
        </w:rPr>
      </w:r>
    </w:p>
    <w:p w:rsidR="00000000" w:rsidDel="00000000" w:rsidP="00000000" w:rsidRDefault="00000000" w:rsidRPr="00000000" w14:paraId="0000000C">
      <w:pPr>
        <w:numPr>
          <w:ilvl w:val="0"/>
          <w:numId w:val="3"/>
        </w:numPr>
        <w:spacing w:after="240" w:before="240" w:line="240" w:lineRule="auto"/>
        <w:ind w:left="720" w:hanging="360"/>
        <w:rPr>
          <w:rFonts w:ascii="Calibri" w:cs="Calibri" w:eastAsia="Calibri" w:hAnsi="Calibri"/>
          <w:b w:val="1"/>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Opportunities and Threats</w:t>
      </w:r>
    </w:p>
    <w:p w:rsidR="00000000" w:rsidDel="00000000" w:rsidP="00000000" w:rsidRDefault="00000000" w:rsidRPr="00000000" w14:paraId="0000000D">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For Cotiviti, these technological advancements within the healthcare field have generated significant growth opportunities. Through the integration of chain reasoning and generative AI into its analytics platform, Cotiviti can offer a suite of sophisticated tools to healthcare providers for improved patient care. With the ability to better predict patient outcomes, Cotiviti can help to deliver improved treatment plans, increased patient satisfaction, and lower costs. Additionally, by utilizing classification and clustering techniques, Cotivit can aid healthcare organizations in identifying patients who are high-risk and tailor interventions to prevent costly complications. </w:t>
      </w:r>
    </w:p>
    <w:p w:rsidR="00000000" w:rsidDel="00000000" w:rsidP="00000000" w:rsidRDefault="00000000" w:rsidRPr="00000000" w14:paraId="0000000E">
      <w:pPr>
        <w:spacing w:after="240" w:before="240" w:line="240" w:lineRule="auto"/>
        <w:ind w:left="720" w:firstLine="0"/>
        <w:rPr>
          <w:rFonts w:ascii="Calibri" w:cs="Calibri" w:eastAsia="Calibri" w:hAnsi="Calibri"/>
          <w:b w:val="1"/>
          <w:color w:val="212121"/>
          <w:sz w:val="24"/>
          <w:szCs w:val="24"/>
          <w:highlight w:val="white"/>
        </w:rPr>
      </w:pPr>
      <w:r w:rsidDel="00000000" w:rsidR="00000000" w:rsidRPr="00000000">
        <w:rPr>
          <w:rFonts w:ascii="Calibri" w:cs="Calibri" w:eastAsia="Calibri" w:hAnsi="Calibri"/>
          <w:color w:val="212121"/>
          <w:highlight w:val="white"/>
          <w:rtl w:val="0"/>
        </w:rPr>
        <w:t xml:space="preserve">However, that is not to say these opportunities do not come with their own set of challenges. Significant investments into infrastructure and talent must be made for the integration of AI and ML technologies. Another large consideration is data privacy, as the use of patient data in AI algorithms must be compliant with strict regulations. Furthermore, the complex nature of these technologies may lead to challenges pertaining to integration, namely for healthcare organizations with legacy systems.</w:t>
      </w:r>
      <w:r w:rsidDel="00000000" w:rsidR="00000000" w:rsidRPr="00000000">
        <w:rPr>
          <w:rFonts w:ascii="Calibri" w:cs="Calibri" w:eastAsia="Calibri" w:hAnsi="Calibri"/>
          <w:b w:val="1"/>
          <w:color w:val="212121"/>
          <w:sz w:val="24"/>
          <w:szCs w:val="24"/>
          <w:highlight w:val="white"/>
          <w:rtl w:val="0"/>
        </w:rPr>
        <w:t xml:space="preserve"> </w:t>
      </w:r>
    </w:p>
    <w:p w:rsidR="00000000" w:rsidDel="00000000" w:rsidP="00000000" w:rsidRDefault="00000000" w:rsidRPr="00000000" w14:paraId="0000000F">
      <w:pPr>
        <w:numPr>
          <w:ilvl w:val="0"/>
          <w:numId w:val="3"/>
        </w:numPr>
        <w:spacing w:after="240" w:before="240" w:line="240" w:lineRule="auto"/>
        <w:ind w:left="720" w:hanging="360"/>
        <w:rPr>
          <w:rFonts w:ascii="Calibri" w:cs="Calibri" w:eastAsia="Calibri" w:hAnsi="Calibri"/>
          <w:b w:val="1"/>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Strategic Recommendations </w:t>
      </w:r>
    </w:p>
    <w:p w:rsidR="00000000" w:rsidDel="00000000" w:rsidP="00000000" w:rsidRDefault="00000000" w:rsidRPr="00000000" w14:paraId="00000010">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To capitalize on these trends and opportunities, Cotiviti should consider the following strategic actions:</w:t>
      </w:r>
    </w:p>
    <w:p w:rsidR="00000000" w:rsidDel="00000000" w:rsidP="00000000" w:rsidRDefault="00000000" w:rsidRPr="00000000" w14:paraId="00000011">
      <w:pPr>
        <w:numPr>
          <w:ilvl w:val="0"/>
          <w:numId w:val="1"/>
        </w:numPr>
        <w:spacing w:after="0" w:afterAutospacing="0" w:before="240"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Invest in AI and ML Capabilities: Cotiviti should enhance its AI and ML capabilities, particularly in chain reasoning, generative AI, and time-series anomaly detection. This will provide the company with the tools it needs to offer more advanced analytics solutions to healthcare providers, improving clinical outcomes and operational efficiency.</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Develop Strategic Partnerships: Cotiviti should seek partnerships with AI and ML technology providers to accelerate the development and integration of these technologies into its platform. Collaborating with academic institutions and research organizations can also help Cotiviti stay at the forefront of AI innovation in healthcare.</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Focus on Data Privacy and Security: As AI and ML rely heavily on data, Cotiviti must prioritize data privacy and security. Implementing robust data governance frameworks and ensuring compliance with healthcare regulations will be crucial in gaining the trust of healthcare providers and patients.</w:t>
      </w:r>
    </w:p>
    <w:p w:rsidR="00000000" w:rsidDel="00000000" w:rsidP="00000000" w:rsidRDefault="00000000" w:rsidRPr="00000000" w14:paraId="00000014">
      <w:pPr>
        <w:numPr>
          <w:ilvl w:val="0"/>
          <w:numId w:val="1"/>
        </w:numPr>
        <w:spacing w:after="200" w:afterAutospacing="0" w:before="0" w:line="240" w:lineRule="auto"/>
        <w:ind w:left="720" w:hanging="360"/>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highlight w:val="white"/>
          <w:rtl w:val="0"/>
        </w:rPr>
        <w:t xml:space="preserve">Offer Tailored Solutions: By leveraging its expertise in classification and clustering, Cotiviti can develop personalized analytics solutions for specific healthcare segments, such as chronic disease management, population health, and value-based care. This will allow the company to address the unique needs of different healthcare providers and improve patient outcomes.</w:t>
      </w:r>
      <w:r w:rsidDel="00000000" w:rsidR="00000000" w:rsidRPr="00000000">
        <w:rPr>
          <w:rFonts w:ascii="Calibri" w:cs="Calibri" w:eastAsia="Calibri" w:hAnsi="Calibri"/>
          <w:b w:val="1"/>
          <w:color w:val="212121"/>
          <w:sz w:val="24"/>
          <w:szCs w:val="24"/>
          <w:highlight w:val="white"/>
          <w:rtl w:val="0"/>
        </w:rPr>
        <w:t xml:space="preserve"> </w:t>
      </w:r>
    </w:p>
    <w:p w:rsidR="00000000" w:rsidDel="00000000" w:rsidP="00000000" w:rsidRDefault="00000000" w:rsidRPr="00000000" w14:paraId="00000015">
      <w:pPr>
        <w:numPr>
          <w:ilvl w:val="0"/>
          <w:numId w:val="3"/>
        </w:numPr>
        <w:spacing w:after="240" w:before="200" w:beforeAutospacing="0" w:line="240" w:lineRule="auto"/>
        <w:ind w:left="720" w:hanging="360"/>
        <w:rPr>
          <w:rFonts w:ascii="Calibri" w:cs="Calibri" w:eastAsia="Calibri" w:hAnsi="Calibri"/>
          <w:b w:val="1"/>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Conclusion </w:t>
      </w:r>
      <w:r w:rsidDel="00000000" w:rsidR="00000000" w:rsidRPr="00000000">
        <w:rPr>
          <w:rtl w:val="0"/>
        </w:rPr>
      </w:r>
    </w:p>
    <w:p w:rsidR="00000000" w:rsidDel="00000000" w:rsidP="00000000" w:rsidRDefault="00000000" w:rsidRPr="00000000" w14:paraId="00000016">
      <w:pPr>
        <w:spacing w:after="240" w:before="240" w:line="240" w:lineRule="auto"/>
        <w:ind w:left="720" w:firstLine="0"/>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The integration of AI and ML into clinical decision-making and pattern recognition presents a huge growth opportunity for Cotiviti as a business. By investing now in advanced technologies, fostering strategic partnerships, and prioritizing data security and privacy, Cotiviti can further solidify its position as a leader in healthcare analytics. Not only will these strategic actions improve upon Cotiviti’s offerings, but they also will contribute to better patient outcomes and efficient operations.</w:t>
      </w:r>
    </w:p>
    <w:p w:rsidR="00000000" w:rsidDel="00000000" w:rsidP="00000000" w:rsidRDefault="00000000" w:rsidRPr="00000000" w14:paraId="00000017">
      <w:pPr>
        <w:spacing w:after="240" w:before="240" w:line="240" w:lineRule="auto"/>
        <w:ind w:left="0" w:firstLine="0"/>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18">
      <w:pPr>
        <w:spacing w:after="240" w:before="240" w:line="240" w:lineRule="auto"/>
        <w:ind w:left="0" w:firstLine="0"/>
        <w:rPr>
          <w:rFonts w:ascii="Calibri" w:cs="Calibri" w:eastAsia="Calibri" w:hAnsi="Calibri"/>
          <w:b w:val="1"/>
          <w:color w:val="212121"/>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Bibliography</w:t>
      </w:r>
    </w:p>
    <w:p w:rsidR="00000000" w:rsidDel="00000000" w:rsidP="00000000" w:rsidRDefault="00000000" w:rsidRPr="00000000" w14:paraId="00000019">
      <w:pPr>
        <w:numPr>
          <w:ilvl w:val="0"/>
          <w:numId w:val="2"/>
        </w:numPr>
        <w:spacing w:after="0" w:afterAutospacing="0" w:before="240" w:line="240" w:lineRule="auto"/>
        <w:ind w:left="720" w:hanging="360"/>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Celi, Leo A., et al. "Health Care in the Age of AI: The Impact of Artificial Intelligence on Clinical Decision-Making." </w:t>
      </w:r>
      <w:r w:rsidDel="00000000" w:rsidR="00000000" w:rsidRPr="00000000">
        <w:rPr>
          <w:rFonts w:ascii="Calibri" w:cs="Calibri" w:eastAsia="Calibri" w:hAnsi="Calibri"/>
          <w:i w:val="1"/>
          <w:color w:val="212121"/>
          <w:sz w:val="20"/>
          <w:szCs w:val="20"/>
          <w:highlight w:val="white"/>
          <w:rtl w:val="0"/>
        </w:rPr>
        <w:t xml:space="preserve">The Lancet Digital Health</w:t>
      </w:r>
      <w:r w:rsidDel="00000000" w:rsidR="00000000" w:rsidRPr="00000000">
        <w:rPr>
          <w:rFonts w:ascii="Calibri" w:cs="Calibri" w:eastAsia="Calibri" w:hAnsi="Calibri"/>
          <w:color w:val="212121"/>
          <w:sz w:val="20"/>
          <w:szCs w:val="20"/>
          <w:highlight w:val="white"/>
          <w:rtl w:val="0"/>
        </w:rPr>
        <w:t xml:space="preserve">, vol. 2, no. 3, 2020, pp. e101-e103.</w:t>
      </w:r>
    </w:p>
    <w:p w:rsidR="00000000" w:rsidDel="00000000" w:rsidP="00000000" w:rsidRDefault="00000000" w:rsidRPr="00000000" w14:paraId="0000001A">
      <w:pPr>
        <w:numPr>
          <w:ilvl w:val="0"/>
          <w:numId w:val="2"/>
        </w:numPr>
        <w:spacing w:after="0" w:afterAutospacing="0" w:before="0" w:beforeAutospacing="0" w:line="240" w:lineRule="auto"/>
        <w:ind w:left="720" w:hanging="360"/>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Obermeyer, Ziad, and Ezekiel J. Emanuel. "Predicting the Future—Big Data, Machine Learning, and Clinical Medicine." </w:t>
      </w:r>
      <w:r w:rsidDel="00000000" w:rsidR="00000000" w:rsidRPr="00000000">
        <w:rPr>
          <w:rFonts w:ascii="Calibri" w:cs="Calibri" w:eastAsia="Calibri" w:hAnsi="Calibri"/>
          <w:i w:val="1"/>
          <w:color w:val="212121"/>
          <w:sz w:val="20"/>
          <w:szCs w:val="20"/>
          <w:highlight w:val="white"/>
          <w:rtl w:val="0"/>
        </w:rPr>
        <w:t xml:space="preserve">The New England Journal of Medicine</w:t>
      </w:r>
      <w:r w:rsidDel="00000000" w:rsidR="00000000" w:rsidRPr="00000000">
        <w:rPr>
          <w:rFonts w:ascii="Calibri" w:cs="Calibri" w:eastAsia="Calibri" w:hAnsi="Calibri"/>
          <w:color w:val="212121"/>
          <w:sz w:val="20"/>
          <w:szCs w:val="20"/>
          <w:highlight w:val="white"/>
          <w:rtl w:val="0"/>
        </w:rPr>
        <w:t xml:space="preserve">, vol. 375, no. 13, 2016, pp. 1216-1219.</w:t>
      </w:r>
    </w:p>
    <w:p w:rsidR="00000000" w:rsidDel="00000000" w:rsidP="00000000" w:rsidRDefault="00000000" w:rsidRPr="00000000" w14:paraId="0000001B">
      <w:pPr>
        <w:numPr>
          <w:ilvl w:val="0"/>
          <w:numId w:val="2"/>
        </w:numPr>
        <w:spacing w:after="240" w:before="0" w:beforeAutospacing="0" w:line="240" w:lineRule="auto"/>
        <w:ind w:left="720" w:hanging="360"/>
        <w:rPr>
          <w:rFonts w:ascii="Calibri" w:cs="Calibri" w:eastAsia="Calibri" w:hAnsi="Calibri"/>
          <w:color w:val="212121"/>
          <w:sz w:val="20"/>
          <w:szCs w:val="20"/>
          <w:highlight w:val="white"/>
        </w:rPr>
      </w:pPr>
      <w:r w:rsidDel="00000000" w:rsidR="00000000" w:rsidRPr="00000000">
        <w:rPr>
          <w:rFonts w:ascii="Calibri" w:cs="Calibri" w:eastAsia="Calibri" w:hAnsi="Calibri"/>
          <w:color w:val="212121"/>
          <w:sz w:val="20"/>
          <w:szCs w:val="20"/>
          <w:highlight w:val="white"/>
          <w:rtl w:val="0"/>
        </w:rPr>
        <w:t xml:space="preserve">Topol, Eric J. "High-Performance Medicine: The Convergence of Human and Artificial Intelligence." </w:t>
      </w:r>
      <w:r w:rsidDel="00000000" w:rsidR="00000000" w:rsidRPr="00000000">
        <w:rPr>
          <w:rFonts w:ascii="Calibri" w:cs="Calibri" w:eastAsia="Calibri" w:hAnsi="Calibri"/>
          <w:i w:val="1"/>
          <w:color w:val="212121"/>
          <w:sz w:val="20"/>
          <w:szCs w:val="20"/>
          <w:highlight w:val="white"/>
          <w:rtl w:val="0"/>
        </w:rPr>
        <w:t xml:space="preserve">Nature Medicine</w:t>
      </w:r>
      <w:r w:rsidDel="00000000" w:rsidR="00000000" w:rsidRPr="00000000">
        <w:rPr>
          <w:rFonts w:ascii="Calibri" w:cs="Calibri" w:eastAsia="Calibri" w:hAnsi="Calibri"/>
          <w:color w:val="212121"/>
          <w:sz w:val="20"/>
          <w:szCs w:val="20"/>
          <w:highlight w:val="white"/>
          <w:rtl w:val="0"/>
        </w:rPr>
        <w:t xml:space="preserve">, vol. 25, no. 1, 2019, pp. 44-56.</w:t>
      </w:r>
    </w:p>
    <w:p w:rsidR="00000000" w:rsidDel="00000000" w:rsidP="00000000" w:rsidRDefault="00000000" w:rsidRPr="00000000" w14:paraId="0000001C">
      <w:pPr>
        <w:spacing w:after="240" w:before="240" w:line="240" w:lineRule="auto"/>
        <w:ind w:left="0" w:firstLine="0"/>
        <w:rPr>
          <w:rFonts w:ascii="Calibri" w:cs="Calibri" w:eastAsia="Calibri" w:hAnsi="Calibri"/>
          <w:color w:val="212121"/>
          <w:sz w:val="20"/>
          <w:szCs w:val="20"/>
          <w:highlight w:val="white"/>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rPr>
          <w:rFonts w:ascii="Calibri" w:cs="Calibri" w:eastAsia="Calibri" w:hAnsi="Calibri"/>
          <w:color w:val="212121"/>
          <w:sz w:val="20"/>
          <w:szCs w:val="20"/>
          <w:highlight w:val="white"/>
        </w:rPr>
      </w:pP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color w:val="212121"/>
          <w:sz w:val="20"/>
          <w:szCs w:val="20"/>
          <w:highlight w:val="white"/>
        </w:rPr>
      </w:pP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color w:val="212121"/>
          <w:sz w:val="20"/>
          <w:szCs w:val="20"/>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212121"/>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