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669280" cy="518216"/>
            <wp:docPr id="1" name="Picture 1"/>
            <wp:cNvGraphicFramePr>
              <a:graphicFrameLocks noChangeAspect="1"/>
            </wp:cNvGraphicFramePr>
            <a:graphic>
              <a:graphicData uri="http://schemas.openxmlformats.org/drawingml/2006/picture">
                <pic:pic>
                  <pic:nvPicPr>
                    <pic:cNvPr id="0" name="oncocel_letterhead.png"/>
                    <pic:cNvPicPr/>
                  </pic:nvPicPr>
                  <pic:blipFill>
                    <a:blip r:embed="rId9"/>
                    <a:stretch>
                      <a:fillRect/>
                    </a:stretch>
                  </pic:blipFill>
                  <pic:spPr>
                    <a:xfrm>
                      <a:off x="0" y="0"/>
                      <a:ext cx="5669280" cy="518216"/>
                    </a:xfrm>
                    <a:prstGeom prst="rect"/>
                  </pic:spPr>
                </pic:pic>
              </a:graphicData>
            </a:graphic>
          </wp:inline>
        </w:drawing>
      </w:r>
    </w:p>
    <w:p>
      <w:pPr>
        <w:jc w:val="left"/>
      </w:pPr>
      <w:r>
        <w:rPr>
          <w:rFonts w:ascii="Calibri" w:hAnsi="Calibri"/>
          <w:b/>
          <w:color w:val="0C2340"/>
          <w:sz w:val="40"/>
        </w:rPr>
        <w:t>Volume Growth Notification</w:t>
      </w:r>
    </w:p>
    <w:p>
      <w:r>
        <w:rPr>
          <w:rFonts w:ascii="Calibri" w:hAnsi="Calibri"/>
          <w:color w:val="1B5E8A"/>
          <w:sz w:val="22"/>
        </w:rPr>
        <w:t>Prepared for American Red Cross (ARC)</w:t>
      </w:r>
    </w:p>
    <w:p>
      <w:r>
        <w:rPr>
          <w:rFonts w:ascii="Calibri" w:hAnsi="Calibri"/>
          <w:i/>
          <w:color w:val="666666"/>
          <w:sz w:val="18"/>
        </w:rPr>
        <w:t>Apheresis &amp; Cell Processing Services — Anticipated Volume Increase</w:t>
      </w:r>
    </w:p>
    <w:p>
      <w:r>
        <w:rPr>
          <w:rFonts w:ascii="Calibri" w:hAnsi="Calibri"/>
          <w:color w:val="999999"/>
          <w:sz w:val="17"/>
        </w:rPr>
        <w:t>June 2026  ·  Confidential</w:t>
      </w:r>
    </w:p>
    <w:p>
      <w:r>
        <w:rPr>
          <w:rFonts w:ascii="Calibri" w:hAnsi="Calibri"/>
          <w:b/>
          <w:color w:val="C4A35A"/>
          <w:sz w:val="18"/>
        </w:rPr>
        <w:t xml:space="preserve">01  </w:t>
      </w:r>
      <w:r>
        <w:rPr>
          <w:rFonts w:ascii="Calibri" w:hAnsi="Calibri"/>
          <w:b/>
          <w:color w:val="0C2340"/>
          <w:sz w:val="26"/>
        </w:rPr>
        <w:t>CONTEXT</w:t>
      </w:r>
    </w:p>
    <w:p>
      <w:pPr>
        <w:pBdr>
          <w:bottom w:val="single" w:sz="6" w:space="1" w:color="C4A35A"/>
        </w:pBdr>
      </w:pPr>
    </w:p>
    <w:p>
      <w:r>
        <w:rPr>
          <w:rFonts w:ascii="Calibri" w:hAnsi="Calibri"/>
          <w:b w:val="0"/>
          <w:color w:val="333333"/>
          <w:sz w:val="18"/>
        </w:rPr>
        <w:t>OncoCel LLC is launching a BMTCI Program (Hematopoietic Stem Cell Transplantation &amp; Cellular Immunotherapy) at the Centro Comprensivo de Cancer de la Universidad de Puerto Rico (CCCUPR), with clinical operations beginning August 2026. The program will deliver autologous HCT, CAR-T cellular therapy, and — in later phases — allogeneic transplant and gene therapy on-island for the first time.</w:t>
      </w:r>
    </w:p>
    <w:p>
      <w:r>
        <w:rPr>
          <w:rFonts w:ascii="Calibri" w:hAnsi="Calibri"/>
          <w:b w:val="0"/>
          <w:color w:val="333333"/>
          <w:sz w:val="18"/>
        </w:rPr>
        <w:t>OncoCel works with TCT Oncology, which operates the established allogeneic HSCT program and CIBMTR reporting infrastructure at Auxilio Mutuo Hospital (HAM). This collaboration creates Puerto Rico's first comprehensive cellular therapy network — with CCCUPR handling autologous HCT and CAR-T, and HAM continuing as the allo-HSCT center through TCT Oncology.</w:t>
      </w:r>
    </w:p>
    <w:p>
      <w:r>
        <w:rPr>
          <w:rFonts w:ascii="Calibri" w:hAnsi="Calibri"/>
          <w:b w:val="0"/>
          <w:color w:val="333333"/>
          <w:sz w:val="18"/>
        </w:rPr>
        <w:t>ARC is the only FACT-accredited apheresis and cell processing provider on the island. As OncoCel scales the BMTCI Program at CCCUPR and referral volume to HAM increases, ARC's collection and processing workload will grow significantly.</w:t>
      </w:r>
    </w:p>
    <w:p>
      <w:pPr>
        <w:ind w:left="216"/>
        <w:pBdr>
          <w:left w:val="single" w:sz="18" w:space="8" w:color="C4A35A"/>
        </w:pBdr>
      </w:pPr>
      <w:r>
        <w:rPr>
          <w:rFonts w:ascii="Calibri" w:hAnsi="Calibri"/>
          <w:b/>
          <w:color w:val="0C2340"/>
          <w:sz w:val="17"/>
        </w:rPr>
        <w:t>Purpose: Provide ARC advance notice of anticipated volume growth driven by OncoCel's BMTCI Program at CCCUPR and the associated referral pipeline to HAM, enabling capacity planning, contract scope review, and service continuity.</w:t>
      </w:r>
    </w:p>
    <w:p>
      <w:r>
        <w:rPr>
          <w:rFonts w:ascii="Calibri" w:hAnsi="Calibri"/>
          <w:b/>
          <w:color w:val="C4A35A"/>
          <w:sz w:val="18"/>
        </w:rPr>
        <w:t xml:space="preserve">02  </w:t>
      </w:r>
      <w:r>
        <w:rPr>
          <w:rFonts w:ascii="Calibri" w:hAnsi="Calibri"/>
          <w:b/>
          <w:color w:val="0C2340"/>
          <w:sz w:val="26"/>
        </w:rPr>
        <w:t>PROGRAM PHASES</w:t>
      </w:r>
    </w:p>
    <w:p>
      <w:pPr>
        <w:pBdr>
          <w:bottom w:val="single" w:sz="6" w:space="1" w:color="C4A35A"/>
        </w:pBdr>
      </w:pPr>
    </w:p>
    <w:tbl>
      <w:tblPr>
        <w:tblW w:type="auto" w:w="0"/>
        <w:jc w:val="center"/>
        <w:tblLayout w:type="autofit"/>
        <w:tblLook w:firstColumn="1" w:firstRow="1" w:lastColumn="0" w:lastRow="0" w:noHBand="0" w:noVBand="1" w:val="04A0"/>
      </w:tblPr>
      <w:tblGrid>
        <w:gridCol w:w="2436"/>
        <w:gridCol w:w="2436"/>
        <w:gridCol w:w="2436"/>
        <w:gridCol w:w="2436"/>
      </w:tblGrid>
      <w:tr>
        <w:tc>
          <w:tcPr>
            <w:tcW w:type="dxa" w:w="2436"/>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Phase</w:t>
            </w:r>
          </w:p>
        </w:tc>
        <w:tc>
          <w:tcPr>
            <w:tcW w:type="dxa" w:w="2436"/>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Timeline</w:t>
            </w:r>
          </w:p>
        </w:tc>
        <w:tc>
          <w:tcPr>
            <w:tcW w:type="dxa" w:w="2436"/>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Scope</w:t>
            </w:r>
          </w:p>
        </w:tc>
        <w:tc>
          <w:tcPr>
            <w:tcW w:type="dxa" w:w="2436"/>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Volume Target</w:t>
            </w:r>
          </w:p>
        </w:tc>
      </w:tr>
      <w:tr>
        <w:tc>
          <w:tcPr>
            <w:tcW w:type="dxa" w:w="2436"/>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Phase 1</w:t>
            </w:r>
          </w:p>
        </w:tc>
        <w:tc>
          <w:tcPr>
            <w:tcW w:type="dxa" w:w="2436"/>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Year 1 (Aug 2026–2027)</w:t>
            </w:r>
          </w:p>
        </w:tc>
        <w:tc>
          <w:tcPr>
            <w:tcW w:type="dxa" w:w="2436"/>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Autologous HCT</w:t>
            </w:r>
          </w:p>
        </w:tc>
        <w:tc>
          <w:tcPr>
            <w:tcW w:type="dxa" w:w="2436"/>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10–15 auto-HCTs</w:t>
            </w:r>
          </w:p>
        </w:tc>
      </w:tr>
      <w:tr>
        <w:tc>
          <w:tcPr>
            <w:tcW w:type="dxa" w:w="2436"/>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Phase 2</w:t>
            </w:r>
          </w:p>
        </w:tc>
        <w:tc>
          <w:tcPr>
            <w:tcW w:type="dxa" w:w="2436"/>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Year 2–3 (2028–2029)</w:t>
            </w:r>
          </w:p>
        </w:tc>
        <w:tc>
          <w:tcPr>
            <w:tcW w:type="dxa" w:w="2436"/>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 CAR-T + Donor Search</w:t>
            </w:r>
          </w:p>
        </w:tc>
        <w:tc>
          <w:tcPr>
            <w:tcW w:type="dxa" w:w="2436"/>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1E8849"/>
                <w:sz w:val="16"/>
              </w:rPr>
              <w:t>20–30+ transplants/yr</w:t>
            </w:r>
          </w:p>
        </w:tc>
      </w:tr>
      <w:tr>
        <w:tc>
          <w:tcPr>
            <w:tcW w:type="dxa" w:w="2436"/>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Phase 3</w:t>
            </w:r>
          </w:p>
        </w:tc>
        <w:tc>
          <w:tcPr>
            <w:tcW w:type="dxa" w:w="2436"/>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1E8849"/>
                <w:sz w:val="16"/>
              </w:rPr>
              <w:t>Year 3+ (2029+)</w:t>
            </w:r>
          </w:p>
        </w:tc>
        <w:tc>
          <w:tcPr>
            <w:tcW w:type="dxa" w:w="2436"/>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 Allogeneic HCT + Gene Therapy</w:t>
            </w:r>
          </w:p>
        </w:tc>
        <w:tc>
          <w:tcPr>
            <w:tcW w:type="dxa" w:w="2436"/>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Full-spectrum program</w:t>
            </w:r>
          </w:p>
        </w:tc>
      </w:tr>
    </w:tbl>
    <w:p>
      <w:r>
        <w:rPr>
          <w:rFonts w:ascii="Calibri" w:hAnsi="Calibri"/>
          <w:b w:val="0"/>
          <w:color w:val="333333"/>
          <w:sz w:val="18"/>
        </w:rPr>
      </w:r>
    </w:p>
    <w:p>
      <w:r>
        <w:rPr>
          <w:rFonts w:ascii="Calibri" w:hAnsi="Calibri"/>
          <w:b w:val="0"/>
          <w:color w:val="333333"/>
          <w:sz w:val="17"/>
        </w:rPr>
        <w:t>OncoCel works with TCT Oncology at Auxilio Mutuo Hospital (HAM) for allogeneic HSCT. Patients identified at CCCUPR who need allo-HSCT will be referred to HAM through TCT Oncology, generating additional donor collection volume for ARC.</w:t>
      </w:r>
    </w:p>
    <w:p>
      <w:r>
        <w:rPr>
          <w:rFonts w:ascii="Calibri" w:hAnsi="Calibri"/>
          <w:b/>
          <w:color w:val="C4A35A"/>
          <w:sz w:val="18"/>
        </w:rPr>
        <w:t xml:space="preserve">03  </w:t>
      </w:r>
      <w:r>
        <w:rPr>
          <w:rFonts w:ascii="Calibri" w:hAnsi="Calibri"/>
          <w:b/>
          <w:color w:val="0C2340"/>
          <w:sz w:val="26"/>
        </w:rPr>
        <w:t>PROJECTED ARC COLLECTION VOLUMES</w:t>
      </w:r>
    </w:p>
    <w:p>
      <w:pPr>
        <w:pBdr>
          <w:bottom w:val="single" w:sz="6" w:space="1" w:color="C4A35A"/>
        </w:pBdr>
      </w:pPr>
    </w:p>
    <w:p>
      <w:r>
        <w:rPr>
          <w:rFonts w:ascii="Calibri" w:hAnsi="Calibri"/>
          <w:b/>
          <w:color w:val="007C8A"/>
          <w:sz w:val="18"/>
        </w:rPr>
        <w:t>All volumes below represent new programmatic activity. This is not a redistribution of existing ARC workload.</w:t>
      </w:r>
    </w:p>
    <w:tbl>
      <w:tblPr>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ARC Service</w:t>
            </w:r>
          </w:p>
        </w:tc>
        <w:tc>
          <w:tcPr>
            <w:tcW w:type="dxa" w:w="19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Year 1</w:t>
            </w:r>
          </w:p>
        </w:tc>
        <w:tc>
          <w:tcPr>
            <w:tcW w:type="dxa" w:w="19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Year 2</w:t>
            </w:r>
          </w:p>
        </w:tc>
        <w:tc>
          <w:tcPr>
            <w:tcW w:type="dxa" w:w="19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Year 3</w:t>
            </w:r>
          </w:p>
        </w:tc>
        <w:tc>
          <w:tcPr>
            <w:tcW w:type="dxa" w:w="19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Year 5</w:t>
            </w:r>
          </w:p>
        </w:tc>
      </w:tr>
      <w:tr>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Autologous HSC collections (CCCUPR)</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12–18</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22–32</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30–42</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40–55</w:t>
            </w:r>
          </w:p>
        </w:tc>
      </w:tr>
      <w:tr>
        <w:tc>
          <w:tcPr>
            <w:tcW w:type="dxa" w:w="19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CAR-T leukapheresis (CCCUPR)</w:t>
            </w:r>
          </w:p>
        </w:tc>
        <w:tc>
          <w:tcPr>
            <w:tcW w:type="dxa" w:w="19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4–8</w:t>
            </w:r>
          </w:p>
        </w:tc>
        <w:tc>
          <w:tcPr>
            <w:tcW w:type="dxa" w:w="19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10–14</w:t>
            </w:r>
          </w:p>
        </w:tc>
        <w:tc>
          <w:tcPr>
            <w:tcW w:type="dxa" w:w="19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16–22</w:t>
            </w:r>
          </w:p>
        </w:tc>
        <w:tc>
          <w:tcPr>
            <w:tcW w:type="dxa" w:w="19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30–45</w:t>
            </w:r>
          </w:p>
        </w:tc>
      </w:tr>
      <w:tr>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Allo donor collections (HAM via TCT)</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4–6</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8–12</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10–15</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15–22</w:t>
            </w:r>
          </w:p>
        </w:tc>
      </w:tr>
      <w:tr>
        <w:tc>
          <w:tcPr>
            <w:tcW w:type="dxa" w:w="19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07C8A"/>
                <w:sz w:val="16"/>
              </w:rPr>
              <w:t>Total apheresis procedures</w:t>
            </w:r>
          </w:p>
        </w:tc>
        <w:tc>
          <w:tcPr>
            <w:tcW w:type="dxa" w:w="19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20–32</w:t>
            </w:r>
          </w:p>
        </w:tc>
        <w:tc>
          <w:tcPr>
            <w:tcW w:type="dxa" w:w="19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40–58</w:t>
            </w:r>
          </w:p>
        </w:tc>
        <w:tc>
          <w:tcPr>
            <w:tcW w:type="dxa" w:w="19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56–80</w:t>
            </w:r>
          </w:p>
        </w:tc>
        <w:tc>
          <w:tcPr>
            <w:tcW w:type="dxa" w:w="19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85–122</w:t>
            </w:r>
          </w:p>
        </w:tc>
      </w:tr>
    </w:tbl>
    <w:p>
      <w:r>
        <w:rPr>
          <w:rFonts w:ascii="Calibri" w:hAnsi="Calibri"/>
          <w:b w:val="0"/>
          <w:color w:val="333333"/>
          <w:sz w:val="18"/>
        </w:rPr>
      </w:r>
    </w:p>
    <w:p>
      <w:r>
        <w:rPr>
          <w:rFonts w:ascii="Calibri" w:hAnsi="Calibri"/>
          <w:b/>
          <w:color w:val="1B5E8A"/>
          <w:sz w:val="18"/>
        </w:rPr>
        <w:t>Supporting processing volume:</w:t>
      </w:r>
    </w:p>
    <w:tbl>
      <w:tblPr>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fill="0C2340"/>
            <w:tcBorders>
              <w:top w:val="single" w:sz="2" w:space="0" w:color="0C2340"/>
              <w:bottom w:val="single" w:sz="2" w:space="0" w:color="0C2340"/>
              <w:left w:val="single" w:sz="2" w:space="0" w:color="0C2340"/>
              <w:right w:val="single" w:sz="2" w:space="0" w:color="0C2340"/>
            </w:tcBorders>
            <w:tcMar>
              <w:top w:w="45" w:type="dxa"/>
              <w:bottom w:w="45" w:type="dxa"/>
              <w:left w:w="80" w:type="dxa"/>
              <w:right w:w="80" w:type="dxa"/>
            </w:tcMar>
          </w:tcPr>
          <w:p>
            <w:pPr>
              <w:jc w:val="center"/>
            </w:pPr>
            <w:r/>
            <w:r>
              <w:rPr>
                <w:rFonts w:ascii="Calibri" w:hAnsi="Calibri"/>
                <w:b/>
                <w:color w:val="FFFFFF"/>
                <w:sz w:val="16"/>
              </w:rPr>
              <w:t>Processing Service</w:t>
            </w:r>
          </w:p>
        </w:tc>
        <w:tc>
          <w:tcPr>
            <w:tcW w:type="dxa" w:w="1949"/>
            <w:shd w:fill="0C2340"/>
            <w:tcBorders>
              <w:top w:val="single" w:sz="2" w:space="0" w:color="0C2340"/>
              <w:bottom w:val="single" w:sz="2" w:space="0" w:color="0C2340"/>
              <w:left w:val="single" w:sz="2" w:space="0" w:color="0C2340"/>
              <w:right w:val="single" w:sz="2" w:space="0" w:color="0C2340"/>
            </w:tcBorders>
            <w:tcMar>
              <w:top w:w="45" w:type="dxa"/>
              <w:bottom w:w="45" w:type="dxa"/>
              <w:left w:w="80" w:type="dxa"/>
              <w:right w:w="80" w:type="dxa"/>
            </w:tcMar>
          </w:tcPr>
          <w:p>
            <w:pPr>
              <w:jc w:val="center"/>
            </w:pPr>
            <w:r/>
            <w:r>
              <w:rPr>
                <w:rFonts w:ascii="Calibri" w:hAnsi="Calibri"/>
                <w:b/>
                <w:color w:val="FFFFFF"/>
                <w:sz w:val="16"/>
              </w:rPr>
              <w:t>Year 1</w:t>
            </w:r>
          </w:p>
        </w:tc>
        <w:tc>
          <w:tcPr>
            <w:tcW w:type="dxa" w:w="1949"/>
            <w:shd w:fill="0C2340"/>
            <w:tcBorders>
              <w:top w:val="single" w:sz="2" w:space="0" w:color="0C2340"/>
              <w:bottom w:val="single" w:sz="2" w:space="0" w:color="0C2340"/>
              <w:left w:val="single" w:sz="2" w:space="0" w:color="0C2340"/>
              <w:right w:val="single" w:sz="2" w:space="0" w:color="0C2340"/>
            </w:tcBorders>
            <w:tcMar>
              <w:top w:w="45" w:type="dxa"/>
              <w:bottom w:w="45" w:type="dxa"/>
              <w:left w:w="80" w:type="dxa"/>
              <w:right w:w="80" w:type="dxa"/>
            </w:tcMar>
          </w:tcPr>
          <w:p>
            <w:pPr>
              <w:jc w:val="center"/>
            </w:pPr>
            <w:r/>
            <w:r>
              <w:rPr>
                <w:rFonts w:ascii="Calibri" w:hAnsi="Calibri"/>
                <w:b/>
                <w:color w:val="FFFFFF"/>
                <w:sz w:val="16"/>
              </w:rPr>
              <w:t>Year 2</w:t>
            </w:r>
          </w:p>
        </w:tc>
        <w:tc>
          <w:tcPr>
            <w:tcW w:type="dxa" w:w="1949"/>
            <w:shd w:fill="0C2340"/>
            <w:tcBorders>
              <w:top w:val="single" w:sz="2" w:space="0" w:color="0C2340"/>
              <w:bottom w:val="single" w:sz="2" w:space="0" w:color="0C2340"/>
              <w:left w:val="single" w:sz="2" w:space="0" w:color="0C2340"/>
              <w:right w:val="single" w:sz="2" w:space="0" w:color="0C2340"/>
            </w:tcBorders>
            <w:tcMar>
              <w:top w:w="45" w:type="dxa"/>
              <w:bottom w:w="45" w:type="dxa"/>
              <w:left w:w="80" w:type="dxa"/>
              <w:right w:w="80" w:type="dxa"/>
            </w:tcMar>
          </w:tcPr>
          <w:p>
            <w:pPr>
              <w:jc w:val="center"/>
            </w:pPr>
            <w:r/>
            <w:r>
              <w:rPr>
                <w:rFonts w:ascii="Calibri" w:hAnsi="Calibri"/>
                <w:b/>
                <w:color w:val="FFFFFF"/>
                <w:sz w:val="16"/>
              </w:rPr>
              <w:t>Year 3</w:t>
            </w:r>
          </w:p>
        </w:tc>
        <w:tc>
          <w:tcPr>
            <w:tcW w:type="dxa" w:w="1949"/>
            <w:shd w:fill="0C2340"/>
            <w:tcBorders>
              <w:top w:val="single" w:sz="2" w:space="0" w:color="0C2340"/>
              <w:bottom w:val="single" w:sz="2" w:space="0" w:color="0C2340"/>
              <w:left w:val="single" w:sz="2" w:space="0" w:color="0C2340"/>
              <w:right w:val="single" w:sz="2" w:space="0" w:color="0C2340"/>
            </w:tcBorders>
            <w:tcMar>
              <w:top w:w="45" w:type="dxa"/>
              <w:bottom w:w="45" w:type="dxa"/>
              <w:left w:w="80" w:type="dxa"/>
              <w:right w:w="80" w:type="dxa"/>
            </w:tcMar>
          </w:tcPr>
          <w:p>
            <w:pPr>
              <w:jc w:val="center"/>
            </w:pPr>
            <w:r/>
            <w:r>
              <w:rPr>
                <w:rFonts w:ascii="Calibri" w:hAnsi="Calibri"/>
                <w:b/>
                <w:color w:val="FFFFFF"/>
                <w:sz w:val="16"/>
              </w:rPr>
              <w:t>Year 5</w:t>
            </w:r>
          </w:p>
        </w:tc>
      </w:tr>
      <w:tr>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Cryopreservation events</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16–24</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30–44</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40–57</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55–77</w:t>
            </w:r>
          </w:p>
        </w:tc>
      </w:tr>
      <w:tr>
        <w:tc>
          <w:tcPr>
            <w:tcW w:type="dxa" w:w="19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Product release testing</w:t>
            </w:r>
          </w:p>
        </w:tc>
        <w:tc>
          <w:tcPr>
            <w:tcW w:type="dxa" w:w="19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20–32</w:t>
            </w:r>
          </w:p>
        </w:tc>
        <w:tc>
          <w:tcPr>
            <w:tcW w:type="dxa" w:w="19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40–58</w:t>
            </w:r>
          </w:p>
        </w:tc>
        <w:tc>
          <w:tcPr>
            <w:tcW w:type="dxa" w:w="19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56–80</w:t>
            </w:r>
          </w:p>
        </w:tc>
        <w:tc>
          <w:tcPr>
            <w:tcW w:type="dxa" w:w="19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85–122</w:t>
            </w:r>
          </w:p>
        </w:tc>
      </w:tr>
      <w:tr>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Chain-of-custody / identity</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20–32</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40–58</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56–80</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85–122</w:t>
            </w:r>
          </w:p>
        </w:tc>
      </w:tr>
    </w:tbl>
    <w:p>
      <w:r>
        <w:rPr>
          <w:rFonts w:ascii="Calibri" w:hAnsi="Calibri"/>
          <w:b/>
          <w:color w:val="C4A35A"/>
          <w:sz w:val="18"/>
        </w:rPr>
        <w:t xml:space="preserve">04  </w:t>
      </w:r>
      <w:r>
        <w:rPr>
          <w:rFonts w:ascii="Calibri" w:hAnsi="Calibri"/>
          <w:b/>
          <w:color w:val="0C2340"/>
          <w:sz w:val="26"/>
        </w:rPr>
        <w:t>CONTRACT SCOPE — ITEMS TO REVIEW</w:t>
      </w:r>
    </w:p>
    <w:p>
      <w:pPr>
        <w:pBdr>
          <w:bottom w:val="single" w:sz="6" w:space="1" w:color="C4A35A"/>
        </w:pBdr>
      </w:pPr>
    </w:p>
    <w:p>
      <w:r>
        <w:rPr>
          <w:rFonts w:ascii="Calibri" w:hAnsi="Calibri"/>
          <w:b w:val="0"/>
          <w:color w:val="333333"/>
          <w:sz w:val="18"/>
        </w:rPr>
        <w:t>OncoCel requests ARC confirm coverage for the following services as the program scales:</w:t>
      </w:r>
    </w:p>
    <w:tbl>
      <w:tblPr>
        <w:tblW w:type="auto" w:w="0"/>
        <w:jc w:val="center"/>
        <w:tblLayout w:type="autofit"/>
        <w:tblLook w:firstColumn="1" w:firstRow="1" w:lastColumn="0" w:lastRow="0" w:noHBand="0" w:noVBand="1" w:val="04A0"/>
      </w:tblPr>
      <w:tblGrid>
        <w:gridCol w:w="3249"/>
        <w:gridCol w:w="3249"/>
        <w:gridCol w:w="3249"/>
      </w:tblGrid>
      <w:tr>
        <w:tc>
          <w:tcPr>
            <w:tcW w:type="dxa" w:w="32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Service</w:t>
            </w:r>
          </w:p>
        </w:tc>
        <w:tc>
          <w:tcPr>
            <w:tcW w:type="dxa" w:w="32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Status</w:t>
            </w:r>
          </w:p>
        </w:tc>
        <w:tc>
          <w:tcPr>
            <w:tcW w:type="dxa" w:w="32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Action</w:t>
            </w:r>
          </w:p>
        </w:tc>
      </w:tr>
      <w:tr>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Autologous HSC collection &amp; processing</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Confirm</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Verify explicit coverage in current agreement</w:t>
            </w:r>
          </w:p>
        </w:tc>
      </w:tr>
      <w:tr>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HSC cryopreservation &amp; long-term storage</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Confirm</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Verify capacity and pricing at projected volume</w:t>
            </w:r>
          </w:p>
        </w:tc>
      </w:tr>
      <w:tr>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CAR-T leukapheresis &amp; shipment logistics</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Likely gap</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Amend contract — new service category required</w:t>
            </w:r>
          </w:p>
        </w:tc>
      </w:tr>
      <w:tr>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Allogeneic donor collections</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Plan ahead</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Amendment needed by Year 2 (2028)</w:t>
            </w:r>
          </w:p>
        </w:tc>
      </w:tr>
      <w:tr>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Capacity guarantees &amp; turnaround SLA</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Critical</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Must guarantee slots for emergent collections</w:t>
            </w:r>
          </w:p>
        </w:tc>
      </w:tr>
      <w:tr>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Volume-based pricing</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Discuss</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1E8849"/>
                <w:sz w:val="16"/>
              </w:rPr>
              <w:t>As volume scales from 20 to 85+ procedures/year</w:t>
            </w:r>
          </w:p>
        </w:tc>
      </w:tr>
    </w:tbl>
    <w:p>
      <w:r>
        <w:rPr>
          <w:rFonts w:ascii="Calibri" w:hAnsi="Calibri"/>
          <w:b/>
          <w:color w:val="C4A35A"/>
          <w:sz w:val="18"/>
        </w:rPr>
        <w:t xml:space="preserve">05  </w:t>
      </w:r>
      <w:r>
        <w:rPr>
          <w:rFonts w:ascii="Calibri" w:hAnsi="Calibri"/>
          <w:b/>
          <w:color w:val="0C2340"/>
          <w:sz w:val="26"/>
        </w:rPr>
        <w:t>WHY VOLUME IS GROWING</w:t>
      </w:r>
    </w:p>
    <w:p>
      <w:pPr>
        <w:pBdr>
          <w:bottom w:val="single" w:sz="6" w:space="1" w:color="C4A35A"/>
        </w:pBdr>
      </w:pPr>
    </w:p>
    <w:p>
      <w:r>
        <w:rPr>
          <w:rFonts w:ascii="Calibri" w:hAnsi="Calibri"/>
          <w:b w:val="0"/>
          <w:color w:val="333333"/>
          <w:sz w:val="18"/>
        </w:rPr>
        <w:t>Puerto Rico currently has no on-island CAR-T program and limited transplant capacity. Most eligible patients travel to the US mainland or go untreated:</w:t>
      </w:r>
    </w:p>
    <w:tbl>
      <w:tblPr>
        <w:tblW w:type="auto" w:w="0"/>
        <w:jc w:val="center"/>
        <w:tblLayout w:type="autofit"/>
        <w:tblLook w:firstColumn="1" w:firstRow="1" w:lastColumn="0" w:lastRow="0" w:noHBand="0" w:noVBand="1" w:val="04A0"/>
      </w:tblPr>
      <w:tblGrid>
        <w:gridCol w:w="3249"/>
        <w:gridCol w:w="3249"/>
        <w:gridCol w:w="3249"/>
      </w:tblGrid>
      <w:tr>
        <w:tc>
          <w:tcPr>
            <w:tcW w:type="dxa" w:w="3249"/>
            <w:shd w:fill="0C2340"/>
            <w:tcBorders>
              <w:top w:val="single" w:sz="2" w:space="0" w:color="0C2340"/>
              <w:bottom w:val="single" w:sz="2" w:space="0" w:color="0C2340"/>
              <w:left w:val="single" w:sz="2" w:space="0" w:color="0C2340"/>
              <w:right w:val="single" w:sz="2" w:space="0" w:color="0C2340"/>
            </w:tcBorders>
            <w:tcMar>
              <w:top w:w="45" w:type="dxa"/>
              <w:bottom w:w="45" w:type="dxa"/>
              <w:left w:w="80" w:type="dxa"/>
              <w:right w:w="80" w:type="dxa"/>
            </w:tcMar>
          </w:tcPr>
          <w:p>
            <w:pPr>
              <w:jc w:val="center"/>
            </w:pPr>
            <w:r/>
            <w:r>
              <w:rPr>
                <w:rFonts w:ascii="Calibri" w:hAnsi="Calibri"/>
                <w:b/>
                <w:color w:val="FFFFFF"/>
                <w:sz w:val="16"/>
              </w:rPr>
              <w:t>Metric</w:t>
            </w:r>
          </w:p>
        </w:tc>
        <w:tc>
          <w:tcPr>
            <w:tcW w:type="dxa" w:w="3249"/>
            <w:shd w:fill="0C2340"/>
            <w:tcBorders>
              <w:top w:val="single" w:sz="2" w:space="0" w:color="0C2340"/>
              <w:bottom w:val="single" w:sz="2" w:space="0" w:color="0C2340"/>
              <w:left w:val="single" w:sz="2" w:space="0" w:color="0C2340"/>
              <w:right w:val="single" w:sz="2" w:space="0" w:color="0C2340"/>
            </w:tcBorders>
            <w:tcMar>
              <w:top w:w="45" w:type="dxa"/>
              <w:bottom w:w="45" w:type="dxa"/>
              <w:left w:w="80" w:type="dxa"/>
              <w:right w:w="80" w:type="dxa"/>
            </w:tcMar>
          </w:tcPr>
          <w:p>
            <w:pPr>
              <w:jc w:val="center"/>
            </w:pPr>
            <w:r/>
            <w:r>
              <w:rPr>
                <w:rFonts w:ascii="Calibri" w:hAnsi="Calibri"/>
                <w:b/>
                <w:color w:val="FFFFFF"/>
                <w:sz w:val="16"/>
              </w:rPr>
              <w:t>Current State</w:t>
            </w:r>
          </w:p>
        </w:tc>
        <w:tc>
          <w:tcPr>
            <w:tcW w:type="dxa" w:w="3249"/>
            <w:shd w:fill="0C2340"/>
            <w:tcBorders>
              <w:top w:val="single" w:sz="2" w:space="0" w:color="0C2340"/>
              <w:bottom w:val="single" w:sz="2" w:space="0" w:color="0C2340"/>
              <w:left w:val="single" w:sz="2" w:space="0" w:color="0C2340"/>
              <w:right w:val="single" w:sz="2" w:space="0" w:color="0C2340"/>
            </w:tcBorders>
            <w:tcMar>
              <w:top w:w="45" w:type="dxa"/>
              <w:bottom w:w="45" w:type="dxa"/>
              <w:left w:w="80" w:type="dxa"/>
              <w:right w:w="80" w:type="dxa"/>
            </w:tcMar>
          </w:tcPr>
          <w:p>
            <w:pPr>
              <w:jc w:val="center"/>
            </w:pPr>
            <w:r/>
            <w:r>
              <w:rPr>
                <w:rFonts w:ascii="Calibri" w:hAnsi="Calibri"/>
                <w:b/>
                <w:color w:val="FFFFFF"/>
                <w:sz w:val="16"/>
              </w:rPr>
              <w:t>With OncoCel Program (Year 5)</w:t>
            </w:r>
          </w:p>
        </w:tc>
      </w:tr>
      <w:tr>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07C8A"/>
                <w:sz w:val="16"/>
              </w:rPr>
              <w:t>Auto SCT on-island / year</w:t>
            </w:r>
          </w:p>
        </w:tc>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20–35</w:t>
            </w:r>
          </w:p>
        </w:tc>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62–83</w:t>
            </w:r>
          </w:p>
        </w:tc>
      </w:tr>
      <w:tr>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07C8A"/>
                <w:sz w:val="16"/>
              </w:rPr>
              <w:t>Allo-HSCT on-island / year</w:t>
            </w:r>
          </w:p>
        </w:tc>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8–15</w:t>
            </w:r>
          </w:p>
        </w:tc>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25–38</w:t>
            </w:r>
          </w:p>
        </w:tc>
      </w:tr>
      <w:tr>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07C8A"/>
                <w:sz w:val="16"/>
              </w:rPr>
              <w:t>CAR-T on-island / year</w:t>
            </w:r>
          </w:p>
        </w:tc>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0</w:t>
            </w:r>
          </w:p>
        </w:tc>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30–45</w:t>
            </w:r>
          </w:p>
        </w:tc>
      </w:tr>
      <w:tr>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07C8A"/>
                <w:sz w:val="16"/>
              </w:rPr>
              <w:t>Total on-island cellular therapy</w:t>
            </w:r>
          </w:p>
        </w:tc>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28–50</w:t>
            </w:r>
          </w:p>
        </w:tc>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117–166</w:t>
            </w:r>
          </w:p>
        </w:tc>
      </w:tr>
      <w:tr>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Patients traveling to mainland</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60–100 / yr</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18–31 / yr</w:t>
            </w:r>
          </w:p>
        </w:tc>
      </w:tr>
      <w:tr>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07C8A"/>
                <w:sz w:val="16"/>
              </w:rPr>
              <w:t>ARC apheresis procedures (new)</w:t>
            </w:r>
          </w:p>
        </w:tc>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0</w:t>
            </w:r>
          </w:p>
        </w:tc>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85–122 / yr</w:t>
            </w:r>
          </w:p>
        </w:tc>
      </w:tr>
    </w:tbl>
    <w:p>
      <w:r>
        <w:rPr>
          <w:rFonts w:ascii="Calibri" w:hAnsi="Calibri"/>
          <w:b w:val="0"/>
          <w:color w:val="333333"/>
          <w:sz w:val="18"/>
        </w:rPr>
      </w:r>
    </w:p>
    <w:p>
      <w:pPr>
        <w:ind w:left="216"/>
        <w:pBdr>
          <w:left w:val="single" w:sz="18" w:space="8" w:color="C4A35A"/>
        </w:pBdr>
      </w:pPr>
      <w:r>
        <w:rPr>
          <w:rFonts w:ascii="Calibri" w:hAnsi="Calibri"/>
          <w:b/>
          <w:color w:val="0C2340"/>
          <w:sz w:val="17"/>
        </w:rPr>
        <w:t>ARC is positioned as the sole on-island partner for this growth. No other FACT-accredited provider in Puerto Rico can support the apheresis and cell processing requirements of OncoCel's cellular therapy program.</w:t>
      </w:r>
    </w:p>
    <w:p>
      <w:r>
        <w:rPr>
          <w:rFonts w:ascii="Calibri" w:hAnsi="Calibri"/>
          <w:b/>
          <w:color w:val="C4A35A"/>
          <w:sz w:val="18"/>
        </w:rPr>
        <w:t xml:space="preserve">06  </w:t>
      </w:r>
      <w:r>
        <w:rPr>
          <w:rFonts w:ascii="Calibri" w:hAnsi="Calibri"/>
          <w:b/>
          <w:color w:val="0C2340"/>
          <w:sz w:val="26"/>
        </w:rPr>
        <w:t>TIMELINE &amp; NEXT STEPS</w:t>
      </w:r>
    </w:p>
    <w:p>
      <w:pPr>
        <w:pBdr>
          <w:bottom w:val="single" w:sz="6" w:space="1" w:color="C4A35A"/>
        </w:pBdr>
      </w:pPr>
    </w:p>
    <w:tbl>
      <w:tblPr>
        <w:tblW w:type="auto" w:w="0"/>
        <w:jc w:val="center"/>
        <w:tblLayout w:type="autofit"/>
        <w:tblLook w:firstColumn="1" w:firstRow="1" w:lastColumn="0" w:lastRow="0" w:noHBand="0" w:noVBand="1" w:val="04A0"/>
      </w:tblPr>
      <w:tblGrid>
        <w:gridCol w:w="3249"/>
        <w:gridCol w:w="3249"/>
        <w:gridCol w:w="3249"/>
      </w:tblGrid>
      <w:tr>
        <w:tc>
          <w:tcPr>
            <w:tcW w:type="dxa" w:w="32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When</w:t>
            </w:r>
          </w:p>
        </w:tc>
        <w:tc>
          <w:tcPr>
            <w:tcW w:type="dxa" w:w="32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What</w:t>
            </w:r>
          </w:p>
        </w:tc>
        <w:tc>
          <w:tcPr>
            <w:tcW w:type="dxa" w:w="32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ARC Impact</w:t>
            </w:r>
          </w:p>
        </w:tc>
      </w:tr>
      <w:tr>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August 2026</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OncoCel launches BMTCI at CCCUPR</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First collections anticipated Q4 2026</w:t>
            </w:r>
          </w:p>
        </w:tc>
      </w:tr>
      <w:tr>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Q4 2026</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First autologous HSC collections (CCCUPR)</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12–18 collections in Year 1</w:t>
            </w:r>
          </w:p>
        </w:tc>
      </w:tr>
      <w:tr>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Q1 2027</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First CAR-T leukapheresis (CCCUPR)</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Contract amendment needed</w:t>
            </w:r>
          </w:p>
        </w:tc>
      </w:tr>
      <w:tr>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2028</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Allo-HSCT donor collections ramp (HAM via TCT)</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Donor volume increasing</w:t>
            </w:r>
          </w:p>
        </w:tc>
      </w:tr>
      <w:tr>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2028–2029</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Program reaches 40–58 procedures / year</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Volume-based pricing discussion</w:t>
            </w:r>
          </w:p>
        </w:tc>
      </w:tr>
      <w:tr>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2031</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Full program at 85–122 procedures / year</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Steady-state capacity planning</w:t>
            </w:r>
          </w:p>
        </w:tc>
      </w:tr>
    </w:tbl>
    <w:p>
      <w:r>
        <w:rPr>
          <w:rFonts w:ascii="Calibri" w:hAnsi="Calibri"/>
          <w:b w:val="0"/>
          <w:color w:val="333333"/>
          <w:sz w:val="18"/>
        </w:rPr>
      </w:r>
    </w:p>
    <w:p>
      <w:r>
        <w:rPr>
          <w:rFonts w:ascii="Calibri" w:hAnsi="Calibri"/>
          <w:b/>
          <w:color w:val="007C8A"/>
          <w:sz w:val="18"/>
        </w:rPr>
        <w:t>OncoCel proposes a meeting with ARC leadership to:</w:t>
      </w:r>
    </w:p>
    <w:p>
      <w:pPr>
        <w:pStyle w:val="ListBullet"/>
        <w:ind w:left="432"/>
      </w:pPr>
      <w:r>
        <w:rPr>
          <w:rFonts w:ascii="Calibri" w:hAnsi="Calibri"/>
          <w:color w:val="333333"/>
          <w:sz w:val="17"/>
        </w:rPr>
        <w:t>Review current contract scope against projected service needs</w:t>
      </w:r>
    </w:p>
    <w:p>
      <w:pPr>
        <w:pStyle w:val="ListBullet"/>
        <w:ind w:left="432"/>
      </w:pPr>
      <w:r>
        <w:rPr>
          <w:rFonts w:ascii="Calibri" w:hAnsi="Calibri"/>
          <w:color w:val="333333"/>
          <w:sz w:val="17"/>
        </w:rPr>
        <w:t>Confirm capacity availability for Year 1 collections (Q4 2026 start)</w:t>
      </w:r>
    </w:p>
    <w:p>
      <w:pPr>
        <w:pStyle w:val="ListBullet"/>
        <w:ind w:left="432"/>
      </w:pPr>
      <w:r>
        <w:rPr>
          <w:rFonts w:ascii="Calibri" w:hAnsi="Calibri"/>
          <w:color w:val="333333"/>
          <w:sz w:val="17"/>
        </w:rPr>
        <w:t>Discuss CAR-T leukapheresis as a new service category and amend agreement</w:t>
      </w:r>
    </w:p>
    <w:p>
      <w:pPr>
        <w:pStyle w:val="ListBullet"/>
        <w:ind w:left="432"/>
      </w:pPr>
      <w:r>
        <w:rPr>
          <w:rFonts w:ascii="Calibri" w:hAnsi="Calibri"/>
          <w:color w:val="333333"/>
          <w:sz w:val="17"/>
        </w:rPr>
        <w:t>Establish turnaround and capacity SLA for emergent collection slots</w:t>
      </w:r>
    </w:p>
    <w:p>
      <w:pPr>
        <w:pStyle w:val="ListBullet"/>
        <w:ind w:left="432"/>
      </w:pPr>
      <w:r>
        <w:rPr>
          <w:rFonts w:ascii="Calibri" w:hAnsi="Calibri"/>
          <w:color w:val="333333"/>
          <w:sz w:val="17"/>
        </w:rPr>
        <w:t>Plan volume-based pricing as the program scales</w:t>
      </w:r>
    </w:p>
    <w:p>
      <w:pPr>
        <w:pBdr>
          <w:top w:val="single" w:sz="8" w:space="6" w:color="C4A35A"/>
        </w:pBdr>
      </w:pPr>
    </w:p>
    <w:p>
      <w:pPr>
        <w:jc w:val="left"/>
      </w:pPr>
      <w:r>
        <w:rPr>
          <w:rFonts w:ascii="Calibri" w:hAnsi="Calibri"/>
          <w:b/>
          <w:color w:val="0C2340"/>
          <w:sz w:val="28"/>
        </w:rPr>
        <w:t>OncoCel</w:t>
      </w:r>
    </w:p>
    <w:p>
      <w:r>
        <w:rPr>
          <w:rFonts w:ascii="Calibri" w:hAnsi="Calibri"/>
          <w:color w:val="999999"/>
          <w:sz w:val="14"/>
        </w:rPr>
        <w:t>CELLULAR THERAPY &amp; TRANSPLANTATION</w:t>
      </w:r>
    </w:p>
    <w:p>
      <w:r>
        <w:rPr>
          <w:rFonts w:ascii="Calibri" w:hAnsi="Calibri"/>
          <w:color w:val="666666"/>
          <w:sz w:val="16"/>
        </w:rPr>
        <w:t>Carlos Mendez, COO  ·  cmendez@tctoncology.com</w:t>
      </w:r>
    </w:p>
    <w:p>
      <w:r>
        <w:rPr>
          <w:rFonts w:ascii="Calibri" w:hAnsi="Calibri"/>
          <w:i/>
          <w:color w:val="999999"/>
          <w:sz w:val="15"/>
        </w:rPr>
        <w:t>Bone Marrow Transplant  ·  Cellular Therapy  ·  Research</w:t>
      </w:r>
    </w:p>
    <w:p>
      <w:r>
        <w:rPr>
          <w:rFonts w:ascii="Calibri" w:hAnsi="Calibri"/>
          <w:color w:val="999999"/>
          <w:sz w:val="15"/>
        </w:rPr>
        <w:t>San Juan, Puerto Rico  ·  June 2026  ·  Confidential</w:t>
      </w:r>
    </w:p>
    <w:sectPr w:rsidR="00FC693F" w:rsidRPr="0006063C" w:rsidSect="00034616">
      <w:pgSz w:w="12240" w:h="15840"/>
      <w:pgMar w:top="850" w:right="1247" w:bottom="85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