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518216"/>
            <wp:docPr id="1" name="Picture 1"/>
            <wp:cNvGraphicFramePr>
              <a:graphicFrameLocks noChangeAspect="1"/>
            </wp:cNvGraphicFramePr>
            <a:graphic>
              <a:graphicData uri="http://schemas.openxmlformats.org/drawingml/2006/picture">
                <pic:pic>
                  <pic:nvPicPr>
                    <pic:cNvPr id="0" name="oncocel_letterhead.png"/>
                    <pic:cNvPicPr/>
                  </pic:nvPicPr>
                  <pic:blipFill>
                    <a:blip r:embed="rId9"/>
                    <a:stretch>
                      <a:fillRect/>
                    </a:stretch>
                  </pic:blipFill>
                  <pic:spPr>
                    <a:xfrm>
                      <a:off x="0" y="0"/>
                      <a:ext cx="5669280" cy="518216"/>
                    </a:xfrm>
                    <a:prstGeom prst="rect"/>
                  </pic:spPr>
                </pic:pic>
              </a:graphicData>
            </a:graphic>
          </wp:inline>
        </w:drawing>
      </w:r>
    </w:p>
    <w:p>
      <w:pPr>
        <w:jc w:val="left"/>
      </w:pPr>
      <w:r>
        <w:rPr>
          <w:rFonts w:ascii="Calibri" w:hAnsi="Calibri"/>
          <w:b/>
          <w:color w:val="0C2340"/>
          <w:sz w:val="40"/>
        </w:rPr>
        <w:t>Volume Growth Notification</w:t>
      </w:r>
    </w:p>
    <w:p>
      <w:r>
        <w:rPr>
          <w:rFonts w:ascii="Calibri" w:hAnsi="Calibri"/>
          <w:color w:val="1B5E8A"/>
          <w:sz w:val="22"/>
        </w:rPr>
        <w:t>Prepared for American Red Cross (ARC)</w:t>
      </w:r>
    </w:p>
    <w:p>
      <w:r>
        <w:rPr>
          <w:rFonts w:ascii="Calibri" w:hAnsi="Calibri"/>
          <w:i/>
          <w:color w:val="666666"/>
          <w:sz w:val="18"/>
        </w:rPr>
        <w:t>Apheresis &amp; Cell Processing Services — Anticipated Volume Increase</w:t>
      </w:r>
    </w:p>
    <w:p>
      <w:r>
        <w:rPr>
          <w:rFonts w:ascii="Calibri" w:hAnsi="Calibri"/>
          <w:color w:val="999999"/>
          <w:sz w:val="17"/>
        </w:rPr>
        <w:t>June 2026  ·  Confidential</w:t>
      </w:r>
    </w:p>
    <w:p>
      <w:r>
        <w:rPr>
          <w:rFonts w:ascii="Calibri" w:hAnsi="Calibri"/>
          <w:b/>
          <w:color w:val="C4A35A"/>
          <w:sz w:val="18"/>
        </w:rPr>
        <w:t xml:space="preserve">01  </w:t>
      </w:r>
      <w:r>
        <w:rPr>
          <w:rFonts w:ascii="Calibri" w:hAnsi="Calibri"/>
          <w:b/>
          <w:color w:val="0C2340"/>
          <w:sz w:val="26"/>
        </w:rPr>
        <w:t>CONTEXT</w:t>
      </w:r>
    </w:p>
    <w:p>
      <w:pPr>
        <w:pBdr>
          <w:bottom w:val="single" w:sz="6" w:space="1" w:color="C4A35A"/>
        </w:pBdr>
      </w:pPr>
    </w:p>
    <w:p>
      <w:r>
        <w:rPr>
          <w:rFonts w:ascii="Calibri" w:hAnsi="Calibri"/>
          <w:b w:val="0"/>
          <w:color w:val="333333"/>
          <w:sz w:val="18"/>
        </w:rPr>
        <w:t>OncoCel LLC is Puerto Rico's first ambulatory bone marrow transplant and cellular therapy center, focused on outpatient BMTCI services and clinical research. Based in San Juan, OncoCel delivers autologous HCT, CAR-T cellular therapy, and — in later phases — gene therapy in an ambulatory setting, with daily monitoring and 24/7 physician availability.</w:t>
      </w:r>
    </w:p>
    <w:p>
      <w:r>
        <w:rPr>
          <w:rFonts w:ascii="Calibri" w:hAnsi="Calibri"/>
          <w:b w:val="0"/>
          <w:color w:val="333333"/>
          <w:sz w:val="18"/>
        </w:rPr>
        <w:t>OncoCel collaborates with TCT Oncology, which provides inpatient transplant services at two hospital sites: the Centro Comprensivo de Cancer de la Universidad de Puerto Rico (CCCUPR), where TCT is launching a new inpatient BMTCI program effective August 2026, and Auxilio Mutuo Hospital (HAM), where TCT operates the established allogeneic HSCT program and CIBMTR reporting infrastructure.</w:t>
      </w:r>
    </w:p>
    <w:p>
      <w:r>
        <w:rPr>
          <w:rFonts w:ascii="Calibri" w:hAnsi="Calibri"/>
          <w:b w:val="0"/>
          <w:color w:val="333333"/>
          <w:sz w:val="18"/>
        </w:rPr>
        <w:t>Together, OncoCel (ambulatory) and TCT Oncology (inpatient at CCCUPR and HAM) create Puerto Rico's first comprehensive cellular therapy network. Both the ambulatory and inpatient programs require ARC apheresis and cell processing services.</w:t>
      </w:r>
    </w:p>
    <w:p>
      <w:r>
        <w:rPr>
          <w:rFonts w:ascii="Calibri" w:hAnsi="Calibri"/>
          <w:b w:val="0"/>
          <w:color w:val="333333"/>
          <w:sz w:val="18"/>
        </w:rPr>
        <w:t>ARC is the only FACT-accredited apheresis and cell processing provider on the island. As this network scales, ARC's collection and processing volume will increase significantly across all three sites.</w:t>
      </w:r>
    </w:p>
    <w:p>
      <w:pPr>
        <w:ind w:left="216"/>
        <w:pBdr>
          <w:left w:val="single" w:sz="18" w:space="8" w:color="C4A35A"/>
        </w:pBdr>
      </w:pPr>
      <w:r>
        <w:rPr>
          <w:rFonts w:ascii="Calibri" w:hAnsi="Calibri"/>
          <w:b/>
          <w:color w:val="0C2340"/>
          <w:sz w:val="17"/>
        </w:rPr>
        <w:t>Purpose: Provide ARC advance notice of anticipated volume growth driven by OncoCel's ambulatory program and TCT Oncology's inpatient programs at CCCUPR and HAM, enabling capacity planning, contract scope review, and service continuity.</w:t>
      </w:r>
    </w:p>
    <w:p>
      <w:r>
        <w:rPr>
          <w:rFonts w:ascii="Calibri" w:hAnsi="Calibri"/>
          <w:b/>
          <w:color w:val="C4A35A"/>
          <w:sz w:val="18"/>
        </w:rPr>
        <w:t xml:space="preserve">02  </w:t>
      </w:r>
      <w:r>
        <w:rPr>
          <w:rFonts w:ascii="Calibri" w:hAnsi="Calibri"/>
          <w:b/>
          <w:color w:val="0C2340"/>
          <w:sz w:val="26"/>
        </w:rPr>
        <w:t>PROGRAM PHASES</w:t>
      </w:r>
    </w:p>
    <w:p>
      <w:pPr>
        <w:pBdr>
          <w:bottom w:val="single" w:sz="6" w:space="1" w:color="C4A35A"/>
        </w:pBdr>
      </w:pP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Phase</w:t>
            </w:r>
          </w:p>
        </w:tc>
        <w:tc>
          <w:tcPr>
            <w:tcW w:type="dxa" w:w="2436"/>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Timeline</w:t>
            </w:r>
          </w:p>
        </w:tc>
        <w:tc>
          <w:tcPr>
            <w:tcW w:type="dxa" w:w="2436"/>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Scope</w:t>
            </w:r>
          </w:p>
        </w:tc>
        <w:tc>
          <w:tcPr>
            <w:tcW w:type="dxa" w:w="2436"/>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Volume Target</w:t>
            </w:r>
          </w:p>
        </w:tc>
      </w:tr>
      <w:tr>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Phase 1</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Year 1 (Aug 2026–2027)</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Autologous HCT</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10–15 auto-HCTs</w:t>
            </w:r>
          </w:p>
        </w:tc>
      </w:tr>
      <w:tr>
        <w:tc>
          <w:tcPr>
            <w:tcW w:type="dxa" w:w="2436"/>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Phase 2</w:t>
            </w:r>
          </w:p>
        </w:tc>
        <w:tc>
          <w:tcPr>
            <w:tcW w:type="dxa" w:w="2436"/>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Year 2–3 (2028–2029)</w:t>
            </w:r>
          </w:p>
        </w:tc>
        <w:tc>
          <w:tcPr>
            <w:tcW w:type="dxa" w:w="2436"/>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 CAR-T + Donor Search</w:t>
            </w:r>
          </w:p>
        </w:tc>
        <w:tc>
          <w:tcPr>
            <w:tcW w:type="dxa" w:w="2436"/>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1E8849"/>
                <w:sz w:val="16"/>
              </w:rPr>
              <w:t>20–30+ transplants/yr</w:t>
            </w:r>
          </w:p>
        </w:tc>
      </w:tr>
      <w:tr>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Phase 3</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1E8849"/>
                <w:sz w:val="16"/>
              </w:rPr>
              <w:t>Year 3+ (2029+)</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 Allogeneic HCT + Gene Therapy</w:t>
            </w:r>
          </w:p>
        </w:tc>
        <w:tc>
          <w:tcPr>
            <w:tcW w:type="dxa" w:w="2436"/>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Full-spectrum program</w:t>
            </w:r>
          </w:p>
        </w:tc>
      </w:tr>
    </w:tbl>
    <w:p>
      <w:r>
        <w:rPr>
          <w:rFonts w:ascii="Calibri" w:hAnsi="Calibri"/>
          <w:b w:val="0"/>
          <w:color w:val="333333"/>
          <w:sz w:val="18"/>
        </w:rPr>
      </w:r>
    </w:p>
    <w:p>
      <w:r>
        <w:rPr>
          <w:rFonts w:ascii="Calibri" w:hAnsi="Calibri"/>
          <w:b w:val="0"/>
          <w:color w:val="333333"/>
          <w:sz w:val="17"/>
        </w:rPr>
        <w:t>OncoCel's ambulatory center handles outpatient autologous HCT and CAR-T. TCT Oncology provides inpatient services at CCCUPR (auto-HCT, CAR-T requiring admission) and at HAM (allogeneic HSCT). Patients needing allo-HSCT are referred to HAM through TCT Oncology. ARC supports collections across all sites.</w:t>
      </w:r>
    </w:p>
    <w:p>
      <w:r>
        <w:rPr>
          <w:rFonts w:ascii="Calibri" w:hAnsi="Calibri"/>
          <w:b/>
          <w:color w:val="C4A35A"/>
          <w:sz w:val="18"/>
        </w:rPr>
        <w:t xml:space="preserve">03  </w:t>
      </w:r>
      <w:r>
        <w:rPr>
          <w:rFonts w:ascii="Calibri" w:hAnsi="Calibri"/>
          <w:b/>
          <w:color w:val="0C2340"/>
          <w:sz w:val="26"/>
        </w:rPr>
        <w:t>PROJECTED ARC COLLECTION VOLUMES</w:t>
      </w:r>
    </w:p>
    <w:p>
      <w:pPr>
        <w:pBdr>
          <w:bottom w:val="single" w:sz="6" w:space="1" w:color="C4A35A"/>
        </w:pBdr>
      </w:pPr>
    </w:p>
    <w:p>
      <w:r>
        <w:rPr>
          <w:rFonts w:ascii="Calibri" w:hAnsi="Calibri"/>
          <w:b/>
          <w:color w:val="007C8A"/>
          <w:sz w:val="18"/>
        </w:rPr>
        <w:t>All volumes below represent new programmatic activity. This is not a redistribution of existing ARC workload.</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ARC Service</w:t>
            </w:r>
          </w:p>
        </w:tc>
        <w:tc>
          <w:tcPr>
            <w:tcW w:type="dxa" w:w="19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Year 1</w:t>
            </w:r>
          </w:p>
        </w:tc>
        <w:tc>
          <w:tcPr>
            <w:tcW w:type="dxa" w:w="19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Year 2</w:t>
            </w:r>
          </w:p>
        </w:tc>
        <w:tc>
          <w:tcPr>
            <w:tcW w:type="dxa" w:w="19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Year 3</w:t>
            </w:r>
          </w:p>
        </w:tc>
        <w:tc>
          <w:tcPr>
            <w:tcW w:type="dxa" w:w="19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Year 5</w:t>
            </w:r>
          </w:p>
        </w:tc>
      </w:tr>
      <w:tr>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Autologous HSC collections (OncoCel + CCCUPR)</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12–18</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22–32</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30–42</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40–55</w:t>
            </w:r>
          </w:p>
        </w:tc>
      </w:tr>
      <w:tr>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CAR-T leukapheresis (OncoCel + CCCUPR)</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4–8</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10–14</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16–22</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30–45</w:t>
            </w:r>
          </w:p>
        </w:tc>
      </w:tr>
      <w:tr>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Allo donor collections (HAM — TCT inpatient)</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4–6</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8–12</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10–15</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15–22</w:t>
            </w:r>
          </w:p>
        </w:tc>
      </w:tr>
      <w:tr>
        <w:tc>
          <w:tcPr>
            <w:tcW w:type="dxa" w:w="19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Total apheresis procedures</w:t>
            </w:r>
          </w:p>
        </w:tc>
        <w:tc>
          <w:tcPr>
            <w:tcW w:type="dxa" w:w="19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20–32</w:t>
            </w:r>
          </w:p>
        </w:tc>
        <w:tc>
          <w:tcPr>
            <w:tcW w:type="dxa" w:w="19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40–58</w:t>
            </w:r>
          </w:p>
        </w:tc>
        <w:tc>
          <w:tcPr>
            <w:tcW w:type="dxa" w:w="19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56–80</w:t>
            </w:r>
          </w:p>
        </w:tc>
        <w:tc>
          <w:tcPr>
            <w:tcW w:type="dxa" w:w="19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85–122</w:t>
            </w:r>
          </w:p>
        </w:tc>
      </w:tr>
    </w:tbl>
    <w:p>
      <w:r>
        <w:rPr>
          <w:rFonts w:ascii="Calibri" w:hAnsi="Calibri"/>
          <w:b w:val="0"/>
          <w:color w:val="333333"/>
          <w:sz w:val="18"/>
        </w:rPr>
      </w:r>
    </w:p>
    <w:p>
      <w:r>
        <w:rPr>
          <w:rFonts w:ascii="Calibri" w:hAnsi="Calibri"/>
          <w:b/>
          <w:color w:val="1B5E8A"/>
          <w:sz w:val="18"/>
        </w:rPr>
        <w:t>Supporting processing volume:</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Processing Service</w:t>
            </w:r>
          </w:p>
        </w:tc>
        <w:tc>
          <w:tcPr>
            <w:tcW w:type="dxa" w:w="19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Year 1</w:t>
            </w:r>
          </w:p>
        </w:tc>
        <w:tc>
          <w:tcPr>
            <w:tcW w:type="dxa" w:w="19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Year 2</w:t>
            </w:r>
          </w:p>
        </w:tc>
        <w:tc>
          <w:tcPr>
            <w:tcW w:type="dxa" w:w="19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Year 3</w:t>
            </w:r>
          </w:p>
        </w:tc>
        <w:tc>
          <w:tcPr>
            <w:tcW w:type="dxa" w:w="19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Year 5</w:t>
            </w:r>
          </w:p>
        </w:tc>
      </w:tr>
      <w:tr>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Cryopreservation events</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16–24</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30–44</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40–57</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55–77</w:t>
            </w:r>
          </w:p>
        </w:tc>
      </w:tr>
      <w:tr>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Product release testing</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20–32</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40–58</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56–80</w:t>
            </w:r>
          </w:p>
        </w:tc>
        <w:tc>
          <w:tcPr>
            <w:tcW w:type="dxa" w:w="19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85–122</w:t>
            </w:r>
          </w:p>
        </w:tc>
      </w:tr>
      <w:tr>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Chain-of-custody / identity</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20–32</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40–58</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56–80</w:t>
            </w:r>
          </w:p>
        </w:tc>
        <w:tc>
          <w:tcPr>
            <w:tcW w:type="dxa" w:w="19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85–122</w:t>
            </w:r>
          </w:p>
        </w:tc>
      </w:tr>
    </w:tbl>
    <w:p>
      <w:r>
        <w:rPr>
          <w:rFonts w:ascii="Calibri" w:hAnsi="Calibri"/>
          <w:b/>
          <w:color w:val="C4A35A"/>
          <w:sz w:val="18"/>
        </w:rPr>
        <w:t xml:space="preserve">04  </w:t>
      </w:r>
      <w:r>
        <w:rPr>
          <w:rFonts w:ascii="Calibri" w:hAnsi="Calibri"/>
          <w:b/>
          <w:color w:val="0C2340"/>
          <w:sz w:val="26"/>
        </w:rPr>
        <w:t>CONTRACT SCOPE — ITEMS TO REVIEW</w:t>
      </w:r>
    </w:p>
    <w:p>
      <w:pPr>
        <w:pBdr>
          <w:bottom w:val="single" w:sz="6" w:space="1" w:color="C4A35A"/>
        </w:pBdr>
      </w:pPr>
    </w:p>
    <w:p>
      <w:r>
        <w:rPr>
          <w:rFonts w:ascii="Calibri" w:hAnsi="Calibri"/>
          <w:b w:val="0"/>
          <w:color w:val="333333"/>
          <w:sz w:val="18"/>
        </w:rPr>
        <w:t>OncoCel requests ARC confirm coverage for the following services as the program scales:</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Service</w:t>
            </w:r>
          </w:p>
        </w:tc>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Status</w:t>
            </w:r>
          </w:p>
        </w:tc>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Action</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Autologous HSC collection &amp; processing</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Confirm</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Verify explicit coverage in current agreement</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HSC cryopreservation &amp; long-term storage</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Confirm</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Verify capacity and pricing at projected volume</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CAR-T leukapheresis &amp; shipment logistics</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Likely gap</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Amend contract — new service category required</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Allogeneic donor collections</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Plan ahead</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Amendment needed by Year 2 (2028)</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Capacity guarantees &amp; turnaround SLA</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Critical</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Must guarantee slots for emergent collections</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Volume-based pricing</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Discuss</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1E8849"/>
                <w:sz w:val="16"/>
              </w:rPr>
              <w:t>As volume scales from 20 to 85+ procedures/year</w:t>
            </w:r>
          </w:p>
        </w:tc>
      </w:tr>
    </w:tbl>
    <w:p>
      <w:r>
        <w:rPr>
          <w:rFonts w:ascii="Calibri" w:hAnsi="Calibri"/>
          <w:b/>
          <w:color w:val="C4A35A"/>
          <w:sz w:val="18"/>
        </w:rPr>
        <w:t xml:space="preserve">05  </w:t>
      </w:r>
      <w:r>
        <w:rPr>
          <w:rFonts w:ascii="Calibri" w:hAnsi="Calibri"/>
          <w:b/>
          <w:color w:val="0C2340"/>
          <w:sz w:val="26"/>
        </w:rPr>
        <w:t>WHY VOLUME IS GROWING</w:t>
      </w:r>
    </w:p>
    <w:p>
      <w:pPr>
        <w:pBdr>
          <w:bottom w:val="single" w:sz="6" w:space="1" w:color="C4A35A"/>
        </w:pBdr>
      </w:pPr>
    </w:p>
    <w:p>
      <w:r>
        <w:rPr>
          <w:rFonts w:ascii="Calibri" w:hAnsi="Calibri"/>
          <w:b w:val="0"/>
          <w:color w:val="333333"/>
          <w:sz w:val="18"/>
        </w:rPr>
        <w:t>Puerto Rico currently has no on-island CAR-T program and limited transplant capacity. Most eligible patients travel to the US mainland or go untreated:</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Metric</w:t>
            </w:r>
          </w:p>
        </w:tc>
        <w:tc>
          <w:tcPr>
            <w:tcW w:type="dxa" w:w="32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Current State</w:t>
            </w:r>
          </w:p>
        </w:tc>
        <w:tc>
          <w:tcPr>
            <w:tcW w:type="dxa" w:w="3249"/>
            <w:shd w:fill="0C2340"/>
            <w:tcBorders>
              <w:top w:val="single" w:sz="2" w:space="0" w:color="0C2340"/>
              <w:bottom w:val="single" w:sz="2" w:space="0" w:color="0C2340"/>
              <w:left w:val="single" w:sz="2" w:space="0" w:color="0C2340"/>
              <w:right w:val="single" w:sz="2" w:space="0" w:color="0C2340"/>
            </w:tcBorders>
            <w:tcMar>
              <w:top w:w="45" w:type="dxa"/>
              <w:bottom w:w="45" w:type="dxa"/>
              <w:left w:w="80" w:type="dxa"/>
              <w:right w:w="80" w:type="dxa"/>
            </w:tcMar>
          </w:tcPr>
          <w:p>
            <w:pPr>
              <w:jc w:val="center"/>
            </w:pPr>
            <w:r/>
            <w:r>
              <w:rPr>
                <w:rFonts w:ascii="Calibri" w:hAnsi="Calibri"/>
                <w:b/>
                <w:color w:val="FFFFFF"/>
                <w:sz w:val="16"/>
              </w:rPr>
              <w:t>With OncoCel Program (Year 5)</w:t>
            </w:r>
          </w:p>
        </w:tc>
      </w:tr>
      <w:tr>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Auto SCT on-island / year</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20–35</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62–83</w:t>
            </w:r>
          </w:p>
        </w:tc>
      </w:tr>
      <w:tr>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Allo-HSCT on-island / year</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8–15</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25–38</w:t>
            </w:r>
          </w:p>
        </w:tc>
      </w:tr>
      <w:tr>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CAR-T on-island / year</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0</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30–45</w:t>
            </w:r>
          </w:p>
        </w:tc>
      </w:tr>
      <w:tr>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Total on-island cellular therapy</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28–50</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117–166</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Patients traveling to mainland</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60–100 / yr</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18–31 / yr</w:t>
            </w:r>
          </w:p>
        </w:tc>
      </w:tr>
      <w:tr>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07C8A"/>
                <w:sz w:val="16"/>
              </w:rPr>
              <w:t>ARC apheresis procedures (new)</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0</w:t>
            </w:r>
          </w:p>
        </w:tc>
        <w:tc>
          <w:tcPr>
            <w:tcW w:type="dxa" w:w="3249"/>
            <w:shd w:fill="E6F2F2"/>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b/>
                <w:color w:val="007C8A"/>
                <w:sz w:val="16"/>
              </w:rPr>
              <w:t>85–122 / yr</w:t>
            </w:r>
          </w:p>
        </w:tc>
      </w:tr>
    </w:tbl>
    <w:p>
      <w:r>
        <w:rPr>
          <w:rFonts w:ascii="Calibri" w:hAnsi="Calibri"/>
          <w:b w:val="0"/>
          <w:color w:val="333333"/>
          <w:sz w:val="18"/>
        </w:rPr>
      </w:r>
    </w:p>
    <w:p>
      <w:pPr>
        <w:ind w:left="216"/>
        <w:pBdr>
          <w:left w:val="single" w:sz="18" w:space="8" w:color="C4A35A"/>
        </w:pBdr>
      </w:pPr>
      <w:r>
        <w:rPr>
          <w:rFonts w:ascii="Calibri" w:hAnsi="Calibri"/>
          <w:b/>
          <w:color w:val="0C2340"/>
          <w:sz w:val="17"/>
        </w:rPr>
        <w:t>ARC is positioned as the sole on-island partner for this growth. No other FACT-accredited provider in Puerto Rico can support the apheresis and cell processing requirements of OncoCel's ambulatory program and TCT Oncology's inpatient programs at CCCUPR and HAM.</w:t>
      </w:r>
    </w:p>
    <w:p>
      <w:r>
        <w:rPr>
          <w:rFonts w:ascii="Calibri" w:hAnsi="Calibri"/>
          <w:b/>
          <w:color w:val="C4A35A"/>
          <w:sz w:val="18"/>
        </w:rPr>
        <w:t xml:space="preserve">06  </w:t>
      </w:r>
      <w:r>
        <w:rPr>
          <w:rFonts w:ascii="Calibri" w:hAnsi="Calibri"/>
          <w:b/>
          <w:color w:val="0C2340"/>
          <w:sz w:val="26"/>
        </w:rPr>
        <w:t>TIMELINE &amp; NEXT STEPS</w:t>
      </w:r>
    </w:p>
    <w:p>
      <w:pPr>
        <w:pBdr>
          <w:bottom w:val="single" w:sz="6" w:space="1" w:color="C4A35A"/>
        </w:pBdr>
      </w:pP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When</w:t>
            </w:r>
          </w:p>
        </w:tc>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What</w:t>
            </w:r>
          </w:p>
        </w:tc>
        <w:tc>
          <w:tcPr>
            <w:tcW w:type="dxa" w:w="3249"/>
            <w:shd w:fill="007C8A"/>
            <w:tcBorders>
              <w:top w:val="single" w:sz="2" w:space="0" w:color="007C8A"/>
              <w:bottom w:val="single" w:sz="2" w:space="0" w:color="007C8A"/>
              <w:left w:val="single" w:sz="2" w:space="0" w:color="007C8A"/>
              <w:right w:val="single" w:sz="2" w:space="0" w:color="007C8A"/>
            </w:tcBorders>
            <w:tcMar>
              <w:top w:w="45" w:type="dxa"/>
              <w:bottom w:w="45" w:type="dxa"/>
              <w:left w:w="80" w:type="dxa"/>
              <w:right w:w="80" w:type="dxa"/>
            </w:tcMar>
          </w:tcPr>
          <w:p>
            <w:pPr>
              <w:jc w:val="center"/>
            </w:pPr>
            <w:r/>
            <w:r>
              <w:rPr>
                <w:rFonts w:ascii="Calibri" w:hAnsi="Calibri"/>
                <w:b/>
                <w:color w:val="FFFFFF"/>
                <w:sz w:val="16"/>
              </w:rPr>
              <w:t>ARC Impact</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August 2026</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TCT inpatient program launches at CCCUPR; OncoCel ambulatory center active</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First collections anticipated Q4 2026</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Q4 2026</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First autologous HSC collections (CCCUPR)</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12–18 collections in Year 1</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Q1 2027</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First CAR-T leukapheresis (CCCUPR)</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Contract amendment needed</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2028</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Allo-HSCT donor collections ramp (HAM — TCT inpatient)</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Donor volume increasing</w:t>
            </w:r>
          </w:p>
        </w:tc>
      </w:tr>
      <w:tr>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2028–2029</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Program reaches 40–58 procedures / year</w:t>
            </w:r>
          </w:p>
        </w:tc>
        <w:tc>
          <w:tcPr>
            <w:tcW w:type="dxa" w:w="3249"/>
            <w:shd w:fill="FFFFFF"/>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Volume-based pricing discussion</w:t>
            </w:r>
          </w:p>
        </w:tc>
      </w:tr>
      <w:tr>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left"/>
            </w:pPr>
            <w:r/>
            <w:r>
              <w:rPr>
                <w:rFonts w:ascii="Calibri" w:hAnsi="Calibri"/>
                <w:b/>
                <w:color w:val="0C2340"/>
                <w:sz w:val="16"/>
              </w:rPr>
              <w:t>2031</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Full program at 85–122 procedures / year</w:t>
            </w:r>
          </w:p>
        </w:tc>
        <w:tc>
          <w:tcPr>
            <w:tcW w:type="dxa" w:w="3249"/>
            <w:shd w:fill="F4F7F8"/>
            <w:tcBorders>
              <w:top w:val="single" w:sz="2" w:space="0" w:color="D8D8D8"/>
              <w:bottom w:val="single" w:sz="2" w:space="0" w:color="D8D8D8"/>
              <w:left w:val="single" w:sz="2" w:space="0" w:color="D8D8D8"/>
              <w:right w:val="single" w:sz="2" w:space="0" w:color="D8D8D8"/>
            </w:tcBorders>
            <w:tcMar>
              <w:top w:w="45" w:type="dxa"/>
              <w:bottom w:w="45" w:type="dxa"/>
              <w:left w:w="80" w:type="dxa"/>
              <w:right w:w="80" w:type="dxa"/>
            </w:tcMar>
          </w:tcPr>
          <w:p>
            <w:pPr>
              <w:jc w:val="center"/>
            </w:pPr>
            <w:r/>
            <w:r>
              <w:rPr>
                <w:rFonts w:ascii="Calibri" w:hAnsi="Calibri"/>
                <w:color w:val="333333"/>
                <w:sz w:val="16"/>
              </w:rPr>
              <w:t>Steady-state capacity planning</w:t>
            </w:r>
          </w:p>
        </w:tc>
      </w:tr>
    </w:tbl>
    <w:p>
      <w:r>
        <w:rPr>
          <w:rFonts w:ascii="Calibri" w:hAnsi="Calibri"/>
          <w:b w:val="0"/>
          <w:color w:val="333333"/>
          <w:sz w:val="18"/>
        </w:rPr>
      </w:r>
    </w:p>
    <w:p>
      <w:r>
        <w:rPr>
          <w:rFonts w:ascii="Calibri" w:hAnsi="Calibri"/>
          <w:b/>
          <w:color w:val="007C8A"/>
          <w:sz w:val="18"/>
        </w:rPr>
        <w:t>OncoCel proposes a meeting with ARC leadership to:</w:t>
      </w:r>
    </w:p>
    <w:p>
      <w:pPr>
        <w:pStyle w:val="ListBullet"/>
        <w:ind w:left="432"/>
      </w:pPr>
      <w:r>
        <w:rPr>
          <w:rFonts w:ascii="Calibri" w:hAnsi="Calibri"/>
          <w:color w:val="333333"/>
          <w:sz w:val="17"/>
        </w:rPr>
        <w:t>Review current contract scope against projected service needs</w:t>
      </w:r>
    </w:p>
    <w:p>
      <w:pPr>
        <w:pStyle w:val="ListBullet"/>
        <w:ind w:left="432"/>
      </w:pPr>
      <w:r>
        <w:rPr>
          <w:rFonts w:ascii="Calibri" w:hAnsi="Calibri"/>
          <w:color w:val="333333"/>
          <w:sz w:val="17"/>
        </w:rPr>
        <w:t>Confirm capacity availability for Year 1 collections (Q4 2026 start)</w:t>
      </w:r>
    </w:p>
    <w:p>
      <w:pPr>
        <w:pStyle w:val="ListBullet"/>
        <w:ind w:left="432"/>
      </w:pPr>
      <w:r>
        <w:rPr>
          <w:rFonts w:ascii="Calibri" w:hAnsi="Calibri"/>
          <w:color w:val="333333"/>
          <w:sz w:val="17"/>
        </w:rPr>
        <w:t>Discuss CAR-T leukapheresis as a new service category and amend agreement</w:t>
      </w:r>
    </w:p>
    <w:p>
      <w:pPr>
        <w:pStyle w:val="ListBullet"/>
        <w:ind w:left="432"/>
      </w:pPr>
      <w:r>
        <w:rPr>
          <w:rFonts w:ascii="Calibri" w:hAnsi="Calibri"/>
          <w:color w:val="333333"/>
          <w:sz w:val="17"/>
        </w:rPr>
        <w:t>Establish turnaround and capacity SLA for emergent collection slots</w:t>
      </w:r>
    </w:p>
    <w:p>
      <w:pPr>
        <w:pStyle w:val="ListBullet"/>
        <w:ind w:left="432"/>
      </w:pPr>
      <w:r>
        <w:rPr>
          <w:rFonts w:ascii="Calibri" w:hAnsi="Calibri"/>
          <w:color w:val="333333"/>
          <w:sz w:val="17"/>
        </w:rPr>
        <w:t>Plan volume-based pricing as the program scales</w:t>
      </w:r>
    </w:p>
    <w:p>
      <w:pPr>
        <w:pBdr>
          <w:top w:val="single" w:sz="8" w:space="6" w:color="C4A35A"/>
        </w:pBdr>
      </w:pPr>
    </w:p>
    <w:p>
      <w:pPr>
        <w:jc w:val="left"/>
      </w:pPr>
      <w:r>
        <w:rPr>
          <w:rFonts w:ascii="Calibri" w:hAnsi="Calibri"/>
          <w:b/>
          <w:color w:val="0C2340"/>
          <w:sz w:val="28"/>
        </w:rPr>
        <w:t>OncoCel</w:t>
      </w:r>
    </w:p>
    <w:p>
      <w:r>
        <w:rPr>
          <w:rFonts w:ascii="Calibri" w:hAnsi="Calibri"/>
          <w:color w:val="999999"/>
          <w:sz w:val="14"/>
        </w:rPr>
        <w:t>CELLULAR THERAPY &amp; TRANSPLANTATION</w:t>
      </w:r>
    </w:p>
    <w:p>
      <w:r>
        <w:rPr>
          <w:rFonts w:ascii="Calibri" w:hAnsi="Calibri"/>
          <w:color w:val="666666"/>
          <w:sz w:val="16"/>
        </w:rPr>
        <w:t>Carlos E. Méndez Sepúlveda, JD, MHSA, MPH  ·  Co-Founder &amp; CEO</w:t>
      </w:r>
    </w:p>
    <w:p>
      <w:r>
        <w:rPr>
          <w:rFonts w:ascii="Calibri" w:hAnsi="Calibri"/>
          <w:i/>
          <w:color w:val="999999"/>
          <w:sz w:val="15"/>
        </w:rPr>
        <w:t>Bone Marrow Transplant  ·  Cellular Therapy  ·  Research</w:t>
      </w:r>
    </w:p>
    <w:p>
      <w:r>
        <w:rPr>
          <w:rFonts w:ascii="Calibri" w:hAnsi="Calibri"/>
          <w:color w:val="999999"/>
          <w:sz w:val="15"/>
        </w:rPr>
        <w:t>San Juan, Puerto Rico  ·  June 2026  ·  Confidential</w:t>
      </w:r>
    </w:p>
    <w:sectPr w:rsidR="00FC693F" w:rsidRPr="0006063C" w:rsidSect="00034616">
      <w:pgSz w:w="12240" w:h="15840"/>
      <w:pgMar w:top="850"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