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560320" cy="1395833"/>
            <wp:docPr id="1" name="Picture 1"/>
            <wp:cNvGraphicFramePr>
              <a:graphicFrameLocks noChangeAspect="1"/>
            </wp:cNvGraphicFramePr>
            <a:graphic>
              <a:graphicData uri="http://schemas.openxmlformats.org/drawingml/2006/picture">
                <pic:pic>
                  <pic:nvPicPr>
                    <pic:cNvPr id="0" name="tct_logo.png"/>
                    <pic:cNvPicPr/>
                  </pic:nvPicPr>
                  <pic:blipFill>
                    <a:blip r:embed="rId9"/>
                    <a:stretch>
                      <a:fillRect/>
                    </a:stretch>
                  </pic:blipFill>
                  <pic:spPr>
                    <a:xfrm>
                      <a:off x="0" y="0"/>
                      <a:ext cx="2560320" cy="1395833"/>
                    </a:xfrm>
                    <a:prstGeom prst="rect"/>
                  </pic:spPr>
                </pic:pic>
              </a:graphicData>
            </a:graphic>
          </wp:inline>
        </w:drawing>
      </w:r>
    </w:p>
    <w:p>
      <w:pPr>
        <w:pBdr>
          <w:bottom w:val="single" w:sz="10" w:space="1" w:color="5090B0"/>
        </w:pBdr>
      </w:pPr>
    </w:p>
    <w:p>
      <w:pPr>
        <w:jc w:val="left"/>
      </w:pPr>
      <w:r>
        <w:rPr>
          <w:rFonts w:ascii="Calibri" w:hAnsi="Calibri"/>
          <w:b/>
          <w:color w:val="80B020"/>
          <w:sz w:val="44"/>
        </w:rPr>
        <w:t>BMTCI PROGRAM</w:t>
      </w:r>
    </w:p>
    <w:p>
      <w:r>
        <w:rPr>
          <w:rFonts w:ascii="Calibri" w:hAnsi="Calibri"/>
          <w:color w:val="5090B0"/>
          <w:sz w:val="30"/>
        </w:rPr>
        <w:t>Volume Impact Analysis</w:t>
      </w:r>
    </w:p>
    <w:p>
      <w:r>
        <w:rPr>
          <w:rFonts w:ascii="Calibri" w:hAnsi="Calibri"/>
          <w:i/>
          <w:color w:val="2C2C2C"/>
          <w:sz w:val="19"/>
        </w:rPr>
        <w:t>Prepared for American Red Cross (ARC) — Contract Review &amp; Scope Expansion</w:t>
      </w:r>
    </w:p>
    <w:p>
      <w:r>
        <w:rPr>
          <w:rFonts w:ascii="Calibri" w:hAnsi="Calibri"/>
          <w:color w:val="888888"/>
          <w:sz w:val="17"/>
        </w:rPr>
        <w:t>In Collaboration with Centro Comprensivo de Cancer · Universidad de Puerto Rico</w:t>
      </w:r>
    </w:p>
    <w:p>
      <w:r>
        <w:rPr>
          <w:rFonts w:ascii="Calibri" w:hAnsi="Calibri"/>
          <w:color w:val="888888"/>
          <w:sz w:val="17"/>
        </w:rPr>
        <w:t>TCT Participation at CCCUPR Effective August 2026  |  Confidential</w:t>
      </w:r>
    </w:p>
    <w:p>
      <w:r>
        <w:rPr>
          <w:rFonts w:ascii="Calibri" w:hAnsi="Calibri"/>
          <w:color w:val="888888"/>
          <w:sz w:val="17"/>
        </w:rPr>
        <w:t>June 2026</w:t>
      </w:r>
    </w:p>
    <w:p>
      <w:r>
        <w:rPr>
          <w:rFonts w:ascii="Calibri" w:hAnsi="Calibri"/>
          <w:b/>
          <w:color w:val="80B020"/>
          <w:sz w:val="18"/>
        </w:rPr>
        <w:t xml:space="preserve">01  </w:t>
      </w:r>
      <w:r>
        <w:rPr>
          <w:rFonts w:ascii="Calibri" w:hAnsi="Calibri"/>
          <w:color w:val="888888"/>
          <w:sz w:val="18"/>
        </w:rPr>
        <w:t xml:space="preserve">·  </w:t>
      </w:r>
      <w:r>
        <w:rPr>
          <w:rFonts w:ascii="Calibri" w:hAnsi="Calibri"/>
          <w:b/>
          <w:color w:val="2C2C2C"/>
          <w:sz w:val="26"/>
        </w:rPr>
        <w:t>PURPOSE</w:t>
      </w:r>
    </w:p>
    <w:p>
      <w:pPr>
        <w:pBdr>
          <w:bottom w:val="single" w:sz="8" w:space="1" w:color="80B020"/>
        </w:pBdr>
      </w:pPr>
    </w:p>
    <w:p>
      <w:r>
        <w:rPr>
          <w:rFonts w:ascii="Calibri" w:hAnsi="Calibri"/>
          <w:b w:val="0"/>
          <w:color w:val="2C2C2C"/>
          <w:sz w:val="18"/>
        </w:rPr>
        <w:t>This document demonstrates:</w:t>
      </w:r>
    </w:p>
    <w:p>
      <w:pPr>
        <w:pStyle w:val="ListBullet"/>
        <w:ind w:left="432"/>
      </w:pPr>
      <w:r>
        <w:rPr>
          <w:rFonts w:ascii="Calibri" w:hAnsi="Calibri"/>
          <w:b/>
          <w:color w:val="80B020"/>
          <w:sz w:val="17"/>
        </w:rPr>
        <w:t>For ARC</w:t>
      </w:r>
      <w:r>
        <w:rPr>
          <w:rFonts w:ascii="Calibri" w:hAnsi="Calibri"/>
          <w:color w:val="2C2C2C"/>
          <w:sz w:val="17"/>
        </w:rPr>
        <w:t xml:space="preserve"> — The projected apheresis collection and cell processing volumes that the BMTCI Program at CCCUPR will generate under the ARC services agreement, justifying contract scope expansion to include autologous HSC collection, CAR-T lymphocyte apheresis, and allogeneic donor collections.</w:t>
      </w:r>
    </w:p>
    <w:p>
      <w:pPr>
        <w:pStyle w:val="ListBullet"/>
        <w:ind w:left="432"/>
      </w:pPr>
      <w:r>
        <w:rPr>
          <w:rFonts w:ascii="Calibri" w:hAnsi="Calibri"/>
          <w:b/>
          <w:color w:val="80B020"/>
          <w:sz w:val="17"/>
        </w:rPr>
        <w:t>For Stakeholders</w:t>
      </w:r>
      <w:r>
        <w:rPr>
          <w:rFonts w:ascii="Calibri" w:hAnsi="Calibri"/>
          <w:color w:val="2C2C2C"/>
          <w:sz w:val="17"/>
        </w:rPr>
        <w:t xml:space="preserve"> — How TCT's participation at CCCUPR (effective August 2026) will redistribute hematologic oncology patient volumes across Puerto Rico's hospital landscape, retaining patients on-island who currently travel to the US mainland.</w:t>
      </w:r>
    </w:p>
    <w:p>
      <w:r>
        <w:rPr>
          <w:rFonts w:ascii="Calibri" w:hAnsi="Calibri"/>
          <w:b/>
          <w:color w:val="80B020"/>
          <w:sz w:val="18"/>
        </w:rPr>
        <w:t xml:space="preserve">02  </w:t>
      </w:r>
      <w:r>
        <w:rPr>
          <w:rFonts w:ascii="Calibri" w:hAnsi="Calibri"/>
          <w:color w:val="888888"/>
          <w:sz w:val="18"/>
        </w:rPr>
        <w:t xml:space="preserve">·  </w:t>
      </w:r>
      <w:r>
        <w:rPr>
          <w:rFonts w:ascii="Calibri" w:hAnsi="Calibri"/>
          <w:b/>
          <w:color w:val="2C2C2C"/>
          <w:sz w:val="26"/>
        </w:rPr>
        <w:t>PROGRAM OVERVIEW</w:t>
      </w:r>
    </w:p>
    <w:p>
      <w:pPr>
        <w:pBdr>
          <w:bottom w:val="single" w:sz="8" w:space="1" w:color="80B020"/>
        </w:pBdr>
      </w:pPr>
    </w:p>
    <w:p>
      <w:r>
        <w:rPr>
          <w:rFonts w:ascii="Calibri" w:hAnsi="Calibri"/>
          <w:b w:val="0"/>
          <w:color w:val="2C2C2C"/>
          <w:sz w:val="18"/>
        </w:rPr>
        <w:t>The BMTCI Program (Hematopoietic Stem Cell Transplantation &amp; Cellular Immunotherapy) launches at CCCUPR as a new department — peer to Medical Oncology and Surgical Oncology — under the Hospital Medical Director. TCT Oncology provides transplant/cellular therapy expertise in collaboration with the CCCUPR academic platform.</w:t>
      </w:r>
    </w:p>
    <w:p>
      <w:r>
        <w:rPr>
          <w:rFonts w:ascii="Calibri" w:hAnsi="Calibri"/>
          <w:b/>
          <w:color w:val="5090B0"/>
          <w:sz w:val="20"/>
        </w:rPr>
        <w:t>TCT Oncology Dual-Site Presence</w:t>
      </w:r>
    </w:p>
    <w:p>
      <w:r>
        <w:rPr>
          <w:rFonts w:ascii="Calibri" w:hAnsi="Calibri"/>
          <w:b w:val="0"/>
          <w:color w:val="2C2C2C"/>
          <w:sz w:val="18"/>
        </w:rPr>
        <w:t>TCT operates at both CCCUPR (BMTCI Program) and Auxilio Mutuo Hospital (HAM), where TCT has an established allogeneic HSCT program and CIBMTR reporting infrastructure. This creates a complementary referral network — CCCUPR handles auto-HCT and CAR-T, while allo-HSCT patients identified at CCCUPR are referred to HAM through TCT, increasing HAM's allogeneic volume.</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Phase</w:t>
            </w:r>
          </w:p>
        </w:tc>
        <w:tc>
          <w:tcPr>
            <w:tcW w:type="dxa" w:w="2493"/>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Timeline</w:t>
            </w:r>
          </w:p>
        </w:tc>
        <w:tc>
          <w:tcPr>
            <w:tcW w:type="dxa" w:w="2493"/>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Scope</w:t>
            </w:r>
          </w:p>
        </w:tc>
        <w:tc>
          <w:tcPr>
            <w:tcW w:type="dxa" w:w="2493"/>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Volume Target</w:t>
            </w:r>
          </w:p>
        </w:tc>
      </w:tr>
      <w:tr>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Phase 1</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Year 1 (2026-2027)</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Autologous HCT</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10-15 auto-HCTs</w:t>
            </w:r>
          </w:p>
        </w:tc>
      </w:tr>
      <w:tr>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Phase 2</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Year 2-3 (2028-2029)</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 CAR-T, donor search, HLA</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20-30+ transplants/yr</w:t>
            </w:r>
          </w:p>
        </w:tc>
      </w:tr>
      <w:tr>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Phase 3</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Year 3+ (2029+)</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 Allo HCT, gene therapy, FACT</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Full-spectrum cellular therapy</w:t>
            </w:r>
          </w:p>
        </w:tc>
      </w:tr>
    </w:tbl>
    <w:p>
      <w:r>
        <w:rPr>
          <w:rFonts w:ascii="Calibri" w:hAnsi="Calibri"/>
          <w:b w:val="0"/>
          <w:color w:val="2C2C2C"/>
          <w:sz w:val="18"/>
        </w:rPr>
      </w:r>
    </w:p>
    <w:p>
      <w:r>
        <w:rPr>
          <w:rFonts w:ascii="Calibri" w:hAnsi="Calibri"/>
          <w:b w:val="0"/>
          <w:color w:val="888888"/>
          <w:sz w:val="15"/>
        </w:rPr>
        <w:t>Infrastructure: 3-4 HEPA-filtered rooms, outpatient transplant clinic, 2-3 apheresis chairs, pharmacy BSH, ICU with CRS/neurotoxicity capability. Staffing: 18-22 FTE (Phase 1), 26-30 (Phase 2), 32-37 (Phase 3).</w:t>
      </w:r>
    </w:p>
    <w:p>
      <w:r>
        <w:rPr>
          <w:rFonts w:ascii="Calibri" w:hAnsi="Calibri"/>
          <w:b/>
          <w:color w:val="80B020"/>
          <w:sz w:val="18"/>
        </w:rPr>
        <w:t xml:space="preserve">03  </w:t>
      </w:r>
      <w:r>
        <w:rPr>
          <w:rFonts w:ascii="Calibri" w:hAnsi="Calibri"/>
          <w:color w:val="888888"/>
          <w:sz w:val="18"/>
        </w:rPr>
        <w:t xml:space="preserve">·  </w:t>
      </w:r>
      <w:r>
        <w:rPr>
          <w:rFonts w:ascii="Calibri" w:hAnsi="Calibri"/>
          <w:b/>
          <w:color w:val="2C2C2C"/>
          <w:sz w:val="26"/>
        </w:rPr>
        <w:t>PUERTO RICO HEMATOLOGIC MALIGNANCY BURDEN</w:t>
      </w:r>
    </w:p>
    <w:p>
      <w:pPr>
        <w:pBdr>
          <w:bottom w:val="single" w:sz="8" w:space="1" w:color="80B020"/>
        </w:pBdr>
      </w:pPr>
    </w:p>
    <w:p>
      <w:r>
        <w:rPr>
          <w:rFonts w:ascii="Calibri" w:hAnsi="Calibri"/>
          <w:b/>
          <w:color w:val="5090B0"/>
          <w:sz w:val="20"/>
        </w:rPr>
        <w:t>Annual Disease Incidence</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Cancer Type</w:t>
            </w:r>
          </w:p>
        </w:tc>
        <w:tc>
          <w:tcPr>
            <w:tcW w:type="dxa" w:w="2493"/>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Incidence (per 100K)</w:t>
            </w:r>
          </w:p>
        </w:tc>
        <w:tc>
          <w:tcPr>
            <w:tcW w:type="dxa" w:w="2493"/>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Est. Cases/Year</w:t>
            </w:r>
          </w:p>
        </w:tc>
        <w:tc>
          <w:tcPr>
            <w:tcW w:type="dxa" w:w="2493"/>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Notes</w:t>
            </w:r>
          </w:p>
        </w:tc>
      </w:tr>
      <w:tr>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Leukemia (all subtypes)</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10.2</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~325</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9th most common cancer in PR</w:t>
            </w:r>
          </w:p>
        </w:tc>
      </w:tr>
      <w:tr>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Non-Hodgkin Lymphoma</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~13.5</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~430</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6th males, 7th females</w:t>
            </w:r>
          </w:p>
        </w:tc>
      </w:tr>
      <w:tr>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Hodgkin Lymphoma</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~2.5</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~80</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w:t>
            </w:r>
          </w:p>
        </w:tc>
      </w:tr>
      <w:tr>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Multiple Myeloma</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~6.5</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~210</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Increasing, younger women</w:t>
            </w:r>
          </w:p>
        </w:tc>
      </w:tr>
      <w:tr>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Other (MDS, MPN)</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~2.0</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~65</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Total</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~34.7</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~1,110</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r>
          </w:p>
        </w:tc>
      </w:tr>
    </w:tbl>
    <w:p>
      <w:r>
        <w:rPr>
          <w:rFonts w:ascii="Calibri" w:hAnsi="Calibri"/>
          <w:b w:val="0"/>
          <w:color w:val="888888"/>
          <w:sz w:val="14"/>
        </w:rPr>
        <w:t>Sources: PR Central Cancer Registry; SEER Program; Pop: 3,184,835 (US Census 2025)</w:t>
      </w:r>
    </w:p>
    <w:p>
      <w:r>
        <w:rPr>
          <w:rFonts w:ascii="Calibri" w:hAnsi="Calibri"/>
          <w:b/>
          <w:color w:val="5090B0"/>
          <w:sz w:val="20"/>
        </w:rPr>
        <w:t>Treatment-Eligible Patient Funnel</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Stage</w:t>
            </w:r>
          </w:p>
        </w:tc>
        <w:tc>
          <w:tcPr>
            <w:tcW w:type="dxa" w:w="332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Patients/Year</w:t>
            </w:r>
          </w:p>
        </w:tc>
        <w:tc>
          <w:tcPr>
            <w:tcW w:type="dxa" w:w="332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Notes</w:t>
            </w:r>
          </w:p>
        </w:tc>
      </w:tr>
      <w:tr>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New hematologic malignancies</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~1,110</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All subtypes</w:t>
            </w:r>
          </w:p>
        </w:tc>
      </w:tr>
      <w:tr>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Auto SCT-eligible (MM, NHL, HD)</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~150-200</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Consolidation or salvage</w:t>
            </w:r>
          </w:p>
        </w:tc>
      </w:tr>
      <w:tr>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Allo-HSCT eligible (AML, ALL, MDS)</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~40-60</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Requires matched donor</w:t>
            </w:r>
          </w:p>
        </w:tc>
      </w:tr>
      <w:tr>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CAR-T eligible (2nd/3rd+ line)</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~80-120</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After &gt;=1 prior line</w:t>
            </w:r>
          </w:p>
        </w:tc>
      </w:tr>
      <w:tr>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Currently receiving auto SCT on-island</w:t>
            </w:r>
          </w:p>
        </w:tc>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~20-35</w:t>
            </w:r>
          </w:p>
        </w:tc>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HAM only</w:t>
            </w:r>
          </w:p>
        </w:tc>
      </w:tr>
      <w:tr>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Currently receiving allo-HSCT on-island</w:t>
            </w:r>
          </w:p>
        </w:tc>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~8-15</w:t>
            </w:r>
          </w:p>
        </w:tc>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HAM only (limited)</w:t>
            </w:r>
          </w:p>
        </w:tc>
      </w:tr>
      <w:tr>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Currently receiving CAR-T on-island</w:t>
            </w:r>
          </w:p>
        </w:tc>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0</w:t>
            </w:r>
          </w:p>
        </w:tc>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No program exists</w:t>
            </w:r>
          </w:p>
        </w:tc>
      </w:tr>
      <w:tr>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Traveling to mainland US</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~60-100</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Those who can afford/access</w:t>
            </w:r>
          </w:p>
        </w:tc>
      </w:tr>
      <w:tr>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Eligible but untreated (access gap)</w:t>
            </w:r>
          </w:p>
        </w:tc>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~70-120</w:t>
            </w:r>
          </w:p>
        </w:tc>
        <w:tc>
          <w:tcPr>
            <w:tcW w:type="dxa" w:w="332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Cannot afford or access</w:t>
            </w:r>
          </w:p>
        </w:tc>
      </w:tr>
    </w:tbl>
    <w:p>
      <w:r>
        <w:rPr>
          <w:rFonts w:ascii="Calibri" w:hAnsi="Calibri"/>
          <w:b/>
          <w:color w:val="80B020"/>
          <w:sz w:val="18"/>
        </w:rPr>
        <w:t xml:space="preserve">04  </w:t>
      </w:r>
      <w:r>
        <w:rPr>
          <w:rFonts w:ascii="Calibri" w:hAnsi="Calibri"/>
          <w:color w:val="888888"/>
          <w:sz w:val="18"/>
        </w:rPr>
        <w:t xml:space="preserve">·  </w:t>
      </w:r>
      <w:r>
        <w:rPr>
          <w:rFonts w:ascii="Calibri" w:hAnsi="Calibri"/>
          <w:b/>
          <w:color w:val="2C2C2C"/>
          <w:sz w:val="26"/>
        </w:rPr>
        <w:t>ARC SERVICES — PROJECTED COLLECTION VOLUMES</w:t>
      </w:r>
    </w:p>
    <w:p>
      <w:pPr>
        <w:pBdr>
          <w:bottom w:val="single" w:sz="8" w:space="1" w:color="80B020"/>
        </w:pBdr>
      </w:pPr>
    </w:p>
    <w:p>
      <w:r>
        <w:rPr>
          <w:rFonts w:ascii="Calibri" w:hAnsi="Calibri"/>
          <w:b w:val="0"/>
          <w:color w:val="2C2C2C"/>
          <w:sz w:val="18"/>
        </w:rPr>
        <w:t>The ARC contract must cover the following services for the BMTCI Program. These volumes represent new activity generated by the program — not redistribution of existing ARC workload.</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ARC Service</w:t>
            </w:r>
          </w:p>
        </w:tc>
        <w:tc>
          <w:tcPr>
            <w:tcW w:type="dxa" w:w="1994"/>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Year 1 (2027)</w:t>
            </w:r>
          </w:p>
        </w:tc>
        <w:tc>
          <w:tcPr>
            <w:tcW w:type="dxa" w:w="1994"/>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Year 2 (2028)</w:t>
            </w:r>
          </w:p>
        </w:tc>
        <w:tc>
          <w:tcPr>
            <w:tcW w:type="dxa" w:w="1994"/>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Year 3 (2029)</w:t>
            </w:r>
          </w:p>
        </w:tc>
        <w:tc>
          <w:tcPr>
            <w:tcW w:type="dxa" w:w="1994"/>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Year 5 (2031)</w:t>
            </w:r>
          </w:p>
        </w:tc>
      </w:tr>
      <w:tr>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Autologous HSC collections</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12-18</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22-32</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30-42</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40-55</w:t>
            </w:r>
          </w:p>
        </w:tc>
      </w:tr>
      <w:tr>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CAR-T lymphocyte apheresis</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4-8</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10-14</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16-22</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30-45</w:t>
            </w:r>
          </w:p>
        </w:tc>
      </w:tr>
      <w:tr>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Allo donor collections (HAM via TCT)</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4-6</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8-12</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10-15</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15-22</w:t>
            </w:r>
          </w:p>
        </w:tc>
      </w:tr>
      <w:tr>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Cryopreservation events</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16-24</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30-44</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40-57</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55-77</w:t>
            </w:r>
          </w:p>
        </w:tc>
      </w:tr>
      <w:tr>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Product release testing</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20-32</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40-58</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56-80</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85-122</w:t>
            </w:r>
          </w:p>
        </w:tc>
      </w:tr>
      <w:tr>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Chain-of-custody/identity</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20-32</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40-58</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56-80</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85-122</w:t>
            </w:r>
          </w:p>
        </w:tc>
      </w:tr>
      <w:tr>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Total apheresis procedures</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20-32</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40-58</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56-80</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85-122</w:t>
            </w:r>
          </w:p>
        </w:tc>
      </w:tr>
    </w:tbl>
    <w:p>
      <w:r>
        <w:rPr>
          <w:rFonts w:ascii="Calibri" w:hAnsi="Calibri"/>
          <w:b w:val="0"/>
          <w:color w:val="2C2C2C"/>
          <w:sz w:val="18"/>
        </w:rPr>
      </w:r>
    </w:p>
    <w:p>
      <w:r>
        <w:rPr>
          <w:rFonts w:ascii="Calibri" w:hAnsi="Calibri"/>
          <w:b/>
          <w:color w:val="5090B0"/>
          <w:sz w:val="20"/>
        </w:rPr>
        <w:t>ARC Contract Scope Requirements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Service Category</w:t>
            </w:r>
          </w:p>
        </w:tc>
        <w:tc>
          <w:tcPr>
            <w:tcW w:type="dxa" w:w="332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Status</w:t>
            </w:r>
          </w:p>
        </w:tc>
        <w:tc>
          <w:tcPr>
            <w:tcW w:type="dxa" w:w="332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Action Required</w:t>
            </w:r>
          </w:p>
        </w:tc>
      </w:tr>
      <w:tr>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Autologous HSC collection &amp; processing</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Confirm</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Verify explicit coverage</w:t>
            </w:r>
          </w:p>
        </w:tc>
      </w:tr>
      <w:tr>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HSC cryopreservation &amp; storage</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Confirm</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Verify capacity &amp; pricing</w:t>
            </w:r>
          </w:p>
        </w:tc>
      </w:tr>
      <w:tr>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CAR-T lymphocyte apheresis &amp; shipment</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Likely gap</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Amend contract for leukapheresis</w:t>
            </w:r>
          </w:p>
        </w:tc>
      </w:tr>
      <w:tr>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Product release testing</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Confirm</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Verify turnaround times</w:t>
            </w:r>
          </w:p>
        </w:tc>
      </w:tr>
      <w:tr>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Chain-of-identity / custody</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Confirm</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Must meet FACT-JACIE standards</w:t>
            </w:r>
          </w:p>
        </w:tc>
      </w:tr>
      <w:tr>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Deviation reporting</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Confirm</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Align with CCCUPR quality program</w:t>
            </w:r>
          </w:p>
        </w:tc>
      </w:tr>
      <w:tr>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Pricing &amp; pass-through costs</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Review</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Negotiate volume-based pricing</w:t>
            </w:r>
          </w:p>
        </w:tc>
      </w:tr>
      <w:tr>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Capacity &amp; turnaround guarantees</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Critical</w:t>
            </w:r>
          </w:p>
        </w:tc>
        <w:tc>
          <w:tcPr>
            <w:tcW w:type="dxa" w:w="332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SLA must guarantee emergent slots</w:t>
            </w:r>
          </w:p>
        </w:tc>
      </w:tr>
      <w:tr>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Allo donor collections (Phase 3)</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Not yet needed</w:t>
            </w:r>
          </w:p>
        </w:tc>
        <w:tc>
          <w:tcPr>
            <w:tcW w:type="dxa" w:w="332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Plan amendment by Year 2-3</w:t>
            </w:r>
          </w:p>
        </w:tc>
      </w:tr>
    </w:tbl>
    <w:p>
      <w:r>
        <w:rPr>
          <w:rFonts w:ascii="Calibri" w:hAnsi="Calibri"/>
          <w:b/>
          <w:color w:val="80B020"/>
          <w:sz w:val="18"/>
        </w:rPr>
        <w:t xml:space="preserve">05  </w:t>
      </w:r>
      <w:r>
        <w:rPr>
          <w:rFonts w:ascii="Calibri" w:hAnsi="Calibri"/>
          <w:color w:val="888888"/>
          <w:sz w:val="18"/>
        </w:rPr>
        <w:t xml:space="preserve">·  </w:t>
      </w:r>
      <w:r>
        <w:rPr>
          <w:rFonts w:ascii="Calibri" w:hAnsi="Calibri"/>
          <w:b/>
          <w:color w:val="2C2C2C"/>
          <w:sz w:val="26"/>
        </w:rPr>
        <w:t>HOSPITAL VOLUME IMPACT</w:t>
      </w:r>
    </w:p>
    <w:p>
      <w:pPr>
        <w:pBdr>
          <w:bottom w:val="single" w:sz="8" w:space="1" w:color="80B020"/>
        </w:pBdr>
      </w:pPr>
    </w:p>
    <w:p>
      <w:r>
        <w:rPr>
          <w:rFonts w:ascii="Calibri" w:hAnsi="Calibri"/>
          <w:b/>
          <w:color w:val="5090B0"/>
          <w:sz w:val="20"/>
        </w:rPr>
        <w:t>Baseline: Where Patients Go Today</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Hospital / Destination</w:t>
            </w:r>
          </w:p>
        </w:tc>
        <w:tc>
          <w:tcPr>
            <w:tcW w:type="dxa" w:w="199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Consults/Yr</w:t>
            </w:r>
          </w:p>
        </w:tc>
        <w:tc>
          <w:tcPr>
            <w:tcW w:type="dxa" w:w="199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Auto SCT</w:t>
            </w:r>
          </w:p>
        </w:tc>
        <w:tc>
          <w:tcPr>
            <w:tcW w:type="dxa" w:w="199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Allo-HSCT</w:t>
            </w:r>
          </w:p>
        </w:tc>
        <w:tc>
          <w:tcPr>
            <w:tcW w:type="dxa" w:w="1994"/>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CAR-T</w:t>
            </w:r>
          </w:p>
        </w:tc>
      </w:tr>
      <w:tr>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CCCUPR</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2,200-2,800</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r>
      <w:tr>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Auxilio Mutuo (HAM) — TCT Oncology</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1,800-2,200</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15-25</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8-15</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r>
      <w:tr>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HIMA San Pablo Oncologico</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1,500-1,800</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5-10</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r>
      <w:tr>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Other PR hospitals &amp; practices</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2,400-3,400</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994"/>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r>
      <w:tr>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Mainland US</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40-60</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20-30</w:t>
            </w:r>
          </w:p>
        </w:tc>
        <w:tc>
          <w:tcPr>
            <w:tcW w:type="dxa" w:w="1994"/>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30-50</w:t>
            </w:r>
          </w:p>
        </w:tc>
      </w:tr>
      <w:tr>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Access gap (never treated)</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~50-80</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~12-15</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~50-70</w:t>
            </w:r>
          </w:p>
        </w:tc>
      </w:tr>
      <w:tr>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Total eligible</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~8,000-10,200</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~110-175</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~40-60</w:t>
            </w:r>
          </w:p>
        </w:tc>
        <w:tc>
          <w:tcPr>
            <w:tcW w:type="dxa" w:w="1994"/>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~80-120</w:t>
            </w:r>
          </w:p>
        </w:tc>
      </w:tr>
    </w:tbl>
    <w:p>
      <w:pPr>
        <w:ind w:left="288"/>
        <w:pBdr>
          <w:left w:val="single" w:sz="18" w:space="8" w:color="80B020"/>
        </w:pBdr>
      </w:pPr>
      <w:r>
        <w:rPr>
          <w:rFonts w:ascii="Calibri" w:hAnsi="Calibri"/>
          <w:b/>
          <w:color w:val="C0392B"/>
          <w:sz w:val="17"/>
        </w:rPr>
        <w:t>On-island treatment rates — Auto SCT: ~18-20%  |  Allo-HSCT: ~20-25%  |  CAR-T: 0%</w:t>
      </w:r>
    </w:p>
    <w:p>
      <w:r>
        <w:rPr>
          <w:rFonts w:ascii="Calibri" w:hAnsi="Calibri"/>
          <w:b w:val="0"/>
          <w:color w:val="2C2C2C"/>
          <w:sz w:val="18"/>
        </w:rPr>
      </w:r>
    </w:p>
    <w:p>
      <w:r>
        <w:rPr>
          <w:rFonts w:ascii="Calibri" w:hAnsi="Calibri"/>
          <w:b/>
          <w:color w:val="5090B0"/>
          <w:sz w:val="20"/>
        </w:rPr>
        <w:t>Autologous SCT — Projected Cases Per Year</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Hospital</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Baseline</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1</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2</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3</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5</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CCCUPR / BMTCI Program</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10-15</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22-30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30-40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40-50</w:t>
            </w:r>
          </w:p>
        </w:tc>
      </w:tr>
      <w:tr>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Auxilio Mutuo (HAM) — TCT</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15-25</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13-22</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12-20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10-18</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10-15</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HIMA San Pablo</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5-10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5-10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8-12</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10-15</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12-18</w:t>
            </w:r>
          </w:p>
        </w:tc>
      </w:tr>
      <w:tr>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Mainland US</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40-60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30-45</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22-35</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15-25</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8-15</w:t>
            </w:r>
          </w:p>
        </w:tc>
      </w:tr>
      <w:tr>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Access gap</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50-80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40-60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28-42</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18-28</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8-12</w:t>
            </w:r>
          </w:p>
        </w:tc>
      </w:tr>
      <w:tr>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Treated on-island</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20-35</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28-47</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42-62</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50-73</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62-83</w:t>
            </w:r>
          </w:p>
        </w:tc>
      </w:tr>
      <w:tr>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On-island capture rate</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~18-20%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~29-31%</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~46-45%</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~60-58%</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~79-75%</w:t>
            </w:r>
          </w:p>
        </w:tc>
      </w:tr>
    </w:tbl>
    <w:p>
      <w:r>
        <w:rPr>
          <w:rFonts w:ascii="Calibri" w:hAnsi="Calibri"/>
          <w:b w:val="0"/>
          <w:color w:val="2C2C2C"/>
          <w:sz w:val="18"/>
        </w:rPr>
      </w:r>
    </w:p>
    <w:p>
      <w:r>
        <w:rPr>
          <w:rFonts w:ascii="Calibri" w:hAnsi="Calibri"/>
          <w:b/>
          <w:color w:val="5090B0"/>
          <w:sz w:val="20"/>
        </w:rPr>
        <w:t>Allogeneic HSCT — HAM via TCT Oncology</w:t>
      </w:r>
    </w:p>
    <w:p>
      <w:r>
        <w:rPr>
          <w:rFonts w:ascii="Calibri" w:hAnsi="Calibri"/>
          <w:b w:val="0"/>
          <w:color w:val="2C2C2C"/>
          <w:sz w:val="17"/>
        </w:rPr>
        <w:t>TCT's dual-site presence creates a direct referral pipeline from CCCUPR to HAM for allo-HSCT. Patients identified at CCCUPR who require allogeneic transplant are referred to HAM through TCT — the only team performing allo-HSCT in Puerto Rico.</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Hospital</w:t>
            </w:r>
          </w:p>
        </w:tc>
        <w:tc>
          <w:tcPr>
            <w:tcW w:type="dxa" w:w="1662"/>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Baseline</w:t>
            </w:r>
          </w:p>
        </w:tc>
        <w:tc>
          <w:tcPr>
            <w:tcW w:type="dxa" w:w="1662"/>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Year 1</w:t>
            </w:r>
          </w:p>
        </w:tc>
        <w:tc>
          <w:tcPr>
            <w:tcW w:type="dxa" w:w="1662"/>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Year 2</w:t>
            </w:r>
          </w:p>
        </w:tc>
        <w:tc>
          <w:tcPr>
            <w:tcW w:type="dxa" w:w="1662"/>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Year 3</w:t>
            </w:r>
          </w:p>
        </w:tc>
        <w:tc>
          <w:tcPr>
            <w:tcW w:type="dxa" w:w="1662"/>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Year 5</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Auxilio Mutuo (HAM) — TCT</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8-15</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12-18</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16-24</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20-30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25-38</w:t>
            </w:r>
          </w:p>
        </w:tc>
      </w:tr>
      <w:tr>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CCCUPR / BMTCI Program</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0-2</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3-8</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Mainland US</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20-30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16-25</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12-20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10-16</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6-10</w:t>
            </w:r>
          </w:p>
        </w:tc>
      </w:tr>
      <w:tr>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Access gap</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12-15</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10-12</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8-10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5-8</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3-5</w:t>
            </w:r>
          </w:p>
        </w:tc>
      </w:tr>
      <w:tr>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HAM allo growth vs. baseline</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+50-20%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+100-60%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+150-100%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+213-153%</w:t>
            </w:r>
          </w:p>
        </w:tc>
      </w:tr>
    </w:tbl>
    <w:p>
      <w:pPr>
        <w:ind w:left="288"/>
        <w:pBdr>
          <w:left w:val="single" w:sz="18" w:space="8" w:color="80B020"/>
        </w:pBdr>
      </w:pPr>
      <w:r>
        <w:rPr>
          <w:rFonts w:ascii="Calibri" w:hAnsi="Calibri"/>
          <w:b/>
          <w:color w:val="5A8016"/>
          <w:sz w:val="17"/>
        </w:rPr>
        <w:t>CCCUPR diagnoses ~15-25 allo-eligible patients/year who currently go to the mainland or go untreated. TCT at CCCUPR identifies these patients early and routes them to HAM.</w:t>
      </w:r>
    </w:p>
    <w:p>
      <w:r>
        <w:rPr>
          <w:rFonts w:ascii="Calibri" w:hAnsi="Calibri"/>
          <w:b w:val="0"/>
          <w:color w:val="2C2C2C"/>
          <w:sz w:val="18"/>
        </w:rPr>
      </w:r>
    </w:p>
    <w:p>
      <w:r>
        <w:rPr>
          <w:rFonts w:ascii="Calibri" w:hAnsi="Calibri"/>
          <w:b/>
          <w:color w:val="5090B0"/>
          <w:sz w:val="20"/>
        </w:rPr>
        <w:t>CAR-T Infusions — Projected Cases Per Year</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Hospital</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Baseline</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1</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2</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3</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5</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CCCUPR / BMTCI Program</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4-8</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10-14</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16-22</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30-45</w:t>
            </w:r>
          </w:p>
        </w:tc>
      </w:tr>
      <w:tr>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Auxilio Mutuo (HAM)</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HIMA San Pablo</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r>
      <w:tr>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Mainland US</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30-50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25-42</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22-36</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18-28</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10-16</w:t>
            </w:r>
          </w:p>
        </w:tc>
      </w:tr>
      <w:tr>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Access gap</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50-70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42-58</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35-48</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28-38</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15-22</w:t>
            </w:r>
          </w:p>
        </w:tc>
      </w:tr>
      <w:tr>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Actually treated</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30-50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29-50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32-50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34-50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40-61</w:t>
            </w:r>
          </w:p>
        </w:tc>
      </w:tr>
      <w:tr>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Treatment access rate</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~38-42%</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~41-46%</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~48-51%</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~55-57%</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~73%</w:t>
            </w:r>
          </w:p>
        </w:tc>
      </w:tr>
    </w:tbl>
    <w:p>
      <w:r>
        <w:rPr>
          <w:rFonts w:ascii="Calibri" w:hAnsi="Calibri"/>
          <w:b w:val="0"/>
          <w:color w:val="2C2C2C"/>
          <w:sz w:val="18"/>
        </w:rPr>
      </w:r>
    </w:p>
    <w:p>
      <w:r>
        <w:rPr>
          <w:rFonts w:ascii="Calibri" w:hAnsi="Calibri"/>
          <w:b/>
          <w:color w:val="5090B0"/>
          <w:sz w:val="20"/>
        </w:rPr>
        <w:t>Hematology/Oncology Consults Per Year</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Hospital</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Baseline</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1</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2</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3</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5</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CCCUPR (incl. BMTCI)</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2,200-2,800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2,500-3,200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2,700-3,400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2,900-3,600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3,200-3,900</w:t>
            </w:r>
          </w:p>
        </w:tc>
      </w:tr>
      <w:tr>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Auxilio Mutuo (HAM) — TCT</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1,800-2,200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1,850-2,250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1,900-2,300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1,950-2,350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2,000-2,400</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HIMA San Pablo</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1,500-1,800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1,500-1,800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1,500-1,800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1,500-1,800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1,500-1,800</w:t>
            </w:r>
          </w:p>
        </w:tc>
      </w:tr>
      <w:tr>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Other PR hospitals</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2,400-3,400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2,350-3,350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2,300-3,300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2,300-3,300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2,300-3,300</w:t>
            </w:r>
          </w:p>
        </w:tc>
      </w:tr>
    </w:tbl>
    <w:p>
      <w:pPr>
        <w:ind w:left="288"/>
        <w:pBdr>
          <w:left w:val="single" w:sz="18" w:space="8" w:color="80B020"/>
        </w:pBdr>
      </w:pPr>
      <w:r>
        <w:rPr>
          <w:rFonts w:ascii="Calibri" w:hAnsi="Calibri"/>
          <w:b/>
          <w:color w:val="5A8016"/>
          <w:sz w:val="17"/>
        </w:rPr>
        <w:t>Both CCCUPR and HAM consult volumes increase. The TCT dual-site model is additive, not competitive.</w:t>
      </w:r>
    </w:p>
    <w:p>
      <w:r>
        <w:rPr>
          <w:rFonts w:ascii="Calibri" w:hAnsi="Calibri"/>
          <w:b/>
          <w:color w:val="80B020"/>
          <w:sz w:val="18"/>
        </w:rPr>
        <w:t xml:space="preserve">06  </w:t>
      </w:r>
      <w:r>
        <w:rPr>
          <w:rFonts w:ascii="Calibri" w:hAnsi="Calibri"/>
          <w:color w:val="888888"/>
          <w:sz w:val="18"/>
        </w:rPr>
        <w:t xml:space="preserve">·  </w:t>
      </w:r>
      <w:r>
        <w:rPr>
          <w:rFonts w:ascii="Calibri" w:hAnsi="Calibri"/>
          <w:b/>
          <w:color w:val="2C2C2C"/>
          <w:sz w:val="26"/>
        </w:rPr>
        <w:t>NET IMPACT ON EACH HOSPITAL</w:t>
      </w:r>
    </w:p>
    <w:p>
      <w:pPr>
        <w:pBdr>
          <w:bottom w:val="single" w:sz="8" w:space="1" w:color="80B020"/>
        </w:pBdr>
      </w:pP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Hospital</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Auto SCT</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Allo-HSCT</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CAR-T</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Consults</w:t>
            </w:r>
          </w:p>
        </w:tc>
        <w:tc>
          <w:tcPr>
            <w:tcW w:type="dxa" w:w="1662"/>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Net</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CCCUPR</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+10-50/yr</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 to 0-8</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+4-45/yr</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+300-1,100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Strong positive</w:t>
            </w:r>
          </w:p>
        </w:tc>
      </w:tr>
      <w:tr>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HAM — TCT</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-2 to -10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+4 to +23</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No change</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+50-200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Net positive</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HIMA San Pablo</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Minimal</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No change</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No change</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Stable</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Neutral</w:t>
            </w:r>
          </w:p>
        </w:tc>
      </w:tr>
      <w:tr>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Other PR</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No change</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No change</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No change</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-50 to -100</w:t>
            </w:r>
          </w:p>
        </w:tc>
        <w:tc>
          <w:tcPr>
            <w:tcW w:type="dxa" w:w="1662"/>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Minimal</w:t>
            </w:r>
          </w:p>
        </w:tc>
      </w:tr>
      <w:tr>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Mainland US</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-10 to -45</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-6 to -20</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-5 to -34</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w:t>
            </w:r>
          </w:p>
        </w:tc>
        <w:tc>
          <w:tcPr>
            <w:tcW w:type="dxa" w:w="1662"/>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Significant reduction</w:t>
            </w:r>
          </w:p>
        </w:tc>
      </w:tr>
      <w:tr>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Access gap</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-10 to -68</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-4 to -10</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-8 to -48</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w:t>
            </w:r>
          </w:p>
        </w:tc>
        <w:tc>
          <w:tcPr>
            <w:tcW w:type="dxa" w:w="1662"/>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Major positive</w:t>
            </w:r>
          </w:p>
        </w:tc>
      </w:tr>
    </w:tbl>
    <w:p>
      <w:r>
        <w:rPr>
          <w:rFonts w:ascii="Calibri" w:hAnsi="Calibri"/>
          <w:b w:val="0"/>
          <w:color w:val="2C2C2C"/>
          <w:sz w:val="18"/>
        </w:rPr>
      </w:r>
    </w:p>
    <w:p>
      <w:r>
        <w:rPr>
          <w:rFonts w:ascii="Calibri" w:hAnsi="Calibri"/>
          <w:b/>
          <w:color w:val="5090B0"/>
          <w:sz w:val="20"/>
        </w:rPr>
        <w:t>Auxilio Mutuo (HAM) — Detailed Impact via TCT Oncology</w:t>
      </w:r>
    </w:p>
    <w:p>
      <w:r>
        <w:rPr>
          <w:rFonts w:ascii="Calibri" w:hAnsi="Calibri"/>
          <w:b w:val="0"/>
          <w:color w:val="2C2C2C"/>
          <w:sz w:val="17"/>
        </w:rPr>
        <w:t>TCT's dual-site model makes HAM a net beneficiary of the BMTCI Program at CCCUPR:</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HAM Metric</w:t>
            </w:r>
          </w:p>
        </w:tc>
        <w:tc>
          <w:tcPr>
            <w:tcW w:type="dxa" w:w="2493"/>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Baseline</w:t>
            </w:r>
          </w:p>
        </w:tc>
        <w:tc>
          <w:tcPr>
            <w:tcW w:type="dxa" w:w="2493"/>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Year 5 (2031)</w:t>
            </w:r>
          </w:p>
        </w:tc>
        <w:tc>
          <w:tcPr>
            <w:tcW w:type="dxa" w:w="2493"/>
            <w:shd w:fill="80B020"/>
            <w:tcBorders>
              <w:top w:val="single" w:sz="2" w:space="0" w:color="80B020"/>
              <w:bottom w:val="single" w:sz="2" w:space="0" w:color="80B020"/>
              <w:left w:val="single" w:sz="2" w:space="0" w:color="80B020"/>
              <w:right w:val="single" w:sz="2" w:space="0" w:color="80B020"/>
            </w:tcBorders>
            <w:tcMar>
              <w:top w:w="40" w:type="dxa"/>
              <w:bottom w:w="40" w:type="dxa"/>
              <w:left w:w="80" w:type="dxa"/>
              <w:right w:w="80" w:type="dxa"/>
            </w:tcMar>
          </w:tcPr>
          <w:p>
            <w:pPr>
              <w:jc w:val="center"/>
            </w:pPr>
            <w:r/>
            <w:r>
              <w:rPr>
                <w:rFonts w:ascii="Calibri" w:hAnsi="Calibri"/>
                <w:b/>
                <w:color w:val="FFFFFF"/>
                <w:sz w:val="16"/>
              </w:rPr>
              <w:t>Change</w:t>
            </w:r>
          </w:p>
        </w:tc>
      </w:tr>
      <w:tr>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Auto SCT cases/year</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15-25</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10-15</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-5 to -10 (mild decline)</w:t>
            </w:r>
          </w:p>
        </w:tc>
      </w:tr>
      <w:tr>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Allo-HSCT cases/year</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8-15</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25-38</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+17 to +23 (significant growth)</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Total transplants/year</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23-40</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35-53</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+12 to +13 net gain</w:t>
            </w:r>
          </w:p>
        </w:tc>
      </w:tr>
      <w:tr>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Hem/onc consults/year</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1,800-2,200</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2,000-2,400</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+200 (allo workups)</w:t>
            </w:r>
          </w:p>
        </w:tc>
      </w:tr>
      <w:tr>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CIBMTR reportable cases</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23-40</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35-53</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+52-33% increase</w:t>
            </w:r>
          </w:p>
        </w:tc>
      </w:tr>
    </w:tbl>
    <w:p>
      <w:pPr>
        <w:ind w:left="288"/>
        <w:pBdr>
          <w:left w:val="single" w:sz="18" w:space="8" w:color="80B020"/>
        </w:pBdr>
      </w:pPr>
      <w:r>
        <w:rPr>
          <w:rFonts w:ascii="Calibri" w:hAnsi="Calibri"/>
          <w:b/>
          <w:color w:val="5A8016"/>
          <w:sz w:val="17"/>
        </w:rPr>
        <w:t>The allo-HSCT growth alone more than compensates for any auto SCT volume shift. HAM's transplant program becomes larger and more complex — strengthening its FACT credentials and academic profile.</w:t>
      </w:r>
    </w:p>
    <w:p>
      <w:r>
        <w:rPr>
          <w:rFonts w:ascii="Calibri" w:hAnsi="Calibri"/>
          <w:b/>
          <w:color w:val="80B020"/>
          <w:sz w:val="18"/>
        </w:rPr>
        <w:t xml:space="preserve">07  </w:t>
      </w:r>
      <w:r>
        <w:rPr>
          <w:rFonts w:ascii="Calibri" w:hAnsi="Calibri"/>
          <w:color w:val="888888"/>
          <w:sz w:val="18"/>
        </w:rPr>
        <w:t xml:space="preserve">·  </w:t>
      </w:r>
      <w:r>
        <w:rPr>
          <w:rFonts w:ascii="Calibri" w:hAnsi="Calibri"/>
          <w:b/>
          <w:color w:val="2C2C2C"/>
          <w:sz w:val="26"/>
        </w:rPr>
        <w:t>KEY TAKEAWAY</w:t>
      </w:r>
    </w:p>
    <w:p>
      <w:pPr>
        <w:pBdr>
          <w:bottom w:val="single" w:sz="8" w:space="1" w:color="80B020"/>
        </w:pBdr>
      </w:pPr>
    </w:p>
    <w:p>
      <w:r>
        <w:rPr>
          <w:rFonts w:ascii="Calibri" w:hAnsi="Calibri"/>
          <w:b/>
          <w:color w:val="80B020"/>
          <w:sz w:val="22"/>
        </w:rPr>
        <w:t>The BMTCI Program at CCCUPR does not cannibalize existing Puerto Rico hospital programs.</w:t>
      </w:r>
    </w:p>
    <w:p>
      <w:r>
        <w:rPr>
          <w:rFonts w:ascii="Calibri" w:hAnsi="Calibri"/>
          <w:b w:val="0"/>
          <w:color w:val="2C2C2C"/>
          <w:sz w:val="18"/>
        </w:rPr>
        <w:t>The overwhelming majority of volume comes from three sources:</w:t>
      </w:r>
    </w:p>
    <w:p>
      <w:pPr>
        <w:pStyle w:val="ListBullet"/>
        <w:ind w:left="432"/>
      </w:pPr>
      <w:r>
        <w:rPr>
          <w:rFonts w:ascii="Calibri" w:hAnsi="Calibri"/>
          <w:b/>
          <w:color w:val="80B020"/>
          <w:sz w:val="17"/>
        </w:rPr>
        <w:t>CCCUPR's own patients</w:t>
      </w:r>
      <w:r>
        <w:rPr>
          <w:rFonts w:ascii="Calibri" w:hAnsi="Calibri"/>
          <w:color w:val="2C2C2C"/>
          <w:sz w:val="17"/>
        </w:rPr>
        <w:t xml:space="preserve"> — patients who currently have no on-site transplant option</w:t>
      </w:r>
    </w:p>
    <w:p>
      <w:pPr>
        <w:pStyle w:val="ListBullet"/>
        <w:ind w:left="432"/>
      </w:pPr>
      <w:r>
        <w:rPr>
          <w:rFonts w:ascii="Calibri" w:hAnsi="Calibri"/>
          <w:b/>
          <w:color w:val="80B020"/>
          <w:sz w:val="17"/>
        </w:rPr>
        <w:t>Mainland repatriation</w:t>
      </w:r>
      <w:r>
        <w:rPr>
          <w:rFonts w:ascii="Calibri" w:hAnsi="Calibri"/>
          <w:color w:val="2C2C2C"/>
          <w:sz w:val="17"/>
        </w:rPr>
        <w:t xml:space="preserve"> — patients kept on-island instead of traveling to the mainland</w:t>
      </w:r>
    </w:p>
    <w:p>
      <w:pPr>
        <w:pStyle w:val="ListBullet"/>
        <w:ind w:left="432"/>
      </w:pPr>
      <w:r>
        <w:rPr>
          <w:rFonts w:ascii="Calibri" w:hAnsi="Calibri"/>
          <w:b/>
          <w:color w:val="80B020"/>
          <w:sz w:val="17"/>
        </w:rPr>
        <w:t>Access gap recovery</w:t>
      </w:r>
      <w:r>
        <w:rPr>
          <w:rFonts w:ascii="Calibri" w:hAnsi="Calibri"/>
          <w:color w:val="2C2C2C"/>
          <w:sz w:val="17"/>
        </w:rPr>
        <w:t xml:space="preserve"> — patients who would never have been treated</w:t>
      </w:r>
    </w:p>
    <w:p>
      <w:r>
        <w:rPr>
          <w:rFonts w:ascii="Calibri" w:hAnsi="Calibri"/>
          <w:b w:val="0"/>
          <w:color w:val="2C2C2C"/>
          <w:sz w:val="18"/>
        </w:rPr>
      </w:r>
    </w:p>
    <w:p>
      <w:r>
        <w:rPr>
          <w:rFonts w:ascii="Calibri" w:hAnsi="Calibri"/>
          <w:b/>
          <w:color w:val="5090B0"/>
          <w:sz w:val="20"/>
        </w:rPr>
        <w:t>Transformation of Puerto Rico's Cellular Therapy Landscape</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Metric</w:t>
            </w:r>
          </w:p>
        </w:tc>
        <w:tc>
          <w:tcPr>
            <w:tcW w:type="dxa" w:w="2493"/>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Today</w:t>
            </w:r>
          </w:p>
        </w:tc>
        <w:tc>
          <w:tcPr>
            <w:tcW w:type="dxa" w:w="2493"/>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Year 5 (2031)</w:t>
            </w:r>
          </w:p>
        </w:tc>
        <w:tc>
          <w:tcPr>
            <w:tcW w:type="dxa" w:w="2493"/>
            <w:shd w:fill="5090B0"/>
            <w:tcBorders>
              <w:top w:val="single" w:sz="2" w:space="0" w:color="5090B0"/>
              <w:bottom w:val="single" w:sz="2" w:space="0" w:color="5090B0"/>
              <w:left w:val="single" w:sz="2" w:space="0" w:color="5090B0"/>
              <w:right w:val="single" w:sz="2" w:space="0" w:color="5090B0"/>
            </w:tcBorders>
            <w:tcMar>
              <w:top w:w="40" w:type="dxa"/>
              <w:bottom w:w="40" w:type="dxa"/>
              <w:left w:w="80" w:type="dxa"/>
              <w:right w:w="80" w:type="dxa"/>
            </w:tcMar>
          </w:tcPr>
          <w:p>
            <w:pPr>
              <w:jc w:val="center"/>
            </w:pPr>
            <w:r/>
            <w:r>
              <w:rPr>
                <w:rFonts w:ascii="Calibri" w:hAnsi="Calibri"/>
                <w:b/>
                <w:color w:val="FFFFFF"/>
                <w:sz w:val="16"/>
              </w:rPr>
              <w:t>Change</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On-island auto SCT/year</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20-35</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62-83</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+210-137%</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On-island allo-HSCT (HAM via TCT)</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8-15</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25-38</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+213-153%</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On-island CAR-T/year</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0</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30-45</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From zero</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Total on-island transplants + CAR-T</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28-50</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117-166</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+318-232%</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On-island capture (auto SCT)</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18-20%</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75-79%</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+57 pts</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On-island capture (allo-HSCT)</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20-25%</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68-62%</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+43 pts</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Treatment access (CAR-T)</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38-42%</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73%</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+33 pts</w:t>
            </w:r>
          </w:p>
        </w:tc>
      </w:tr>
      <w:tr>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Patients traveling to mainland</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60-100/yr</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18-31/yr</w:t>
            </w:r>
          </w:p>
        </w:tc>
        <w:tc>
          <w:tcPr>
            <w:tcW w:type="dxa" w:w="2493"/>
            <w:shd w:fill="F7F9FA"/>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-70%</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Eligible untreated</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120-150/yr</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23-34/yr</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C0392B"/>
                <w:sz w:val="15"/>
              </w:rPr>
              <w:t>-78%</w:t>
            </w:r>
          </w:p>
        </w:tc>
      </w:tr>
      <w:tr>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5090B0"/>
                <w:sz w:val="15"/>
              </w:rPr>
              <w:t>HAM total transplant volume</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23-40/yr</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5090B0"/>
                <w:sz w:val="15"/>
              </w:rPr>
              <w:t>35-53/yr</w:t>
            </w:r>
          </w:p>
        </w:tc>
        <w:tc>
          <w:tcPr>
            <w:tcW w:type="dxa" w:w="2493"/>
            <w:shd w:fill="EAF4F0"/>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b/>
                <w:color w:val="27AE60"/>
                <w:sz w:val="15"/>
              </w:rPr>
              <w:t>+52-33%</w:t>
            </w:r>
          </w:p>
        </w:tc>
      </w:tr>
      <w:tr>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left"/>
            </w:pPr>
            <w:r/>
            <w:r>
              <w:rPr>
                <w:rFonts w:ascii="Calibri" w:hAnsi="Calibri"/>
                <w:b/>
                <w:color w:val="2C2C2C"/>
                <w:sz w:val="15"/>
              </w:rPr>
              <w:t>ARC apheresis procedures/year</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0</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85-122</w:t>
            </w:r>
          </w:p>
        </w:tc>
        <w:tc>
          <w:tcPr>
            <w:tcW w:type="dxa" w:w="2493"/>
            <w:shd w:fill="FFFFFF"/>
            <w:tcBorders>
              <w:top w:val="single" w:sz="2" w:space="0" w:color="D0D0D0"/>
              <w:bottom w:val="single" w:sz="2" w:space="0" w:color="D0D0D0"/>
              <w:left w:val="single" w:sz="2" w:space="0" w:color="D0D0D0"/>
              <w:right w:val="single" w:sz="2" w:space="0" w:color="D0D0D0"/>
            </w:tcBorders>
            <w:tcMar>
              <w:top w:w="40" w:type="dxa"/>
              <w:bottom w:w="40" w:type="dxa"/>
              <w:left w:w="80" w:type="dxa"/>
              <w:right w:w="80" w:type="dxa"/>
            </w:tcMar>
          </w:tcPr>
          <w:p>
            <w:pPr>
              <w:jc w:val="center"/>
            </w:pPr>
            <w:r/>
            <w:r>
              <w:rPr>
                <w:rFonts w:ascii="Calibri" w:hAnsi="Calibri"/>
                <w:color w:val="2C2C2C"/>
                <w:sz w:val="15"/>
              </w:rPr>
              <w:t>New volume</w:t>
            </w:r>
          </w:p>
        </w:tc>
      </w:tr>
    </w:tbl>
    <w:p>
      <w:r>
        <w:rPr>
          <w:rFonts w:ascii="Calibri" w:hAnsi="Calibri"/>
          <w:b w:val="0"/>
          <w:color w:val="2C2C2C"/>
          <w:sz w:val="18"/>
        </w:rPr>
      </w:r>
    </w:p>
    <w:p>
      <w:r>
        <w:rPr>
          <w:rFonts w:ascii="Calibri" w:hAnsi="Calibri"/>
          <w:b/>
          <w:color w:val="5090B0"/>
          <w:sz w:val="20"/>
        </w:rPr>
        <w:t>For ARC</w:t>
      </w:r>
    </w:p>
    <w:p>
      <w:r>
        <w:rPr>
          <w:rFonts w:ascii="Calibri" w:hAnsi="Calibri"/>
          <w:b w:val="0"/>
          <w:color w:val="2C2C2C"/>
          <w:sz w:val="18"/>
        </w:rPr>
        <w:t>This represents a sustained, growing volume of apheresis collections and cell processing services — starting at 20-32 procedures in Year 1 and scaling to 85-122 procedures by Year 5. This includes auto HSC collections (CCCUPR), CAR-T leukapheresis (CCCUPR), and allo donor collections (HAM via TCT). This is entirely new programmatic volume.</w:t>
      </w:r>
    </w:p>
    <w:p>
      <w:r>
        <w:rPr>
          <w:rFonts w:ascii="Calibri" w:hAnsi="Calibri"/>
          <w:b/>
          <w:color w:val="5090B0"/>
          <w:sz w:val="20"/>
        </w:rPr>
        <w:t>For HAM</w:t>
      </w:r>
    </w:p>
    <w:p>
      <w:r>
        <w:rPr>
          <w:rFonts w:ascii="Calibri" w:hAnsi="Calibri"/>
          <w:b w:val="0"/>
          <w:color w:val="2C2C2C"/>
          <w:sz w:val="18"/>
        </w:rPr>
        <w:t>TCT's dual-site model drives a net increase in HAM's total transplant volume (+52-33% by Year 5). The mild decline in auto SCT (-5 to -10 cases) is more than offset by allo-HSCT growth (+17 to +23 cases) generated by CCCUPR referrals through TCT.</w:t>
      </w:r>
    </w:p>
    <w:p>
      <w:pPr>
        <w:pBdr>
          <w:top w:val="single" w:sz="8" w:space="4" w:color="80B020"/>
        </w:pBdr>
      </w:pPr>
    </w:p>
    <w:p>
      <w:pPr>
        <w:jc w:val="left"/>
      </w:pPr>
      <w:r>
        <w:drawing>
          <wp:inline xmlns:a="http://schemas.openxmlformats.org/drawingml/2006/main" xmlns:pic="http://schemas.openxmlformats.org/drawingml/2006/picture">
            <wp:extent cx="1463040" cy="797619"/>
            <wp:docPr id="2" name="Picture 2"/>
            <wp:cNvGraphicFramePr>
              <a:graphicFrameLocks noChangeAspect="1"/>
            </wp:cNvGraphicFramePr>
            <a:graphic>
              <a:graphicData uri="http://schemas.openxmlformats.org/drawingml/2006/picture">
                <pic:pic>
                  <pic:nvPicPr>
                    <pic:cNvPr id="0" name="tct_logo.png"/>
                    <pic:cNvPicPr/>
                  </pic:nvPicPr>
                  <pic:blipFill>
                    <a:blip r:embed="rId9"/>
                    <a:stretch>
                      <a:fillRect/>
                    </a:stretch>
                  </pic:blipFill>
                  <pic:spPr>
                    <a:xfrm>
                      <a:off x="0" y="0"/>
                      <a:ext cx="1463040" cy="797619"/>
                    </a:xfrm>
                    <a:prstGeom prst="rect"/>
                  </pic:spPr>
                </pic:pic>
              </a:graphicData>
            </a:graphic>
          </wp:inline>
        </w:drawing>
      </w:r>
    </w:p>
    <w:p>
      <w:r>
        <w:rPr>
          <w:rFonts w:ascii="Calibri" w:hAnsi="Calibri"/>
          <w:color w:val="888888"/>
          <w:sz w:val="15"/>
        </w:rPr>
        <w:t>Prepared for BMTCI Program stakeholders and American Red Cross contract review</w:t>
      </w:r>
    </w:p>
    <w:p>
      <w:r>
        <w:rPr>
          <w:rFonts w:ascii="Calibri" w:hAnsi="Calibri"/>
          <w:color w:val="666666"/>
          <w:sz w:val="15"/>
        </w:rPr>
        <w:t>Carlos Mendez, COO — cmendez@tctoncology.com</w:t>
      </w:r>
    </w:p>
    <w:p>
      <w:r>
        <w:rPr>
          <w:rFonts w:ascii="Calibri" w:hAnsi="Calibri"/>
          <w:color w:val="888888"/>
          <w:sz w:val="15"/>
        </w:rPr>
        <w:t>June 2026  |  Confidential</w:t>
      </w:r>
    </w:p>
    <w:sectPr w:rsidR="00FC693F" w:rsidRPr="0006063C"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