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B2A4A"/>
          <w:sz w:val="52"/>
        </w:rPr>
        <w:t>ONCOCEL</w:t>
      </w:r>
      <w:r>
        <w:rPr>
          <w:rFonts w:ascii="Calibri" w:hAnsi="Calibri"/>
          <w:color w:val="777777"/>
          <w:sz w:val="28"/>
        </w:rPr>
        <w:t xml:space="preserve">  LLC</w:t>
      </w:r>
    </w:p>
    <w:p>
      <w:pPr>
        <w:pBdr>
          <w:bottom w:val="single" w:sz="10" w:space="1" w:color="007B7F"/>
        </w:pBdr>
      </w:pPr>
    </w:p>
    <w:p>
      <w:r>
        <w:rPr>
          <w:rFonts w:ascii="Calibri" w:hAnsi="Calibri"/>
          <w:b/>
          <w:color w:val="007B7F"/>
          <w:sz w:val="36"/>
        </w:rPr>
        <w:t>Volume Growth Notification</w:t>
      </w:r>
    </w:p>
    <w:p>
      <w:r>
        <w:rPr>
          <w:rFonts w:ascii="Calibri" w:hAnsi="Calibri"/>
          <w:color w:val="2C2C2C"/>
          <w:sz w:val="22"/>
        </w:rPr>
        <w:t>Prepared for American Red Cross (ARC)</w:t>
      </w:r>
    </w:p>
    <w:p>
      <w:r>
        <w:rPr>
          <w:rFonts w:ascii="Calibri" w:hAnsi="Calibri"/>
          <w:i/>
          <w:color w:val="777777"/>
          <w:sz w:val="18"/>
        </w:rPr>
        <w:t>Apheresis &amp; Cell Processing Services — Anticipated Volume Increase</w:t>
      </w:r>
    </w:p>
    <w:p>
      <w:r>
        <w:rPr>
          <w:rFonts w:ascii="Calibri" w:hAnsi="Calibri"/>
          <w:color w:val="777777"/>
          <w:sz w:val="17"/>
        </w:rPr>
        <w:t>June 2026  |  Confidential</w:t>
      </w:r>
    </w:p>
    <w:p>
      <w:r>
        <w:rPr>
          <w:rFonts w:ascii="Calibri" w:hAnsi="Calibri"/>
          <w:b/>
          <w:color w:val="007B7F"/>
          <w:sz w:val="18"/>
        </w:rPr>
        <w:t xml:space="preserve">01  </w:t>
      </w:r>
      <w:r>
        <w:rPr>
          <w:rFonts w:ascii="Calibri" w:hAnsi="Calibri"/>
          <w:b/>
          <w:color w:val="1B2A4A"/>
          <w:sz w:val="26"/>
        </w:rPr>
        <w:t>CONTEXT</w:t>
      </w:r>
    </w:p>
    <w:p>
      <w:pPr>
        <w:pBdr>
          <w:bottom w:val="single" w:sz="6" w:space="1" w:color="007B7F"/>
        </w:pBdr>
      </w:pPr>
    </w:p>
    <w:p>
      <w:r>
        <w:rPr>
          <w:rFonts w:ascii="Calibri" w:hAnsi="Calibri"/>
          <w:b w:val="0"/>
          <w:color w:val="2C2C2C"/>
          <w:sz w:val="18"/>
        </w:rPr>
        <w:t>OncoCel LLC is launching a BMTCI Program (Hematopoietic Stem Cell Transplantation &amp; Cellular Immunotherapy) at the Centro Comprensivo de Cancer de la Universidad de Puerto Rico (CCCUPR), with clinical operations beginning August 2026.</w:t>
      </w:r>
    </w:p>
    <w:p>
      <w:r>
        <w:rPr>
          <w:rFonts w:ascii="Calibri" w:hAnsi="Calibri"/>
          <w:b w:val="0"/>
          <w:color w:val="2C2C2C"/>
          <w:sz w:val="18"/>
        </w:rPr>
        <w:t>ARC is the only FACT-accredited apheresis and cell processing provider on the island. As OncoCel scales its three-pillar program — autologous HCT, allogeneic HSCT, and CAR-T cellular therapy — ARC's collection and processing volume will increase significantly. This document provides ARC with advance notice of projected volumes to support capacity planning and contract scope review.</w:t>
      </w:r>
    </w:p>
    <w:p>
      <w:pPr>
        <w:ind w:left="216"/>
        <w:pBdr>
          <w:left w:val="single" w:sz="16" w:space="8" w:color="007B7F"/>
        </w:pBdr>
      </w:pPr>
      <w:r>
        <w:rPr>
          <w:rFonts w:ascii="Calibri" w:hAnsi="Calibri"/>
          <w:b/>
          <w:color w:val="1B2A4A"/>
          <w:sz w:val="17"/>
        </w:rPr>
        <w:t>Purpose: Give ARC a heads-up on anticipated volume growth so both organizations can plan capacity, amend contract scope, and ensure service continuity.</w:t>
      </w:r>
    </w:p>
    <w:p>
      <w:r>
        <w:rPr>
          <w:rFonts w:ascii="Calibri" w:hAnsi="Calibri"/>
          <w:b/>
          <w:color w:val="007B7F"/>
          <w:sz w:val="18"/>
        </w:rPr>
        <w:t xml:space="preserve">02  </w:t>
      </w:r>
      <w:r>
        <w:rPr>
          <w:rFonts w:ascii="Calibri" w:hAnsi="Calibri"/>
          <w:b/>
          <w:color w:val="1B2A4A"/>
          <w:sz w:val="26"/>
        </w:rPr>
        <w:t>ONCOCEL PROGRAM PHASES</w:t>
      </w:r>
    </w:p>
    <w:p>
      <w:pPr>
        <w:pBdr>
          <w:bottom w:val="single" w:sz="6" w:space="1" w:color="007B7F"/>
        </w:pBdr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007B7F"/>
            <w:tcBorders>
              <w:top w:val="single" w:sz="2" w:space="0" w:color="007B7F"/>
              <w:bottom w:val="single" w:sz="2" w:space="0" w:color="007B7F"/>
              <w:left w:val="single" w:sz="2" w:space="0" w:color="007B7F"/>
              <w:right w:val="single" w:sz="2" w:space="0" w:color="007B7F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Phase</w:t>
            </w:r>
          </w:p>
        </w:tc>
        <w:tc>
          <w:tcPr>
            <w:tcW w:type="dxa" w:w="2436"/>
            <w:shd w:fill="007B7F"/>
            <w:tcBorders>
              <w:top w:val="single" w:sz="2" w:space="0" w:color="007B7F"/>
              <w:bottom w:val="single" w:sz="2" w:space="0" w:color="007B7F"/>
              <w:left w:val="single" w:sz="2" w:space="0" w:color="007B7F"/>
              <w:right w:val="single" w:sz="2" w:space="0" w:color="007B7F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Timeline</w:t>
            </w:r>
          </w:p>
        </w:tc>
        <w:tc>
          <w:tcPr>
            <w:tcW w:type="dxa" w:w="2436"/>
            <w:shd w:fill="007B7F"/>
            <w:tcBorders>
              <w:top w:val="single" w:sz="2" w:space="0" w:color="007B7F"/>
              <w:bottom w:val="single" w:sz="2" w:space="0" w:color="007B7F"/>
              <w:left w:val="single" w:sz="2" w:space="0" w:color="007B7F"/>
              <w:right w:val="single" w:sz="2" w:space="0" w:color="007B7F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Scope</w:t>
            </w:r>
          </w:p>
        </w:tc>
        <w:tc>
          <w:tcPr>
            <w:tcW w:type="dxa" w:w="2436"/>
            <w:shd w:fill="007B7F"/>
            <w:tcBorders>
              <w:top w:val="single" w:sz="2" w:space="0" w:color="007B7F"/>
              <w:bottom w:val="single" w:sz="2" w:space="0" w:color="007B7F"/>
              <w:left w:val="single" w:sz="2" w:space="0" w:color="007B7F"/>
              <w:right w:val="single" w:sz="2" w:space="0" w:color="007B7F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Volume Target</w:t>
            </w:r>
          </w:p>
        </w:tc>
      </w:tr>
      <w:tr>
        <w:tc>
          <w:tcPr>
            <w:tcW w:type="dxa" w:w="2436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2C2C2C"/>
                <w:sz w:val="16"/>
              </w:rPr>
              <w:t>Phase 1</w:t>
            </w:r>
          </w:p>
        </w:tc>
        <w:tc>
          <w:tcPr>
            <w:tcW w:type="dxa" w:w="2436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Year 1 (Aug 2026-2027)</w:t>
            </w:r>
          </w:p>
        </w:tc>
        <w:tc>
          <w:tcPr>
            <w:tcW w:type="dxa" w:w="2436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Autologous HCT</w:t>
            </w:r>
          </w:p>
        </w:tc>
        <w:tc>
          <w:tcPr>
            <w:tcW w:type="dxa" w:w="2436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10-15 auto-HCTs</w:t>
            </w:r>
          </w:p>
        </w:tc>
      </w:tr>
      <w:tr>
        <w:tc>
          <w:tcPr>
            <w:tcW w:type="dxa" w:w="2436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2C2C2C"/>
                <w:sz w:val="16"/>
              </w:rPr>
              <w:t>Phase 2</w:t>
            </w:r>
          </w:p>
        </w:tc>
        <w:tc>
          <w:tcPr>
            <w:tcW w:type="dxa" w:w="2436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Year 2-3 (2028-2029)</w:t>
            </w:r>
          </w:p>
        </w:tc>
        <w:tc>
          <w:tcPr>
            <w:tcW w:type="dxa" w:w="2436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+ CAR-T + Donor Search</w:t>
            </w:r>
          </w:p>
        </w:tc>
        <w:tc>
          <w:tcPr>
            <w:tcW w:type="dxa" w:w="2436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E8849"/>
                <w:sz w:val="16"/>
              </w:rPr>
              <w:t>20-30+ transplants/yr</w:t>
            </w:r>
          </w:p>
        </w:tc>
      </w:tr>
      <w:tr>
        <w:tc>
          <w:tcPr>
            <w:tcW w:type="dxa" w:w="2436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2C2C2C"/>
                <w:sz w:val="16"/>
              </w:rPr>
              <w:t>Phase 3</w:t>
            </w:r>
          </w:p>
        </w:tc>
        <w:tc>
          <w:tcPr>
            <w:tcW w:type="dxa" w:w="2436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E8849"/>
                <w:sz w:val="16"/>
              </w:rPr>
              <w:t>Year 3+ (2029+)</w:t>
            </w:r>
          </w:p>
        </w:tc>
        <w:tc>
          <w:tcPr>
            <w:tcW w:type="dxa" w:w="2436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+ Allogeneic HCT + Gene Therapy</w:t>
            </w:r>
          </w:p>
        </w:tc>
        <w:tc>
          <w:tcPr>
            <w:tcW w:type="dxa" w:w="2436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Full-spectrum program</w:t>
            </w:r>
          </w:p>
        </w:tc>
      </w:tr>
    </w:tbl>
    <w:p>
      <w:r>
        <w:rPr>
          <w:rFonts w:ascii="Calibri" w:hAnsi="Calibri"/>
          <w:b w:val="0"/>
          <w:color w:val="2C2C2C"/>
          <w:sz w:val="18"/>
        </w:rPr>
      </w:r>
    </w:p>
    <w:p>
      <w:r>
        <w:rPr>
          <w:rFonts w:ascii="Calibri" w:hAnsi="Calibri"/>
          <w:b w:val="0"/>
          <w:color w:val="2C2C2C"/>
          <w:sz w:val="17"/>
        </w:rPr>
        <w:t>OncoCel also operates the allogeneic HSCT program at Auxilio Mutuo Hospital (HAM). Patients identified at CCCUPR who need allo-HSCT will be referred to HAM, generating additional donor collection volume for ARC.</w:t>
      </w:r>
    </w:p>
    <w:p>
      <w:r>
        <w:rPr>
          <w:rFonts w:ascii="Calibri" w:hAnsi="Calibri"/>
          <w:b/>
          <w:color w:val="007B7F"/>
          <w:sz w:val="18"/>
        </w:rPr>
        <w:t xml:space="preserve">03  </w:t>
      </w:r>
      <w:r>
        <w:rPr>
          <w:rFonts w:ascii="Calibri" w:hAnsi="Calibri"/>
          <w:b/>
          <w:color w:val="1B2A4A"/>
          <w:sz w:val="26"/>
        </w:rPr>
        <w:t>PROJECTED ARC COLLECTION VOLUMES</w:t>
      </w:r>
    </w:p>
    <w:p>
      <w:pPr>
        <w:pBdr>
          <w:bottom w:val="single" w:sz="6" w:space="1" w:color="007B7F"/>
        </w:pBdr>
      </w:pPr>
    </w:p>
    <w:p>
      <w:r>
        <w:rPr>
          <w:rFonts w:ascii="Calibri" w:hAnsi="Calibri"/>
          <w:b/>
          <w:color w:val="007B7F"/>
          <w:sz w:val="18"/>
        </w:rPr>
        <w:t>All volumes below represent new programmatic activity. This is not a redistribution of existing ARC workload.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007B7F"/>
            <w:tcBorders>
              <w:top w:val="single" w:sz="2" w:space="0" w:color="007B7F"/>
              <w:bottom w:val="single" w:sz="2" w:space="0" w:color="007B7F"/>
              <w:left w:val="single" w:sz="2" w:space="0" w:color="007B7F"/>
              <w:right w:val="single" w:sz="2" w:space="0" w:color="007B7F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ARC Service</w:t>
            </w:r>
          </w:p>
        </w:tc>
        <w:tc>
          <w:tcPr>
            <w:tcW w:type="dxa" w:w="1949"/>
            <w:shd w:fill="007B7F"/>
            <w:tcBorders>
              <w:top w:val="single" w:sz="2" w:space="0" w:color="007B7F"/>
              <w:bottom w:val="single" w:sz="2" w:space="0" w:color="007B7F"/>
              <w:left w:val="single" w:sz="2" w:space="0" w:color="007B7F"/>
              <w:right w:val="single" w:sz="2" w:space="0" w:color="007B7F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Year 1</w:t>
            </w:r>
          </w:p>
        </w:tc>
        <w:tc>
          <w:tcPr>
            <w:tcW w:type="dxa" w:w="1949"/>
            <w:shd w:fill="007B7F"/>
            <w:tcBorders>
              <w:top w:val="single" w:sz="2" w:space="0" w:color="007B7F"/>
              <w:bottom w:val="single" w:sz="2" w:space="0" w:color="007B7F"/>
              <w:left w:val="single" w:sz="2" w:space="0" w:color="007B7F"/>
              <w:right w:val="single" w:sz="2" w:space="0" w:color="007B7F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Year 2</w:t>
            </w:r>
          </w:p>
        </w:tc>
        <w:tc>
          <w:tcPr>
            <w:tcW w:type="dxa" w:w="1949"/>
            <w:shd w:fill="007B7F"/>
            <w:tcBorders>
              <w:top w:val="single" w:sz="2" w:space="0" w:color="007B7F"/>
              <w:bottom w:val="single" w:sz="2" w:space="0" w:color="007B7F"/>
              <w:left w:val="single" w:sz="2" w:space="0" w:color="007B7F"/>
              <w:right w:val="single" w:sz="2" w:space="0" w:color="007B7F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Year 3</w:t>
            </w:r>
          </w:p>
        </w:tc>
        <w:tc>
          <w:tcPr>
            <w:tcW w:type="dxa" w:w="1949"/>
            <w:shd w:fill="007B7F"/>
            <w:tcBorders>
              <w:top w:val="single" w:sz="2" w:space="0" w:color="007B7F"/>
              <w:bottom w:val="single" w:sz="2" w:space="0" w:color="007B7F"/>
              <w:left w:val="single" w:sz="2" w:space="0" w:color="007B7F"/>
              <w:right w:val="single" w:sz="2" w:space="0" w:color="007B7F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Year 5</w:t>
            </w:r>
          </w:p>
        </w:tc>
      </w:tr>
      <w:tr>
        <w:tc>
          <w:tcPr>
            <w:tcW w:type="dxa" w:w="19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2C2C2C"/>
                <w:sz w:val="16"/>
              </w:rPr>
              <w:t>Autologous HSC collections (CCCUPR)</w:t>
            </w:r>
          </w:p>
        </w:tc>
        <w:tc>
          <w:tcPr>
            <w:tcW w:type="dxa" w:w="19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12-18</w:t>
            </w:r>
          </w:p>
        </w:tc>
        <w:tc>
          <w:tcPr>
            <w:tcW w:type="dxa" w:w="19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22-32</w:t>
            </w:r>
          </w:p>
        </w:tc>
        <w:tc>
          <w:tcPr>
            <w:tcW w:type="dxa" w:w="19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30-42</w:t>
            </w:r>
          </w:p>
        </w:tc>
        <w:tc>
          <w:tcPr>
            <w:tcW w:type="dxa" w:w="19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40-55</w:t>
            </w:r>
          </w:p>
        </w:tc>
      </w:tr>
      <w:tr>
        <w:tc>
          <w:tcPr>
            <w:tcW w:type="dxa" w:w="19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2C2C2C"/>
                <w:sz w:val="16"/>
              </w:rPr>
              <w:t>CAR-T leukapheresis (CCCUPR)</w:t>
            </w:r>
          </w:p>
        </w:tc>
        <w:tc>
          <w:tcPr>
            <w:tcW w:type="dxa" w:w="19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4-8</w:t>
            </w:r>
          </w:p>
        </w:tc>
        <w:tc>
          <w:tcPr>
            <w:tcW w:type="dxa" w:w="19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10-14</w:t>
            </w:r>
          </w:p>
        </w:tc>
        <w:tc>
          <w:tcPr>
            <w:tcW w:type="dxa" w:w="19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16-22</w:t>
            </w:r>
          </w:p>
        </w:tc>
        <w:tc>
          <w:tcPr>
            <w:tcW w:type="dxa" w:w="19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30-45</w:t>
            </w:r>
          </w:p>
        </w:tc>
      </w:tr>
      <w:tr>
        <w:tc>
          <w:tcPr>
            <w:tcW w:type="dxa" w:w="19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2C2C2C"/>
                <w:sz w:val="16"/>
              </w:rPr>
              <w:t>Allogeneic donor collections (HAM)</w:t>
            </w:r>
          </w:p>
        </w:tc>
        <w:tc>
          <w:tcPr>
            <w:tcW w:type="dxa" w:w="19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4-6</w:t>
            </w:r>
          </w:p>
        </w:tc>
        <w:tc>
          <w:tcPr>
            <w:tcW w:type="dxa" w:w="19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8-12</w:t>
            </w:r>
          </w:p>
        </w:tc>
        <w:tc>
          <w:tcPr>
            <w:tcW w:type="dxa" w:w="19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10-15</w:t>
            </w:r>
          </w:p>
        </w:tc>
        <w:tc>
          <w:tcPr>
            <w:tcW w:type="dxa" w:w="19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15-22</w:t>
            </w:r>
          </w:p>
        </w:tc>
      </w:tr>
      <w:tr>
        <w:tc>
          <w:tcPr>
            <w:tcW w:type="dxa" w:w="1949"/>
            <w:shd w:fill="E8F4F0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07B7F"/>
                <w:sz w:val="16"/>
              </w:rPr>
              <w:t>Total apheresis procedures</w:t>
            </w:r>
          </w:p>
        </w:tc>
        <w:tc>
          <w:tcPr>
            <w:tcW w:type="dxa" w:w="1949"/>
            <w:shd w:fill="E8F4F0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7B7F"/>
                <w:sz w:val="16"/>
              </w:rPr>
              <w:t>20-32</w:t>
            </w:r>
          </w:p>
        </w:tc>
        <w:tc>
          <w:tcPr>
            <w:tcW w:type="dxa" w:w="1949"/>
            <w:shd w:fill="E8F4F0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7B7F"/>
                <w:sz w:val="16"/>
              </w:rPr>
              <w:t>40-58</w:t>
            </w:r>
          </w:p>
        </w:tc>
        <w:tc>
          <w:tcPr>
            <w:tcW w:type="dxa" w:w="1949"/>
            <w:shd w:fill="E8F4F0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7B7F"/>
                <w:sz w:val="16"/>
              </w:rPr>
              <w:t>56-80</w:t>
            </w:r>
          </w:p>
        </w:tc>
        <w:tc>
          <w:tcPr>
            <w:tcW w:type="dxa" w:w="1949"/>
            <w:shd w:fill="E8F4F0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7B7F"/>
                <w:sz w:val="16"/>
              </w:rPr>
              <w:t>85-122</w:t>
            </w:r>
          </w:p>
        </w:tc>
      </w:tr>
    </w:tbl>
    <w:p>
      <w:r>
        <w:rPr>
          <w:rFonts w:ascii="Calibri" w:hAnsi="Calibri"/>
          <w:b w:val="0"/>
          <w:color w:val="2C2C2C"/>
          <w:sz w:val="18"/>
        </w:rPr>
      </w:r>
    </w:p>
    <w:p>
      <w:r>
        <w:rPr>
          <w:rFonts w:ascii="Calibri" w:hAnsi="Calibri"/>
          <w:b/>
          <w:color w:val="007B7F"/>
          <w:sz w:val="18"/>
        </w:rPr>
        <w:t>Supporting processing volume: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B2A4A"/>
            <w:tcBorders>
              <w:top w:val="single" w:sz="2" w:space="0" w:color="1B2A4A"/>
              <w:bottom w:val="single" w:sz="2" w:space="0" w:color="1B2A4A"/>
              <w:left w:val="single" w:sz="2" w:space="0" w:color="1B2A4A"/>
              <w:right w:val="single" w:sz="2" w:space="0" w:color="1B2A4A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Processing Service</w:t>
            </w:r>
          </w:p>
        </w:tc>
        <w:tc>
          <w:tcPr>
            <w:tcW w:type="dxa" w:w="1949"/>
            <w:shd w:fill="1B2A4A"/>
            <w:tcBorders>
              <w:top w:val="single" w:sz="2" w:space="0" w:color="1B2A4A"/>
              <w:bottom w:val="single" w:sz="2" w:space="0" w:color="1B2A4A"/>
              <w:left w:val="single" w:sz="2" w:space="0" w:color="1B2A4A"/>
              <w:right w:val="single" w:sz="2" w:space="0" w:color="1B2A4A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Year 1</w:t>
            </w:r>
          </w:p>
        </w:tc>
        <w:tc>
          <w:tcPr>
            <w:tcW w:type="dxa" w:w="1949"/>
            <w:shd w:fill="1B2A4A"/>
            <w:tcBorders>
              <w:top w:val="single" w:sz="2" w:space="0" w:color="1B2A4A"/>
              <w:bottom w:val="single" w:sz="2" w:space="0" w:color="1B2A4A"/>
              <w:left w:val="single" w:sz="2" w:space="0" w:color="1B2A4A"/>
              <w:right w:val="single" w:sz="2" w:space="0" w:color="1B2A4A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Year 2</w:t>
            </w:r>
          </w:p>
        </w:tc>
        <w:tc>
          <w:tcPr>
            <w:tcW w:type="dxa" w:w="1949"/>
            <w:shd w:fill="1B2A4A"/>
            <w:tcBorders>
              <w:top w:val="single" w:sz="2" w:space="0" w:color="1B2A4A"/>
              <w:bottom w:val="single" w:sz="2" w:space="0" w:color="1B2A4A"/>
              <w:left w:val="single" w:sz="2" w:space="0" w:color="1B2A4A"/>
              <w:right w:val="single" w:sz="2" w:space="0" w:color="1B2A4A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Year 3</w:t>
            </w:r>
          </w:p>
        </w:tc>
        <w:tc>
          <w:tcPr>
            <w:tcW w:type="dxa" w:w="1949"/>
            <w:shd w:fill="1B2A4A"/>
            <w:tcBorders>
              <w:top w:val="single" w:sz="2" w:space="0" w:color="1B2A4A"/>
              <w:bottom w:val="single" w:sz="2" w:space="0" w:color="1B2A4A"/>
              <w:left w:val="single" w:sz="2" w:space="0" w:color="1B2A4A"/>
              <w:right w:val="single" w:sz="2" w:space="0" w:color="1B2A4A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Year 5</w:t>
            </w:r>
          </w:p>
        </w:tc>
      </w:tr>
      <w:tr>
        <w:tc>
          <w:tcPr>
            <w:tcW w:type="dxa" w:w="19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2C2C2C"/>
                <w:sz w:val="16"/>
              </w:rPr>
              <w:t>Cryopreservation events</w:t>
            </w:r>
          </w:p>
        </w:tc>
        <w:tc>
          <w:tcPr>
            <w:tcW w:type="dxa" w:w="19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16-24</w:t>
            </w:r>
          </w:p>
        </w:tc>
        <w:tc>
          <w:tcPr>
            <w:tcW w:type="dxa" w:w="19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30-44</w:t>
            </w:r>
          </w:p>
        </w:tc>
        <w:tc>
          <w:tcPr>
            <w:tcW w:type="dxa" w:w="19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40-57</w:t>
            </w:r>
          </w:p>
        </w:tc>
        <w:tc>
          <w:tcPr>
            <w:tcW w:type="dxa" w:w="19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55-77</w:t>
            </w:r>
          </w:p>
        </w:tc>
      </w:tr>
      <w:tr>
        <w:tc>
          <w:tcPr>
            <w:tcW w:type="dxa" w:w="19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2C2C2C"/>
                <w:sz w:val="16"/>
              </w:rPr>
              <w:t>Product release testing</w:t>
            </w:r>
          </w:p>
        </w:tc>
        <w:tc>
          <w:tcPr>
            <w:tcW w:type="dxa" w:w="19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20-32</w:t>
            </w:r>
          </w:p>
        </w:tc>
        <w:tc>
          <w:tcPr>
            <w:tcW w:type="dxa" w:w="19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40-58</w:t>
            </w:r>
          </w:p>
        </w:tc>
        <w:tc>
          <w:tcPr>
            <w:tcW w:type="dxa" w:w="19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56-80</w:t>
            </w:r>
          </w:p>
        </w:tc>
        <w:tc>
          <w:tcPr>
            <w:tcW w:type="dxa" w:w="19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85-122</w:t>
            </w:r>
          </w:p>
        </w:tc>
      </w:tr>
      <w:tr>
        <w:tc>
          <w:tcPr>
            <w:tcW w:type="dxa" w:w="19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2C2C2C"/>
                <w:sz w:val="16"/>
              </w:rPr>
              <w:t>Chain-of-custody/identity</w:t>
            </w:r>
          </w:p>
        </w:tc>
        <w:tc>
          <w:tcPr>
            <w:tcW w:type="dxa" w:w="19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20-32</w:t>
            </w:r>
          </w:p>
        </w:tc>
        <w:tc>
          <w:tcPr>
            <w:tcW w:type="dxa" w:w="19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40-58</w:t>
            </w:r>
          </w:p>
        </w:tc>
        <w:tc>
          <w:tcPr>
            <w:tcW w:type="dxa" w:w="19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56-80</w:t>
            </w:r>
          </w:p>
        </w:tc>
        <w:tc>
          <w:tcPr>
            <w:tcW w:type="dxa" w:w="19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85-122</w:t>
            </w:r>
          </w:p>
        </w:tc>
      </w:tr>
    </w:tbl>
    <w:p>
      <w:r>
        <w:rPr>
          <w:rFonts w:ascii="Calibri" w:hAnsi="Calibri"/>
          <w:b/>
          <w:color w:val="007B7F"/>
          <w:sz w:val="18"/>
        </w:rPr>
        <w:t xml:space="preserve">04  </w:t>
      </w:r>
      <w:r>
        <w:rPr>
          <w:rFonts w:ascii="Calibri" w:hAnsi="Calibri"/>
          <w:b/>
          <w:color w:val="1B2A4A"/>
          <w:sz w:val="26"/>
        </w:rPr>
        <w:t>CONTRACT SCOPE — ITEMS TO REVIEW</w:t>
      </w:r>
    </w:p>
    <w:p>
      <w:pPr>
        <w:pBdr>
          <w:bottom w:val="single" w:sz="6" w:space="1" w:color="007B7F"/>
        </w:pBdr>
      </w:pPr>
    </w:p>
    <w:p>
      <w:r>
        <w:rPr>
          <w:rFonts w:ascii="Calibri" w:hAnsi="Calibri"/>
          <w:b w:val="0"/>
          <w:color w:val="2C2C2C"/>
          <w:sz w:val="18"/>
        </w:rPr>
        <w:t>OncoCel requests ARC confirm coverage for the following services as the program scales: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007B7F"/>
            <w:tcBorders>
              <w:top w:val="single" w:sz="2" w:space="0" w:color="007B7F"/>
              <w:bottom w:val="single" w:sz="2" w:space="0" w:color="007B7F"/>
              <w:left w:val="single" w:sz="2" w:space="0" w:color="007B7F"/>
              <w:right w:val="single" w:sz="2" w:space="0" w:color="007B7F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Service</w:t>
            </w:r>
          </w:p>
        </w:tc>
        <w:tc>
          <w:tcPr>
            <w:tcW w:type="dxa" w:w="3249"/>
            <w:shd w:fill="007B7F"/>
            <w:tcBorders>
              <w:top w:val="single" w:sz="2" w:space="0" w:color="007B7F"/>
              <w:bottom w:val="single" w:sz="2" w:space="0" w:color="007B7F"/>
              <w:left w:val="single" w:sz="2" w:space="0" w:color="007B7F"/>
              <w:right w:val="single" w:sz="2" w:space="0" w:color="007B7F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3249"/>
            <w:shd w:fill="007B7F"/>
            <w:tcBorders>
              <w:top w:val="single" w:sz="2" w:space="0" w:color="007B7F"/>
              <w:bottom w:val="single" w:sz="2" w:space="0" w:color="007B7F"/>
              <w:left w:val="single" w:sz="2" w:space="0" w:color="007B7F"/>
              <w:right w:val="single" w:sz="2" w:space="0" w:color="007B7F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Action</w:t>
            </w:r>
          </w:p>
        </w:tc>
      </w:tr>
      <w:tr>
        <w:tc>
          <w:tcPr>
            <w:tcW w:type="dxa" w:w="32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2C2C2C"/>
                <w:sz w:val="16"/>
              </w:rPr>
              <w:t>Autologous HSC collection &amp; processing</w:t>
            </w:r>
          </w:p>
        </w:tc>
        <w:tc>
          <w:tcPr>
            <w:tcW w:type="dxa" w:w="32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Confirm</w:t>
            </w:r>
          </w:p>
        </w:tc>
        <w:tc>
          <w:tcPr>
            <w:tcW w:type="dxa" w:w="32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Verify explicit coverage in current agreement</w:t>
            </w:r>
          </w:p>
        </w:tc>
      </w:tr>
      <w:tr>
        <w:tc>
          <w:tcPr>
            <w:tcW w:type="dxa" w:w="32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2C2C2C"/>
                <w:sz w:val="16"/>
              </w:rPr>
              <w:t>HSC cryopreservation &amp; long-term storage</w:t>
            </w:r>
          </w:p>
        </w:tc>
        <w:tc>
          <w:tcPr>
            <w:tcW w:type="dxa" w:w="32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Confirm</w:t>
            </w:r>
          </w:p>
        </w:tc>
        <w:tc>
          <w:tcPr>
            <w:tcW w:type="dxa" w:w="32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Verify capacity and pricing at projected volume</w:t>
            </w:r>
          </w:p>
        </w:tc>
      </w:tr>
      <w:tr>
        <w:tc>
          <w:tcPr>
            <w:tcW w:type="dxa" w:w="32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2C2C2C"/>
                <w:sz w:val="16"/>
              </w:rPr>
              <w:t>CAR-T leukapheresis &amp; shipment logistics</w:t>
            </w:r>
          </w:p>
        </w:tc>
        <w:tc>
          <w:tcPr>
            <w:tcW w:type="dxa" w:w="32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Likely gap</w:t>
            </w:r>
          </w:p>
        </w:tc>
        <w:tc>
          <w:tcPr>
            <w:tcW w:type="dxa" w:w="32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Amend contract — new service category required</w:t>
            </w:r>
          </w:p>
        </w:tc>
      </w:tr>
      <w:tr>
        <w:tc>
          <w:tcPr>
            <w:tcW w:type="dxa" w:w="32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2C2C2C"/>
                <w:sz w:val="16"/>
              </w:rPr>
              <w:t>Allogeneic donor collections</w:t>
            </w:r>
          </w:p>
        </w:tc>
        <w:tc>
          <w:tcPr>
            <w:tcW w:type="dxa" w:w="32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Plan ahead</w:t>
            </w:r>
          </w:p>
        </w:tc>
        <w:tc>
          <w:tcPr>
            <w:tcW w:type="dxa" w:w="32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Amendment needed by Year 2 (2028)</w:t>
            </w:r>
          </w:p>
        </w:tc>
      </w:tr>
      <w:tr>
        <w:tc>
          <w:tcPr>
            <w:tcW w:type="dxa" w:w="32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2C2C2C"/>
                <w:sz w:val="16"/>
              </w:rPr>
              <w:t>Capacity guarantees &amp; turnaround SLA</w:t>
            </w:r>
          </w:p>
        </w:tc>
        <w:tc>
          <w:tcPr>
            <w:tcW w:type="dxa" w:w="32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Critical</w:t>
            </w:r>
          </w:p>
        </w:tc>
        <w:tc>
          <w:tcPr>
            <w:tcW w:type="dxa" w:w="32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Must guarantee slots for emergent collections</w:t>
            </w:r>
          </w:p>
        </w:tc>
      </w:tr>
      <w:tr>
        <w:tc>
          <w:tcPr>
            <w:tcW w:type="dxa" w:w="32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2C2C2C"/>
                <w:sz w:val="16"/>
              </w:rPr>
              <w:t>Volume-based pricing</w:t>
            </w:r>
          </w:p>
        </w:tc>
        <w:tc>
          <w:tcPr>
            <w:tcW w:type="dxa" w:w="32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Discuss</w:t>
            </w:r>
          </w:p>
        </w:tc>
        <w:tc>
          <w:tcPr>
            <w:tcW w:type="dxa" w:w="32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E8849"/>
                <w:sz w:val="16"/>
              </w:rPr>
              <w:t>As volume scales from 20 to 85+ procedures/year</w:t>
            </w:r>
          </w:p>
        </w:tc>
      </w:tr>
    </w:tbl>
    <w:p>
      <w:r>
        <w:rPr>
          <w:rFonts w:ascii="Calibri" w:hAnsi="Calibri"/>
          <w:b/>
          <w:color w:val="007B7F"/>
          <w:sz w:val="18"/>
        </w:rPr>
        <w:t xml:space="preserve">05  </w:t>
      </w:r>
      <w:r>
        <w:rPr>
          <w:rFonts w:ascii="Calibri" w:hAnsi="Calibri"/>
          <w:b/>
          <w:color w:val="1B2A4A"/>
          <w:sz w:val="26"/>
        </w:rPr>
        <w:t>WHY VOLUME IS GROWING</w:t>
      </w:r>
    </w:p>
    <w:p>
      <w:pPr>
        <w:pBdr>
          <w:bottom w:val="single" w:sz="6" w:space="1" w:color="007B7F"/>
        </w:pBdr>
      </w:pPr>
    </w:p>
    <w:p>
      <w:r>
        <w:rPr>
          <w:rFonts w:ascii="Calibri" w:hAnsi="Calibri"/>
          <w:b w:val="0"/>
          <w:color w:val="2C2C2C"/>
          <w:sz w:val="18"/>
        </w:rPr>
        <w:t>Puerto Rico currently has no on-island CAR-T program and limited transplant capacity. Most eligible patients travel to the US mainland or go untreated: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B2A4A"/>
            <w:tcBorders>
              <w:top w:val="single" w:sz="2" w:space="0" w:color="1B2A4A"/>
              <w:bottom w:val="single" w:sz="2" w:space="0" w:color="1B2A4A"/>
              <w:left w:val="single" w:sz="2" w:space="0" w:color="1B2A4A"/>
              <w:right w:val="single" w:sz="2" w:space="0" w:color="1B2A4A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3249"/>
            <w:shd w:fill="1B2A4A"/>
            <w:tcBorders>
              <w:top w:val="single" w:sz="2" w:space="0" w:color="1B2A4A"/>
              <w:bottom w:val="single" w:sz="2" w:space="0" w:color="1B2A4A"/>
              <w:left w:val="single" w:sz="2" w:space="0" w:color="1B2A4A"/>
              <w:right w:val="single" w:sz="2" w:space="0" w:color="1B2A4A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Current State</w:t>
            </w:r>
          </w:p>
        </w:tc>
        <w:tc>
          <w:tcPr>
            <w:tcW w:type="dxa" w:w="3249"/>
            <w:shd w:fill="1B2A4A"/>
            <w:tcBorders>
              <w:top w:val="single" w:sz="2" w:space="0" w:color="1B2A4A"/>
              <w:bottom w:val="single" w:sz="2" w:space="0" w:color="1B2A4A"/>
              <w:left w:val="single" w:sz="2" w:space="0" w:color="1B2A4A"/>
              <w:right w:val="single" w:sz="2" w:space="0" w:color="1B2A4A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With OncoCel (Year 5)</w:t>
            </w:r>
          </w:p>
        </w:tc>
      </w:tr>
      <w:tr>
        <w:tc>
          <w:tcPr>
            <w:tcW w:type="dxa" w:w="3249"/>
            <w:shd w:fill="E8F4F0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07B7F"/>
                <w:sz w:val="16"/>
              </w:rPr>
              <w:t>Auto SCT performed on-island/year</w:t>
            </w:r>
          </w:p>
        </w:tc>
        <w:tc>
          <w:tcPr>
            <w:tcW w:type="dxa" w:w="3249"/>
            <w:shd w:fill="E8F4F0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7B7F"/>
                <w:sz w:val="16"/>
              </w:rPr>
              <w:t>20-35</w:t>
            </w:r>
          </w:p>
        </w:tc>
        <w:tc>
          <w:tcPr>
            <w:tcW w:type="dxa" w:w="3249"/>
            <w:shd w:fill="E8F4F0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7B7F"/>
                <w:sz w:val="16"/>
              </w:rPr>
              <w:t>62-83</w:t>
            </w:r>
          </w:p>
        </w:tc>
      </w:tr>
      <w:tr>
        <w:tc>
          <w:tcPr>
            <w:tcW w:type="dxa" w:w="3249"/>
            <w:shd w:fill="E8F4F0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07B7F"/>
                <w:sz w:val="16"/>
              </w:rPr>
              <w:t>Allo-HSCT performed on-island/year</w:t>
            </w:r>
          </w:p>
        </w:tc>
        <w:tc>
          <w:tcPr>
            <w:tcW w:type="dxa" w:w="3249"/>
            <w:shd w:fill="E8F4F0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7B7F"/>
                <w:sz w:val="16"/>
              </w:rPr>
              <w:t>8-15</w:t>
            </w:r>
          </w:p>
        </w:tc>
        <w:tc>
          <w:tcPr>
            <w:tcW w:type="dxa" w:w="3249"/>
            <w:shd w:fill="E8F4F0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7B7F"/>
                <w:sz w:val="16"/>
              </w:rPr>
              <w:t>25-38</w:t>
            </w:r>
          </w:p>
        </w:tc>
      </w:tr>
      <w:tr>
        <w:tc>
          <w:tcPr>
            <w:tcW w:type="dxa" w:w="3249"/>
            <w:shd w:fill="E8F4F0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07B7F"/>
                <w:sz w:val="16"/>
              </w:rPr>
              <w:t>CAR-T performed on-island/year</w:t>
            </w:r>
          </w:p>
        </w:tc>
        <w:tc>
          <w:tcPr>
            <w:tcW w:type="dxa" w:w="3249"/>
            <w:shd w:fill="E8F4F0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7B7F"/>
                <w:sz w:val="16"/>
              </w:rPr>
              <w:t>0</w:t>
            </w:r>
          </w:p>
        </w:tc>
        <w:tc>
          <w:tcPr>
            <w:tcW w:type="dxa" w:w="3249"/>
            <w:shd w:fill="E8F4F0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7B7F"/>
                <w:sz w:val="16"/>
              </w:rPr>
              <w:t>30-45</w:t>
            </w:r>
          </w:p>
        </w:tc>
      </w:tr>
      <w:tr>
        <w:tc>
          <w:tcPr>
            <w:tcW w:type="dxa" w:w="3249"/>
            <w:shd w:fill="E8F4F0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07B7F"/>
                <w:sz w:val="16"/>
              </w:rPr>
              <w:t>Total on-island cellular therapy cases</w:t>
            </w:r>
          </w:p>
        </w:tc>
        <w:tc>
          <w:tcPr>
            <w:tcW w:type="dxa" w:w="3249"/>
            <w:shd w:fill="E8F4F0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7B7F"/>
                <w:sz w:val="16"/>
              </w:rPr>
              <w:t>28-50</w:t>
            </w:r>
          </w:p>
        </w:tc>
        <w:tc>
          <w:tcPr>
            <w:tcW w:type="dxa" w:w="3249"/>
            <w:shd w:fill="E8F4F0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7B7F"/>
                <w:sz w:val="16"/>
              </w:rPr>
              <w:t>117-166</w:t>
            </w:r>
          </w:p>
        </w:tc>
      </w:tr>
      <w:tr>
        <w:tc>
          <w:tcPr>
            <w:tcW w:type="dxa" w:w="32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2C2C2C"/>
                <w:sz w:val="16"/>
              </w:rPr>
              <w:t>Patients traveling to mainland/year</w:t>
            </w:r>
          </w:p>
        </w:tc>
        <w:tc>
          <w:tcPr>
            <w:tcW w:type="dxa" w:w="32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60-100</w:t>
            </w:r>
          </w:p>
        </w:tc>
        <w:tc>
          <w:tcPr>
            <w:tcW w:type="dxa" w:w="32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18-31</w:t>
            </w:r>
          </w:p>
        </w:tc>
      </w:tr>
      <w:tr>
        <w:tc>
          <w:tcPr>
            <w:tcW w:type="dxa" w:w="3249"/>
            <w:shd w:fill="E8F4F0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07B7F"/>
                <w:sz w:val="16"/>
              </w:rPr>
              <w:t>ARC apheresis procedures/year (OncoCel)</w:t>
            </w:r>
          </w:p>
        </w:tc>
        <w:tc>
          <w:tcPr>
            <w:tcW w:type="dxa" w:w="3249"/>
            <w:shd w:fill="E8F4F0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7B7F"/>
                <w:sz w:val="16"/>
              </w:rPr>
              <w:t>0</w:t>
            </w:r>
          </w:p>
        </w:tc>
        <w:tc>
          <w:tcPr>
            <w:tcW w:type="dxa" w:w="3249"/>
            <w:shd w:fill="E8F4F0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7B7F"/>
                <w:sz w:val="16"/>
              </w:rPr>
              <w:t>85-122</w:t>
            </w:r>
          </w:p>
        </w:tc>
      </w:tr>
    </w:tbl>
    <w:p>
      <w:r>
        <w:rPr>
          <w:rFonts w:ascii="Calibri" w:hAnsi="Calibri"/>
          <w:b w:val="0"/>
          <w:color w:val="2C2C2C"/>
          <w:sz w:val="18"/>
        </w:rPr>
      </w:r>
    </w:p>
    <w:p>
      <w:pPr>
        <w:ind w:left="216"/>
        <w:pBdr>
          <w:left w:val="single" w:sz="16" w:space="8" w:color="007B7F"/>
        </w:pBdr>
      </w:pPr>
      <w:r>
        <w:rPr>
          <w:rFonts w:ascii="Calibri" w:hAnsi="Calibri"/>
          <w:b/>
          <w:color w:val="1B2A4A"/>
          <w:sz w:val="17"/>
        </w:rPr>
        <w:t>ARC is positioned as the sole on-island partner for this growth. No other FACT-accredited provider in Puerto Rico can support the apheresis and cell processing requirements of a multi-modality cellular therapy program.</w:t>
      </w:r>
    </w:p>
    <w:p>
      <w:r>
        <w:rPr>
          <w:rFonts w:ascii="Calibri" w:hAnsi="Calibri"/>
          <w:b/>
          <w:color w:val="007B7F"/>
          <w:sz w:val="18"/>
        </w:rPr>
        <w:t xml:space="preserve">06  </w:t>
      </w:r>
      <w:r>
        <w:rPr>
          <w:rFonts w:ascii="Calibri" w:hAnsi="Calibri"/>
          <w:b/>
          <w:color w:val="1B2A4A"/>
          <w:sz w:val="26"/>
        </w:rPr>
        <w:t>TIMELINE &amp; NEXT STEPS</w:t>
      </w:r>
    </w:p>
    <w:p>
      <w:pPr>
        <w:pBdr>
          <w:bottom w:val="single" w:sz="6" w:space="1" w:color="007B7F"/>
        </w:pBdr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007B7F"/>
            <w:tcBorders>
              <w:top w:val="single" w:sz="2" w:space="0" w:color="007B7F"/>
              <w:bottom w:val="single" w:sz="2" w:space="0" w:color="007B7F"/>
              <w:left w:val="single" w:sz="2" w:space="0" w:color="007B7F"/>
              <w:right w:val="single" w:sz="2" w:space="0" w:color="007B7F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When</w:t>
            </w:r>
          </w:p>
        </w:tc>
        <w:tc>
          <w:tcPr>
            <w:tcW w:type="dxa" w:w="3249"/>
            <w:shd w:fill="007B7F"/>
            <w:tcBorders>
              <w:top w:val="single" w:sz="2" w:space="0" w:color="007B7F"/>
              <w:bottom w:val="single" w:sz="2" w:space="0" w:color="007B7F"/>
              <w:left w:val="single" w:sz="2" w:space="0" w:color="007B7F"/>
              <w:right w:val="single" w:sz="2" w:space="0" w:color="007B7F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What</w:t>
            </w:r>
          </w:p>
        </w:tc>
        <w:tc>
          <w:tcPr>
            <w:tcW w:type="dxa" w:w="3249"/>
            <w:shd w:fill="007B7F"/>
            <w:tcBorders>
              <w:top w:val="single" w:sz="2" w:space="0" w:color="007B7F"/>
              <w:bottom w:val="single" w:sz="2" w:space="0" w:color="007B7F"/>
              <w:left w:val="single" w:sz="2" w:space="0" w:color="007B7F"/>
              <w:right w:val="single" w:sz="2" w:space="0" w:color="007B7F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ARC Impact</w:t>
            </w:r>
          </w:p>
        </w:tc>
      </w:tr>
      <w:tr>
        <w:tc>
          <w:tcPr>
            <w:tcW w:type="dxa" w:w="32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2C2C2C"/>
                <w:sz w:val="16"/>
              </w:rPr>
              <w:t>August 2026</w:t>
            </w:r>
          </w:p>
        </w:tc>
        <w:tc>
          <w:tcPr>
            <w:tcW w:type="dxa" w:w="32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OncoCel begins clinical operations at CCCUPR</w:t>
            </w:r>
          </w:p>
        </w:tc>
        <w:tc>
          <w:tcPr>
            <w:tcW w:type="dxa" w:w="32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First collection requests anticipated Q4 2026</w:t>
            </w:r>
          </w:p>
        </w:tc>
      </w:tr>
      <w:tr>
        <w:tc>
          <w:tcPr>
            <w:tcW w:type="dxa" w:w="32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2C2C2C"/>
                <w:sz w:val="16"/>
              </w:rPr>
              <w:t>Q4 2026</w:t>
            </w:r>
          </w:p>
        </w:tc>
        <w:tc>
          <w:tcPr>
            <w:tcW w:type="dxa" w:w="32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First autologous HSC collections</w:t>
            </w:r>
          </w:p>
        </w:tc>
        <w:tc>
          <w:tcPr>
            <w:tcW w:type="dxa" w:w="32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12-18 collections in Year 1</w:t>
            </w:r>
          </w:p>
        </w:tc>
      </w:tr>
      <w:tr>
        <w:tc>
          <w:tcPr>
            <w:tcW w:type="dxa" w:w="32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2C2C2C"/>
                <w:sz w:val="16"/>
              </w:rPr>
              <w:t>Q1 2027</w:t>
            </w:r>
          </w:p>
        </w:tc>
        <w:tc>
          <w:tcPr>
            <w:tcW w:type="dxa" w:w="32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First CAR-T leukapheresis</w:t>
            </w:r>
          </w:p>
        </w:tc>
        <w:tc>
          <w:tcPr>
            <w:tcW w:type="dxa" w:w="32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New service type — contract amendment needed</w:t>
            </w:r>
          </w:p>
        </w:tc>
      </w:tr>
      <w:tr>
        <w:tc>
          <w:tcPr>
            <w:tcW w:type="dxa" w:w="32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2C2C2C"/>
                <w:sz w:val="16"/>
              </w:rPr>
              <w:t>2028</w:t>
            </w:r>
          </w:p>
        </w:tc>
        <w:tc>
          <w:tcPr>
            <w:tcW w:type="dxa" w:w="32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Allo-HSCT donor collections ramp at HAM</w:t>
            </w:r>
          </w:p>
        </w:tc>
        <w:tc>
          <w:tcPr>
            <w:tcW w:type="dxa" w:w="32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Donor collection volume increasing</w:t>
            </w:r>
          </w:p>
        </w:tc>
      </w:tr>
      <w:tr>
        <w:tc>
          <w:tcPr>
            <w:tcW w:type="dxa" w:w="32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2C2C2C"/>
                <w:sz w:val="16"/>
              </w:rPr>
              <w:t>2028-2029</w:t>
            </w:r>
          </w:p>
        </w:tc>
        <w:tc>
          <w:tcPr>
            <w:tcW w:type="dxa" w:w="32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Program reaches 40-58 procedures/year</w:t>
            </w:r>
          </w:p>
        </w:tc>
        <w:tc>
          <w:tcPr>
            <w:tcW w:type="dxa" w:w="3249"/>
            <w:shd w:fill="FFFFFF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Volume-based pricing discussion</w:t>
            </w:r>
          </w:p>
        </w:tc>
      </w:tr>
      <w:tr>
        <w:tc>
          <w:tcPr>
            <w:tcW w:type="dxa" w:w="32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2C2C2C"/>
                <w:sz w:val="16"/>
              </w:rPr>
              <w:t>2031</w:t>
            </w:r>
          </w:p>
        </w:tc>
        <w:tc>
          <w:tcPr>
            <w:tcW w:type="dxa" w:w="32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Full program at 85-122 procedures/year</w:t>
            </w:r>
          </w:p>
        </w:tc>
        <w:tc>
          <w:tcPr>
            <w:tcW w:type="dxa" w:w="3249"/>
            <w:shd w:fill="F5F7F8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color w:val="2C2C2C"/>
                <w:sz w:val="16"/>
              </w:rPr>
              <w:t>Steady-state capacity planning</w:t>
            </w:r>
          </w:p>
        </w:tc>
      </w:tr>
    </w:tbl>
    <w:p>
      <w:r>
        <w:rPr>
          <w:rFonts w:ascii="Calibri" w:hAnsi="Calibri"/>
          <w:b w:val="0"/>
          <w:color w:val="2C2C2C"/>
          <w:sz w:val="18"/>
        </w:rPr>
      </w:r>
    </w:p>
    <w:p>
      <w:r>
        <w:rPr>
          <w:rFonts w:ascii="Calibri" w:hAnsi="Calibri"/>
          <w:b/>
          <w:color w:val="007B7F"/>
          <w:sz w:val="18"/>
        </w:rPr>
        <w:t>OncoCel proposes a meeting with ARC leadership to:</w:t>
      </w:r>
    </w:p>
    <w:p>
      <w:pPr>
        <w:pStyle w:val="ListBullet"/>
        <w:ind w:left="432"/>
      </w:pPr>
      <w:r>
        <w:rPr>
          <w:rFonts w:ascii="Calibri" w:hAnsi="Calibri"/>
          <w:color w:val="2C2C2C"/>
          <w:sz w:val="17"/>
        </w:rPr>
        <w:t>Review current contract scope against projected service needs</w:t>
      </w:r>
    </w:p>
    <w:p>
      <w:pPr>
        <w:pStyle w:val="ListBullet"/>
        <w:ind w:left="432"/>
      </w:pPr>
      <w:r>
        <w:rPr>
          <w:rFonts w:ascii="Calibri" w:hAnsi="Calibri"/>
          <w:color w:val="2C2C2C"/>
          <w:sz w:val="17"/>
        </w:rPr>
        <w:t>Confirm capacity availability for Year 1 collections (Q4 2026 start)</w:t>
      </w:r>
    </w:p>
    <w:p>
      <w:pPr>
        <w:pStyle w:val="ListBullet"/>
        <w:ind w:left="432"/>
      </w:pPr>
      <w:r>
        <w:rPr>
          <w:rFonts w:ascii="Calibri" w:hAnsi="Calibri"/>
          <w:color w:val="2C2C2C"/>
          <w:sz w:val="17"/>
        </w:rPr>
        <w:t>Discuss CAR-T leukapheresis as a new service category and amend agreement</w:t>
      </w:r>
    </w:p>
    <w:p>
      <w:pPr>
        <w:pStyle w:val="ListBullet"/>
        <w:ind w:left="432"/>
      </w:pPr>
      <w:r>
        <w:rPr>
          <w:rFonts w:ascii="Calibri" w:hAnsi="Calibri"/>
          <w:color w:val="2C2C2C"/>
          <w:sz w:val="17"/>
        </w:rPr>
        <w:t>Establish turnaround and capacity SLA for emergent collection slots</w:t>
      </w:r>
    </w:p>
    <w:p>
      <w:pPr>
        <w:pStyle w:val="ListBullet"/>
        <w:ind w:left="432"/>
      </w:pPr>
      <w:r>
        <w:rPr>
          <w:rFonts w:ascii="Calibri" w:hAnsi="Calibri"/>
          <w:color w:val="2C2C2C"/>
          <w:sz w:val="17"/>
        </w:rPr>
        <w:t>Plan volume-based pricing as the program scales</w:t>
      </w:r>
    </w:p>
    <w:p>
      <w:pPr>
        <w:pBdr>
          <w:top w:val="single" w:sz="6" w:space="6" w:color="007B7F"/>
        </w:pBdr>
      </w:pPr>
    </w:p>
    <w:p>
      <w:r>
        <w:rPr>
          <w:rFonts w:ascii="Calibri" w:hAnsi="Calibri"/>
          <w:b/>
          <w:color w:val="1B2A4A"/>
          <w:sz w:val="24"/>
        </w:rPr>
        <w:t>ONCOCEL</w:t>
      </w:r>
      <w:r>
        <w:rPr>
          <w:rFonts w:ascii="Calibri" w:hAnsi="Calibri"/>
          <w:color w:val="777777"/>
          <w:sz w:val="16"/>
        </w:rPr>
        <w:t xml:space="preserve">  LLC</w:t>
      </w:r>
    </w:p>
    <w:p>
      <w:r>
        <w:rPr>
          <w:rFonts w:ascii="Calibri" w:hAnsi="Calibri"/>
          <w:color w:val="777777"/>
          <w:sz w:val="16"/>
        </w:rPr>
        <w:t>Carlos Mendez, COO — cmendez@tctoncology.com</w:t>
      </w:r>
    </w:p>
    <w:p>
      <w:r>
        <w:rPr>
          <w:rFonts w:ascii="Calibri" w:hAnsi="Calibri"/>
          <w:i/>
          <w:color w:val="777777"/>
          <w:sz w:val="15"/>
        </w:rPr>
        <w:t>In collaboration with Centro Comprensivo de Cancer · Universidad de Puerto Rico</w:t>
      </w:r>
    </w:p>
    <w:p>
      <w:r>
        <w:rPr>
          <w:rFonts w:ascii="Calibri" w:hAnsi="Calibri"/>
          <w:color w:val="777777"/>
          <w:sz w:val="15"/>
        </w:rPr>
        <w:t>June 2026  |  Confidential</w:t>
      </w:r>
    </w:p>
    <w:sectPr w:rsidR="00FC693F" w:rsidRPr="0006063C" w:rsidSect="00034616">
      <w:pgSz w:w="12240" w:h="15840"/>
      <w:pgMar w:top="1020" w:right="1247" w:bottom="85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2C2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