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/>
      <w:r>
        <w:t>Investigación de Cumplimiento con Fuentes Citadas</w:t>
      </w:r>
    </w:p>
    <w:p>
      <w:pPr>
        <w:pStyle w:val="Heading2"/>
      </w:pPr>
      <w:r/>
      <w:r>
        <w:t>Clínica Estética y de Wellness en Puerto Rico — administración de farmacología para pérdida de peso (GLP-1)</w:t>
      </w:r>
    </w:p>
    <w:p>
      <w:r>
        <w:rPr>
          <w:b/>
        </w:rPr>
        <w:t>Fecha de la investigación:</w:t>
      </w:r>
      <w:r>
        <w:t xml:space="preserve"> junio 2026</w:t>
      </w:r>
    </w:p>
    <w:p>
      <w:r>
        <w:rPr>
          <w:b/>
        </w:rPr>
        <w:t>Metodología:</w:t>
      </w:r>
      <w:r>
        <w:t xml:space="preserve"> Harness de investigación profunda — 5 ángulos de búsqueda en paralelo, fuentes autoritativas (estatutos PR vía LexJuris/Justia, eCFR, FDA, Federal Register, CMS, OSHA, OIG), verificación de afirmaciones y niveles de confianza.</w:t>
      </w:r>
    </w:p>
    <w:p>
      <w:pPr>
        <w:pStyle w:val="IntenseQuote"/>
      </w:pPr>
      <w:r>
        <w:t xml:space="preserve">⚠️ </w:t>
      </w:r>
      <w:r>
        <w:rPr>
          <w:b/>
        </w:rPr>
        <w:t>Aviso:</w:t>
      </w:r>
      <w:r>
        <w:t xml:space="preserve"> Resumen regulatorio educativo, </w:t>
      </w:r>
      <w:r>
        <w:rPr>
          <w:b/>
        </w:rPr>
        <w:t>no</w:t>
      </w:r>
      <w:r>
        <w:t xml:space="preserve"> asesoría legal. Muchas páginas oficiales </w:t>
      </w:r>
      <w:r>
        <w:rPr>
          <w:rFonts w:ascii="Consolas" w:hAnsi="Consolas"/>
          <w:sz w:val="18"/>
        </w:rPr>
        <w:t>.pr.gov</w:t>
      </w:r>
      <w:r>
        <w:t xml:space="preserve"> bloquearon la descarga automática (HTTP 403); los </w:t>
      </w:r>
      <w:r>
        <w:rPr>
          <w:b/>
        </w:rPr>
        <w:t>números de ley/reglamento son de alta confianza</w:t>
      </w:r>
      <w:r>
        <w:t xml:space="preserve">, pero </w:t>
      </w:r>
      <w:r>
        <w:rPr>
          <w:b/>
        </w:rPr>
        <w:t>cuotas, tiempos de trámite y la aplicabilidad exacta a una oficina ambulatoria pequeña son los puntos más débiles</w:t>
      </w:r>
      <w:r>
        <w:t xml:space="preserve"> y deben confirmarse directamente con cada agencia y un abogado de salud de PR.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/>
      <w:r>
        <w:t>⭐ Correcciones importantes al marco inicial</w:t>
      </w:r>
    </w:p>
    <w:p>
      <w:r>
        <w:t>Dos hallazgos modifican lo que se asumía comúnmente:</w:t>
      </w:r>
    </w:p>
    <w:p>
      <w:pPr>
        <w:pStyle w:val="ListNumber"/>
      </w:pPr>
      <w:r>
        <w:rPr>
          <w:b/>
        </w:rPr>
        <w:t>El registro estatal de sustancias controladas YA NO lo administra ASSMCA.</w:t>
      </w:r>
      <w:r>
        <w:t xml:space="preserve"> Por </w:t>
      </w:r>
      <w:r>
        <w:rPr>
          <w:b/>
        </w:rPr>
        <w:t>Orden Administrativa 282 del Depto. de Salud (27 abril 2011)</w:t>
      </w:r>
      <w:r>
        <w:t xml:space="preserve">, esa función pasó a la </w:t>
      </w:r>
      <w:r>
        <w:rPr>
          <w:b/>
        </w:rPr>
        <w:t>Oficina de Sustancias Controladas / División de Investigaciones</w:t>
      </w:r>
      <w:r>
        <w:t xml:space="preserve"> del Departamento de Salud (hoy bajo SARSP). ASSMCA hoy licencia </w:t>
      </w:r>
      <w:r>
        <w:rPr>
          <w:b/>
        </w:rPr>
        <w:t>solo</w:t>
      </w:r>
      <w:r>
        <w:t xml:space="preserve"> facilidades de salud mental y adicción (Ley 408-2000, Reglamento 9453) — relevante a tu clínica </w:t>
      </w:r>
      <w:r>
        <w:rPr>
          <w:b/>
        </w:rPr>
        <w:t>solo</w:t>
      </w:r>
      <w:r>
        <w:t xml:space="preserve"> si añades servicios de salud mental/conductual o de adicciones. *(Confianza: alta)*</w:t>
      </w:r>
    </w:p>
    <w:p>
      <w:pPr>
        <w:pStyle w:val="ListNumber"/>
      </w:pPr>
      <w:r>
        <w:rPr>
          <w:b/>
        </w:rPr>
        <w:t>Administrar inyecciones en sitio ≠ dispensar.</w:t>
      </w:r>
      <w:r>
        <w:t xml:space="preserve"> Bajo la </w:t>
      </w:r>
      <w:r>
        <w:rPr>
          <w:b/>
        </w:rPr>
        <w:t>Ley de Farmacia (Ley 247-2004)</w:t>
      </w:r>
      <w:r>
        <w:t xml:space="preserve"> y la </w:t>
      </w:r>
      <w:r>
        <w:rPr>
          <w:b/>
        </w:rPr>
        <w:t>Ley 95-2014 ("Ley de Botiquín")</w:t>
      </w:r>
      <w:r>
        <w:t xml:space="preserve">, un médico puede mantener un </w:t>
      </w:r>
      <w:r>
        <w:rPr>
          <w:b/>
        </w:rPr>
        <w:t>botiquín</w:t>
      </w:r>
      <w:r>
        <w:t xml:space="preserve"> de medicamentos en su oficina </w:t>
      </w:r>
      <w:r>
        <w:rPr>
          <w:b/>
        </w:rPr>
        <w:t>solo con su licencia médica</w:t>
      </w:r>
      <w:r>
        <w:t xml:space="preserve"> (sin licencia de farmacia adicional) para </w:t>
      </w:r>
      <w:r>
        <w:rPr>
          <w:b/>
        </w:rPr>
        <w:t>administrar</w:t>
      </w:r>
      <w:r>
        <w:t xml:space="preserve"> al paciente en sitio. </w:t>
      </w:r>
      <w:r>
        <w:rPr>
          <w:b/>
        </w:rPr>
        <w:t>Dispensar</w:t>
      </w:r>
      <w:r>
        <w:t xml:space="preserve"> (entregar producto para llevar a casa) sigue reservado a una farmacia licenciada. *(Confianza: alta)*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/>
      <w:r>
        <w:t>A. Licenciamiento de la facilidad de salud (Depto. de Salud / SARAFS)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Hallazgo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Confianza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Fuente</w:t>
            </w:r>
          </w:p>
        </w:tc>
      </w:tr>
      <w:tr>
        <w:tc>
          <w:tcPr>
            <w:tcW w:type="dxa" w:w="2160"/>
          </w:tcPr>
          <w:p>
            <w:r/>
            <w:r>
              <w:t>A1</w:t>
            </w:r>
          </w:p>
        </w:tc>
        <w:tc>
          <w:tcPr>
            <w:tcW w:type="dxa" w:w="2160"/>
          </w:tcPr>
          <w:p>
            <w:r/>
            <w:r>
              <w:t xml:space="preserve">Ley habilitadora: </w:t>
            </w:r>
            <w:r>
              <w:rPr>
                <w:b/>
              </w:rPr>
              <w:t>Ley Núm. 101 de 1965 ("Ley de Facilidades de Salud de PR")</w:t>
            </w:r>
            <w:r>
              <w:t>, 24 L.P.R.A. §§331 et seq. (rev. 15 abr 2024). El Depto. de Salud licencia las facilidades de salud.</w:t>
            </w:r>
          </w:p>
        </w:tc>
        <w:tc>
          <w:tcPr>
            <w:tcW w:type="dxa" w:w="2160"/>
          </w:tcPr>
          <w:p>
            <w:r/>
            <w:r>
              <w:t>Alta</w:t>
            </w:r>
          </w:p>
        </w:tc>
        <w:tc>
          <w:tcPr>
            <w:tcW w:type="dxa" w:w="2160"/>
          </w:tcPr>
          <w:p>
            <w:r/>
            <w:r>
              <w:t>bvirtualogp.pr.gov/.../101-1965.pdf; law.justia.com (24 LPRA cap.19)</w:t>
            </w:r>
          </w:p>
        </w:tc>
      </w:tr>
      <w:tr>
        <w:tc>
          <w:tcPr>
            <w:tcW w:type="dxa" w:w="2160"/>
          </w:tcPr>
          <w:p>
            <w:r/>
            <w:r>
              <w:t>A2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SARAFS</w:t>
            </w:r>
            <w:r>
              <w:t xml:space="preserve"> (Secretaría Auxiliar para Reglamentación y Acreditación de Facilidades de Salud) licencia/inspecciona. </w:t>
            </w:r>
            <w:r>
              <w:rPr>
                <w:b/>
              </w:rPr>
              <w:t>Posible renombramiento a SARSP</w:t>
            </w:r>
            <w:r>
              <w:t xml:space="preserve"> (Secretaría Auxiliar para la Regulación de la Salud Pública) — usa ambos términos al contactar.</w:t>
            </w:r>
          </w:p>
        </w:tc>
        <w:tc>
          <w:tcPr>
            <w:tcW w:type="dxa" w:w="2160"/>
          </w:tcPr>
          <w:p>
            <w:r/>
            <w:r>
              <w:t>Alta (rol); Media (acrónimo)</w:t>
            </w:r>
          </w:p>
        </w:tc>
        <w:tc>
          <w:tcPr>
            <w:tcW w:type="dxa" w:w="2160"/>
          </w:tcPr>
          <w:p>
            <w:r/>
            <w:r>
              <w:t>salud.pr.gov/CMS/187; prhealthbeoc.org/sarafs</w:t>
            </w:r>
          </w:p>
        </w:tc>
      </w:tr>
      <w:tr>
        <w:tc>
          <w:tcPr>
            <w:tcW w:type="dxa" w:w="2160"/>
          </w:tcPr>
          <w:p>
            <w:r/>
            <w:r>
              <w:t>A3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Reglamento operativo vigente: Reglamento Núm. 9184 (efectivo 1 ago 2020)</w:t>
            </w:r>
            <w:r>
              <w:t>, superó al Reglamento 117/117-A y 8808.</w:t>
            </w:r>
          </w:p>
        </w:tc>
        <w:tc>
          <w:tcPr>
            <w:tcW w:type="dxa" w:w="2160"/>
          </w:tcPr>
          <w:p>
            <w:r/>
            <w:r>
              <w:t>Media</w:t>
            </w:r>
          </w:p>
        </w:tc>
        <w:tc>
          <w:tcPr>
            <w:tcW w:type="dxa" w:w="2160"/>
          </w:tcPr>
          <w:p>
            <w:r/>
            <w:r>
              <w:t>app.estado.gobierno.pr/.../9184.pdf</w:t>
            </w:r>
          </w:p>
        </w:tc>
      </w:tr>
      <w:tr>
        <w:tc>
          <w:tcPr>
            <w:tcW w:type="dxa" w:w="2160"/>
          </w:tcPr>
          <w:p>
            <w:r/>
            <w:r>
              <w:t>A4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FLAG:</w:t>
            </w:r>
            <w:r>
              <w:t xml:space="preserve"> No se pudo verificar una clase de licencia discreta para "oficina médica ambulatoria" vs. oficina médica privada exenta. Si haces </w:t>
            </w:r>
            <w:r>
              <w:rPr>
                <w:b/>
              </w:rPr>
              <w:t>procedimientos quirúrgicos/invasivos</w:t>
            </w:r>
            <w:r>
              <w:t xml:space="preserve">, probablemente caes en categoría licenciable de facilidad ambulatoria. </w:t>
            </w:r>
            <w:r>
              <w:rPr>
                <w:b/>
              </w:rPr>
              <w:t>Confirmar con SARAFS.</w:t>
            </w:r>
          </w:p>
        </w:tc>
        <w:tc>
          <w:tcPr>
            <w:tcW w:type="dxa" w:w="2160"/>
          </w:tcPr>
          <w:p>
            <w:r/>
            <w:r>
              <w:t>Baja/Media</w:t>
            </w:r>
          </w:p>
        </w:tc>
        <w:tc>
          <w:tcPr>
            <w:tcW w:type="dxa" w:w="2160"/>
          </w:tcPr>
          <w:p>
            <w:r/>
            <w:r>
              <w:t>law.justia.com (24 LPRA §331a)</w:t>
            </w:r>
          </w:p>
        </w:tc>
      </w:tr>
      <w:tr>
        <w:tc>
          <w:tcPr>
            <w:tcW w:type="dxa" w:w="2160"/>
          </w:tcPr>
          <w:p>
            <w:r/>
            <w:r>
              <w:t>A5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Cuota estatutaria: $5 por cama autorizada</w:t>
            </w:r>
            <w:r>
              <w:t xml:space="preserve"> (24 LPRA §333e) — fórmula por camas; </w:t>
            </w:r>
            <w:r>
              <w:rPr>
                <w:b/>
              </w:rPr>
              <w:t>una oficina sin camas no mapea limpio</w:t>
            </w:r>
            <w:r>
              <w:t xml:space="preserve">. Cuota real para clínica ambulatoria </w:t>
            </w:r>
            <w:r>
              <w:rPr>
                <w:b/>
              </w:rPr>
              <w:t>no verificable</w:t>
            </w:r>
            <w:r>
              <w:t xml:space="preserve"> — confirmar con SARAFS.</w:t>
            </w:r>
          </w:p>
        </w:tc>
        <w:tc>
          <w:tcPr>
            <w:tcW w:type="dxa" w:w="2160"/>
          </w:tcPr>
          <w:p>
            <w:r/>
            <w:r>
              <w:t>Media (cifra); Baja (aplicabilidad)</w:t>
            </w:r>
          </w:p>
        </w:tc>
        <w:tc>
          <w:tcPr>
            <w:tcW w:type="dxa" w:w="2160"/>
          </w:tcPr>
          <w:p>
            <w:r/>
            <w:r>
              <w:t>law.justia.com (24 LPRA §333e)</w:t>
            </w:r>
          </w:p>
        </w:tc>
      </w:tr>
      <w:tr>
        <w:tc>
          <w:tcPr>
            <w:tcW w:type="dxa" w:w="2160"/>
          </w:tcPr>
          <w:p>
            <w:r/>
            <w:r>
              <w:t>A6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Certificado de Necesidad y Conveniencia (CNC):</w:t>
            </w:r>
            <w:r>
              <w:t xml:space="preserve"> Debe obtenerse </w:t>
            </w:r>
            <w:r>
              <w:rPr>
                <w:b/>
              </w:rPr>
              <w:t>ANTES</w:t>
            </w:r>
            <w:r>
              <w:t xml:space="preserve"> de pedir cualquier licencia a SARAFS. </w:t>
            </w:r>
            <w:r>
              <w:rPr>
                <w:b/>
              </w:rPr>
              <w:t>Ley Núm. 2 de 1975</w:t>
            </w:r>
            <w:r>
              <w:t xml:space="preserve"> (no "de 1985"), Reglamento 112 (2004). </w:t>
            </w:r>
            <w:r>
              <w:rPr>
                <w:b/>
              </w:rPr>
              <w:t>FLAG:</w:t>
            </w:r>
            <w:r>
              <w:t xml:space="preserve"> si una oficina estética pequeña está sujeta o exenta depende de las actividades en Ley 2 — confirmar.</w:t>
            </w:r>
          </w:p>
        </w:tc>
        <w:tc>
          <w:tcPr>
            <w:tcW w:type="dxa" w:w="2160"/>
          </w:tcPr>
          <w:p>
            <w:r/>
            <w:r>
              <w:t>Alta (que el CNC precede); Baja (aplicabilidad a oficina pequeña)</w:t>
            </w:r>
          </w:p>
        </w:tc>
        <w:tc>
          <w:tcPr>
            <w:tcW w:type="dxa" w:w="2160"/>
          </w:tcPr>
          <w:p>
            <w:r/>
            <w:r>
              <w:t>bvirtualogp.pr.gov/.../2-1975.pdf</w:t>
            </w:r>
          </w:p>
        </w:tc>
      </w:tr>
    </w:tbl>
    <w:p>
      <w:r>
        <w:rPr>
          <w:color w:val="BBBBBB"/>
        </w:rPr>
        <w:t>________________________________________</w:t>
      </w:r>
    </w:p>
    <w:p>
      <w:pPr>
        <w:pStyle w:val="Heading2"/>
      </w:pPr>
      <w:r/>
      <w:r>
        <w:t>B. Medicamentos: administrar vs. dispensar, botiquín, farmacia (Junta de Farmacia)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Hallazgo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Confianza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Fuente</w:t>
            </w:r>
          </w:p>
        </w:tc>
      </w:tr>
      <w:tr>
        <w:tc>
          <w:tcPr>
            <w:tcW w:type="dxa" w:w="2160"/>
          </w:tcPr>
          <w:p>
            <w:r/>
            <w:r>
              <w:t>B1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Administrar</w:t>
            </w:r>
            <w:r>
              <w:t xml:space="preserve"> un fármaco en sitio (inyección por orden del prescriptor) </w:t>
            </w:r>
            <w:r>
              <w:rPr>
                <w:b/>
              </w:rPr>
              <w:t>NO es "dispensar"</w:t>
            </w:r>
            <w:r>
              <w:t xml:space="preserve"> y no requiere licencia de farmacia. Ley 247-2004, 20 LPRA §407 (definiciones).</w:t>
            </w:r>
          </w:p>
        </w:tc>
        <w:tc>
          <w:tcPr>
            <w:tcW w:type="dxa" w:w="2160"/>
          </w:tcPr>
          <w:p>
            <w:r/>
            <w:r>
              <w:t>Alta</w:t>
            </w:r>
          </w:p>
        </w:tc>
        <w:tc>
          <w:tcPr>
            <w:tcW w:type="dxa" w:w="2160"/>
          </w:tcPr>
          <w:p>
            <w:r/>
            <w:r>
              <w:t>law.justia.com (20 LPRA §407)</w:t>
            </w:r>
          </w:p>
        </w:tc>
      </w:tr>
      <w:tr>
        <w:tc>
          <w:tcPr>
            <w:tcW w:type="dxa" w:w="2160"/>
          </w:tcPr>
          <w:p>
            <w:r/>
            <w:r>
              <w:t>B2</w:t>
            </w:r>
          </w:p>
        </w:tc>
        <w:tc>
          <w:tcPr>
            <w:tcW w:type="dxa" w:w="2160"/>
          </w:tcPr>
          <w:p>
            <w:r/>
            <w:r>
              <w:t xml:space="preserve">Una clínica puede mantener un </w:t>
            </w:r>
            <w:r>
              <w:rPr>
                <w:b/>
              </w:rPr>
              <w:t>"botiquín"</w:t>
            </w:r>
            <w:r>
              <w:t xml:space="preserve"> (cantidades limitadas) </w:t>
            </w:r>
            <w:r>
              <w:rPr>
                <w:b/>
              </w:rPr>
              <w:t>solo para administración en sitio</w:t>
            </w:r>
            <w:r>
              <w:t xml:space="preserve">; </w:t>
            </w:r>
            <w:r>
              <w:rPr>
                <w:b/>
              </w:rPr>
              <w:t>dispensar/entregar para uso posterior está prohibido</w:t>
            </w:r>
            <w:r>
              <w:t>. 20 LPRA §410j.</w:t>
            </w:r>
          </w:p>
        </w:tc>
        <w:tc>
          <w:tcPr>
            <w:tcW w:type="dxa" w:w="2160"/>
          </w:tcPr>
          <w:p>
            <w:r/>
            <w:r>
              <w:t>Alta</w:t>
            </w:r>
          </w:p>
        </w:tc>
        <w:tc>
          <w:tcPr>
            <w:tcW w:type="dxa" w:w="2160"/>
          </w:tcPr>
          <w:p>
            <w:r/>
            <w:r>
              <w:t>law.justia.com (20 LPRA §410j)</w:t>
            </w:r>
          </w:p>
        </w:tc>
      </w:tr>
      <w:tr>
        <w:tc>
          <w:tcPr>
            <w:tcW w:type="dxa" w:w="2160"/>
          </w:tcPr>
          <w:p>
            <w:r/>
            <w:r>
              <w:t>B3</w:t>
            </w:r>
          </w:p>
        </w:tc>
        <w:tc>
          <w:tcPr>
            <w:tcW w:type="dxa" w:w="2160"/>
          </w:tcPr>
          <w:p>
            <w:r/>
            <w:r>
              <w:t xml:space="preserve">Tras </w:t>
            </w:r>
            <w:r>
              <w:rPr>
                <w:b/>
              </w:rPr>
              <w:t>Ley 95-2014</w:t>
            </w:r>
            <w:r>
              <w:t xml:space="preserve">, médico/dentista/podiatra necesita </w:t>
            </w:r>
            <w:r>
              <w:rPr>
                <w:b/>
              </w:rPr>
              <w:t>solo su licencia profesional</w:t>
            </w:r>
            <w:r>
              <w:t xml:space="preserve"> (sin licencia adicional) para adquirir y mantener medicamentos de oficina para administración; se </w:t>
            </w:r>
            <w:r>
              <w:rPr>
                <w:b/>
              </w:rPr>
              <w:t>mantiene la prohibición de dispensar/vender</w:t>
            </w:r>
            <w:r>
              <w:t xml:space="preserve"> (excepto muestras en envase original).</w:t>
            </w:r>
          </w:p>
        </w:tc>
        <w:tc>
          <w:tcPr>
            <w:tcW w:type="dxa" w:w="2160"/>
          </w:tcPr>
          <w:p>
            <w:r/>
            <w:r>
              <w:t>Alta</w:t>
            </w:r>
          </w:p>
        </w:tc>
        <w:tc>
          <w:tcPr>
            <w:tcW w:type="dxa" w:w="2160"/>
          </w:tcPr>
          <w:p>
            <w:r/>
            <w:r>
              <w:t>lexjuris.com/.../lexl2014095.htm; afcpr.net</w:t>
            </w:r>
          </w:p>
        </w:tc>
      </w:tr>
      <w:tr>
        <w:tc>
          <w:tcPr>
            <w:tcW w:type="dxa" w:w="2160"/>
          </w:tcPr>
          <w:p>
            <w:r/>
            <w:r>
              <w:t>B4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Obligaciones del botiquín:</w:t>
            </w:r>
            <w:r>
              <w:t xml:space="preserve"> (a) </w:t>
            </w:r>
            <w:r>
              <w:rPr>
                <w:b/>
              </w:rPr>
              <w:t>registro trienal (cada 3 años)</w:t>
            </w:r>
            <w:r>
              <w:t xml:space="preserve"> de medicamentos ante el Depto. de Salud, (b) certificar almacenamiento/manejo adecuado, (c) pagar cuota estatutaria; sujeto a </w:t>
            </w:r>
            <w:r>
              <w:rPr>
                <w:b/>
              </w:rPr>
              <w:t>inspección sin previo aviso</w:t>
            </w:r>
            <w:r>
              <w:t>. *(Monto de cuota no verificado.)*</w:t>
            </w:r>
          </w:p>
        </w:tc>
        <w:tc>
          <w:tcPr>
            <w:tcW w:type="dxa" w:w="2160"/>
          </w:tcPr>
          <w:p>
            <w:r/>
            <w:r>
              <w:t>Alta (req.); Baja (cuota $)</w:t>
            </w:r>
          </w:p>
        </w:tc>
        <w:tc>
          <w:tcPr>
            <w:tcW w:type="dxa" w:w="2160"/>
          </w:tcPr>
          <w:p>
            <w:r/>
            <w:r>
              <w:t>law.justia.com (20 LPRA §410j)</w:t>
            </w:r>
          </w:p>
        </w:tc>
      </w:tr>
      <w:tr>
        <w:tc>
          <w:tcPr>
            <w:tcW w:type="dxa" w:w="2160"/>
          </w:tcPr>
          <w:p>
            <w:r/>
            <w:r>
              <w:t>B5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Dispensar</w:t>
            </w:r>
            <w:r>
              <w:t xml:space="preserve"> (entregar producto para llevar) está reservado a un farmacéutico en </w:t>
            </w:r>
            <w:r>
              <w:rPr>
                <w:b/>
              </w:rPr>
              <w:t>farmacia licenciada</w:t>
            </w:r>
            <w:r>
              <w:t xml:space="preserve"> por el Depto. de Salud. Un médico en PR </w:t>
            </w:r>
            <w:r>
              <w:rPr>
                <w:b/>
              </w:rPr>
              <w:t>generalmente no puede dispensar</w:t>
            </w:r>
            <w:r>
              <w:t xml:space="preserve"> desde la oficina; única excepción: </w:t>
            </w:r>
            <w:r>
              <w:rPr>
                <w:b/>
              </w:rPr>
              <w:t>muestras</w:t>
            </w:r>
            <w:r>
              <w:t xml:space="preserve"> del fabricante en empaque original. ⇒ Para enviar al paciente con plumas/viales a casa, necesitas </w:t>
            </w:r>
            <w:r>
              <w:rPr>
                <w:b/>
              </w:rPr>
              <w:t>farmacia licenciada o usar una externa</w:t>
            </w:r>
            <w:r>
              <w:t>.</w:t>
            </w:r>
          </w:p>
        </w:tc>
        <w:tc>
          <w:tcPr>
            <w:tcW w:type="dxa" w:w="2160"/>
          </w:tcPr>
          <w:p>
            <w:r/>
            <w:r>
              <w:t>Alta</w:t>
            </w:r>
          </w:p>
        </w:tc>
        <w:tc>
          <w:tcPr>
            <w:tcW w:type="dxa" w:w="2160"/>
          </w:tcPr>
          <w:p>
            <w:r/>
            <w:r>
              <w:t>law.justia.com (20 LPRA §410a, §410i)</w:t>
            </w:r>
          </w:p>
        </w:tc>
      </w:tr>
    </w:tbl>
    <w:p>
      <w:pPr>
        <w:pStyle w:val="IntenseQuote"/>
      </w:pPr>
      <w:r>
        <w:rPr>
          <w:b/>
        </w:rPr>
        <w:t>Decisión de modelo clave:</w:t>
      </w:r>
      <w:r>
        <w:t xml:space="preserve"> Si </w:t>
      </w:r>
      <w:r>
        <w:rPr>
          <w:b/>
        </w:rPr>
        <w:t>solo administras</w:t>
      </w:r>
      <w:r>
        <w:t xml:space="preserve"> inyecciones en sitio → operas bajo licencia médica + registro de botiquín. Si quieres </w:t>
      </w:r>
      <w:r>
        <w:rPr>
          <w:b/>
        </w:rPr>
        <w:t>dispensar</w:t>
      </w:r>
      <w:r>
        <w:t xml:space="preserve"> para uso en casa → necesitas farmacia licenciada (propia o externa).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/>
      <w:r>
        <w:t>C. DEA y sustancias controladas (fentermina) + registro estatal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Hallazgo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Confianza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Fuente</w:t>
            </w:r>
          </w:p>
        </w:tc>
      </w:tr>
      <w:tr>
        <w:tc>
          <w:tcPr>
            <w:tcW w:type="dxa" w:w="2160"/>
          </w:tcPr>
          <w:p>
            <w:r/>
            <w:r>
              <w:t>C1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Semaglutida y tirzepatida NO son sustancias controladas DEA</w:t>
            </w:r>
            <w:r>
              <w:t xml:space="preserve"> — son legend drugs (FD&amp;C Act). No requieren registro DEA para administrar/prescribir.</w:t>
            </w:r>
          </w:p>
        </w:tc>
        <w:tc>
          <w:tcPr>
            <w:tcW w:type="dxa" w:w="2160"/>
          </w:tcPr>
          <w:p>
            <w:r/>
            <w:r>
              <w:t>Alta</w:t>
            </w:r>
          </w:p>
        </w:tc>
        <w:tc>
          <w:tcPr>
            <w:tcW w:type="dxa" w:w="2160"/>
          </w:tcPr>
          <w:p>
            <w:r/>
            <w:r>
              <w:t>peptidelaws.com; singlecare.com</w:t>
            </w:r>
          </w:p>
        </w:tc>
      </w:tr>
      <w:tr>
        <w:tc>
          <w:tcPr>
            <w:tcW w:type="dxa" w:w="2160"/>
          </w:tcPr>
          <w:p>
            <w:r/>
            <w:r>
              <w:t>C2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Fentermina SÍ es Schedule IV</w:t>
            </w:r>
            <w:r>
              <w:t xml:space="preserve"> (21 CFR 1308.14). Manejar fentermina </w:t>
            </w:r>
            <w:r>
              <w:rPr>
                <w:b/>
              </w:rPr>
              <w:t>requiere registro DEA</w:t>
            </w:r>
            <w:r>
              <w:t xml:space="preserve"> activo.</w:t>
            </w:r>
          </w:p>
        </w:tc>
        <w:tc>
          <w:tcPr>
            <w:tcW w:type="dxa" w:w="2160"/>
          </w:tcPr>
          <w:p>
            <w:r/>
            <w:r>
              <w:t>Alta</w:t>
            </w:r>
          </w:p>
        </w:tc>
        <w:tc>
          <w:tcPr>
            <w:tcW w:type="dxa" w:w="2160"/>
          </w:tcPr>
          <w:p>
            <w:r/>
            <w:r>
              <w:t>ecfr.gov (21 CFR 1308.14); drugs.com</w:t>
            </w:r>
          </w:p>
        </w:tc>
      </w:tr>
      <w:tr>
        <w:tc>
          <w:tcPr>
            <w:tcW w:type="dxa" w:w="2160"/>
          </w:tcPr>
          <w:p>
            <w:r/>
            <w:r>
              <w:t>C3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Costo DEA: $888 por ciclo de 3 años</w:t>
            </w:r>
            <w:r>
              <w:t xml:space="preserve"> (practitioner, 21 CFR 1301.13). Confirmar cifra vigente al momento de aplicar.</w:t>
            </w:r>
          </w:p>
        </w:tc>
        <w:tc>
          <w:tcPr>
            <w:tcW w:type="dxa" w:w="2160"/>
          </w:tcPr>
          <w:p>
            <w:r/>
            <w:r>
              <w:t>Alta</w:t>
            </w:r>
          </w:p>
        </w:tc>
        <w:tc>
          <w:tcPr>
            <w:tcW w:type="dxa" w:w="2160"/>
          </w:tcPr>
          <w:p>
            <w:r/>
            <w:r>
              <w:t>ecfr.gov (21 CFR 1301.13); Federal Register 2020</w:t>
            </w:r>
          </w:p>
        </w:tc>
      </w:tr>
      <w:tr>
        <w:tc>
          <w:tcPr>
            <w:tcW w:type="dxa" w:w="2160"/>
          </w:tcPr>
          <w:p>
            <w:r/>
            <w:r>
              <w:t>C4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Tiempo DEA:</w:t>
            </w:r>
            <w:r>
              <w:t xml:space="preserve"> ~</w:t>
            </w:r>
            <w:r>
              <w:rPr>
                <w:b/>
              </w:rPr>
              <w:t>4–6 semanas</w:t>
            </w:r>
            <w:r>
              <w:t xml:space="preserve"> nueva solicitud (Form 224); ~4 sem renovación (224a).</w:t>
            </w:r>
          </w:p>
        </w:tc>
        <w:tc>
          <w:tcPr>
            <w:tcW w:type="dxa" w:w="2160"/>
          </w:tcPr>
          <w:p>
            <w:r/>
            <w:r>
              <w:t>Media</w:t>
            </w:r>
          </w:p>
        </w:tc>
        <w:tc>
          <w:tcPr>
            <w:tcW w:type="dxa" w:w="2160"/>
          </w:tcPr>
          <w:p>
            <w:r/>
            <w:r>
              <w:t>deadiversion.usdoj.gov; bartonlawoffice.com</w:t>
            </w:r>
          </w:p>
        </w:tc>
      </w:tr>
      <w:tr>
        <w:tc>
          <w:tcPr>
            <w:tcW w:type="dxa" w:w="2160"/>
          </w:tcPr>
          <w:p>
            <w:r/>
            <w:r>
              <w:t>C5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Doble registro:</w:t>
            </w:r>
            <w:r>
              <w:t xml:space="preserve"> manejar controlados en PR requiere </w:t>
            </w:r>
            <w:r>
              <w:rPr>
                <w:b/>
              </w:rPr>
              <w:t>DEA federal + registro estatal de controlados</w:t>
            </w:r>
            <w:r>
              <w:t xml:space="preserve"> del </w:t>
            </w:r>
            <w:r>
              <w:rPr>
                <w:b/>
              </w:rPr>
              <w:t>Depto. de Salud (Oficina de Sustancias Controladas)</w:t>
            </w:r>
            <w:r>
              <w:t xml:space="preserve"> — antes ASSMCA, transferido por OA 282 (2011). Ley 4-1971, Reglamento 153. Regla general: </w:t>
            </w:r>
            <w:r>
              <w:rPr>
                <w:b/>
              </w:rPr>
              <w:t>estatal primero, luego DEA</w:t>
            </w:r>
            <w:r>
              <w:t xml:space="preserve"> (confirmar orden).</w:t>
            </w:r>
          </w:p>
        </w:tc>
        <w:tc>
          <w:tcPr>
            <w:tcW w:type="dxa" w:w="2160"/>
          </w:tcPr>
          <w:p>
            <w:r/>
            <w:r>
              <w:t>Alta (doble registro); Media (orden)</w:t>
            </w:r>
          </w:p>
        </w:tc>
        <w:tc>
          <w:tcPr>
            <w:tcW w:type="dxa" w:w="2160"/>
          </w:tcPr>
          <w:p>
            <w:r/>
            <w:r>
              <w:t>salud.pr.gov/CMS/189; assmca.pr.gov; harborcompliance.com</w:t>
            </w:r>
          </w:p>
        </w:tc>
      </w:tr>
      <w:tr>
        <w:tc>
          <w:tcPr>
            <w:tcW w:type="dxa" w:w="2160"/>
          </w:tcPr>
          <w:p>
            <w:r/>
            <w:r>
              <w:t>C6</w:t>
            </w:r>
          </w:p>
        </w:tc>
        <w:tc>
          <w:tcPr>
            <w:tcW w:type="dxa" w:w="2160"/>
          </w:tcPr>
          <w:p>
            <w:r/>
            <w:r>
              <w:t xml:space="preserve">Receta de controlado en PR debe llevar </w:t>
            </w:r>
            <w:r>
              <w:rPr>
                <w:b/>
              </w:rPr>
              <w:t>número DEA + número estatal</w:t>
            </w:r>
            <w:r>
              <w:t xml:space="preserve">. PR opera </w:t>
            </w:r>
            <w:r>
              <w:rPr>
                <w:b/>
              </w:rPr>
              <w:t>PDMP</w:t>
            </w:r>
            <w:r>
              <w:t xml:space="preserve"> bajo </w:t>
            </w:r>
            <w:r>
              <w:rPr>
                <w:b/>
              </w:rPr>
              <w:t>Ley 70-2017</w:t>
            </w:r>
            <w:r>
              <w:t xml:space="preserve"> — fentermina activa obligaciones de PDMP. Curso de manejo de controlados renovable cada 3 años + certificado de buena conducta.</w:t>
            </w:r>
          </w:p>
        </w:tc>
        <w:tc>
          <w:tcPr>
            <w:tcW w:type="dxa" w:w="2160"/>
          </w:tcPr>
          <w:p>
            <w:r/>
            <w:r>
              <w:t>Alta (PDMP/receta); Media (detalles)</w:t>
            </w:r>
          </w:p>
        </w:tc>
        <w:tc>
          <w:tcPr>
            <w:tcW w:type="dxa" w:w="2160"/>
          </w:tcPr>
          <w:p>
            <w:r/>
            <w:r>
              <w:t>pns-pr.com; bvirtualogp.pr.gov/.../70-2017.pdf</w:t>
            </w:r>
          </w:p>
        </w:tc>
      </w:tr>
    </w:tbl>
    <w:p>
      <w:r>
        <w:rPr>
          <w:color w:val="BBBBBB"/>
        </w:rPr>
        <w:t>________________________________________</w:t>
      </w:r>
    </w:p>
    <w:p>
      <w:pPr>
        <w:pStyle w:val="Heading2"/>
      </w:pPr>
      <w:r/>
      <w:r>
        <w:t>D. Estatus FDA de semaglutida/tirzepatida *compounded* (2025–2026) — ÁREA CALIENTE 🔥</w:t>
      </w:r>
    </w:p>
    <w:p>
      <w:r>
        <w:rPr>
          <w:b/>
        </w:rPr>
        <w:t>Resumen:</w:t>
      </w:r>
      <w:r>
        <w:t xml:space="preserve"> A mediados de 2026, ambos fármacos están </w:t>
      </w:r>
      <w:r>
        <w:rPr>
          <w:b/>
        </w:rPr>
        <w:t>fuera de la lista de escasez</w:t>
      </w:r>
      <w:r>
        <w:t xml:space="preserve">, todos los periodos de transición </w:t>
      </w:r>
      <w:r>
        <w:rPr>
          <w:b/>
        </w:rPr>
        <w:t>expiraron en 2025</w:t>
      </w:r>
      <w:r>
        <w:t xml:space="preserve">, y el compounding a gran escala está </w:t>
      </w:r>
      <w:r>
        <w:rPr>
          <w:b/>
        </w:rPr>
        <w:t>efectivamente cerrado</w:t>
      </w:r>
      <w:r>
        <w:t xml:space="preserve">. Compoundear como "copia esencial" de un producto aprobado está </w:t>
      </w:r>
      <w:r>
        <w:rPr>
          <w:b/>
        </w:rPr>
        <w:t>prohibido</w:t>
      </w:r>
      <w:r>
        <w:t xml:space="preserve"> para 503A y 503B. </w:t>
      </w:r>
      <w:r>
        <w:rPr>
          <w:b/>
        </w:rPr>
        <w:t>Default recomendado: marcas aprobadas FDA</w:t>
      </w:r>
      <w:r>
        <w:t xml:space="preserve"> (Wegovy/Ozempic = semaglutida; Zepbound/Mounjaro = tirzepatida).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Hallazgo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Confianza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Fuente</w:t>
            </w:r>
          </w:p>
        </w:tc>
      </w:tr>
      <w:tr>
        <w:tc>
          <w:tcPr>
            <w:tcW w:type="dxa" w:w="2160"/>
          </w:tcPr>
          <w:p>
            <w:r/>
            <w:r>
              <w:t>D1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Tirzepatida</w:t>
            </w:r>
            <w:r>
              <w:t xml:space="preserve"> salió de escasez </w:t>
            </w:r>
            <w:r>
              <w:rPr>
                <w:b/>
              </w:rPr>
              <w:t>2 oct 2024</w:t>
            </w:r>
            <w:r>
              <w:t xml:space="preserve">. Fin de compounding: </w:t>
            </w:r>
            <w:r>
              <w:rPr>
                <w:b/>
              </w:rPr>
              <w:t>503A → 18 feb 2025; 503B → 19 mar 2025</w:t>
            </w:r>
            <w:r>
              <w:t>.</w:t>
            </w:r>
          </w:p>
        </w:tc>
        <w:tc>
          <w:tcPr>
            <w:tcW w:type="dxa" w:w="2160"/>
          </w:tcPr>
          <w:p>
            <w:r/>
            <w:r>
              <w:t>Alta</w:t>
            </w:r>
          </w:p>
        </w:tc>
        <w:tc>
          <w:tcPr>
            <w:tcW w:type="dxa" w:w="2160"/>
          </w:tcPr>
          <w:p>
            <w:r/>
            <w:r>
              <w:t>pharmacytimes.com; fda.gov</w:t>
            </w:r>
          </w:p>
        </w:tc>
      </w:tr>
      <w:tr>
        <w:tc>
          <w:tcPr>
            <w:tcW w:type="dxa" w:w="2160"/>
          </w:tcPr>
          <w:p>
            <w:r/>
            <w:r>
              <w:t>D2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Semaglutida</w:t>
            </w:r>
            <w:r>
              <w:t xml:space="preserve"> salió de escasez </w:t>
            </w:r>
            <w:r>
              <w:rPr>
                <w:b/>
              </w:rPr>
              <w:t>21 feb 2025</w:t>
            </w:r>
            <w:r>
              <w:t xml:space="preserve">. Fin de compounding: </w:t>
            </w:r>
            <w:r>
              <w:rPr>
                <w:b/>
              </w:rPr>
              <w:t>503A → 22 abr 2025; 503B → 22 may 2025</w:t>
            </w:r>
            <w:r>
              <w:t>.</w:t>
            </w:r>
          </w:p>
        </w:tc>
        <w:tc>
          <w:tcPr>
            <w:tcW w:type="dxa" w:w="2160"/>
          </w:tcPr>
          <w:p>
            <w:r/>
            <w:r>
              <w:t>Alta</w:t>
            </w:r>
          </w:p>
        </w:tc>
        <w:tc>
          <w:tcPr>
            <w:tcW w:type="dxa" w:w="2160"/>
          </w:tcPr>
          <w:p>
            <w:r/>
            <w:r>
              <w:t>foley.com; natlawreview.com</w:t>
            </w:r>
          </w:p>
        </w:tc>
      </w:tr>
      <w:tr>
        <w:tc>
          <w:tcPr>
            <w:tcW w:type="dxa" w:w="2160"/>
          </w:tcPr>
          <w:p>
            <w:r/>
            <w:r>
              <w:t>D3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Litigio OFA v. FDA — la FDA ganó.</w:t>
            </w:r>
            <w:r>
              <w:t xml:space="preserve"> Inyunción preliminar de semaglutida </w:t>
            </w:r>
            <w:r>
              <w:rPr>
                <w:b/>
              </w:rPr>
              <w:t>negada 24 abr 2025</w:t>
            </w:r>
            <w:r>
              <w:t xml:space="preserve">; remoción de tirzepatida </w:t>
            </w:r>
            <w:r>
              <w:rPr>
                <w:b/>
              </w:rPr>
              <w:t>confirmada 7 may 2025</w:t>
            </w:r>
            <w:r>
              <w:t xml:space="preserve"> (N.D. Texas).</w:t>
            </w:r>
          </w:p>
        </w:tc>
        <w:tc>
          <w:tcPr>
            <w:tcW w:type="dxa" w:w="2160"/>
          </w:tcPr>
          <w:p>
            <w:r/>
            <w:r>
              <w:t>Alta</w:t>
            </w:r>
          </w:p>
        </w:tc>
        <w:tc>
          <w:tcPr>
            <w:tcW w:type="dxa" w:w="2160"/>
          </w:tcPr>
          <w:p>
            <w:r/>
            <w:r>
              <w:t>mcdermottlaw.com; frierlevitt.com</w:t>
            </w:r>
          </w:p>
        </w:tc>
      </w:tr>
      <w:tr>
        <w:tc>
          <w:tcPr>
            <w:tcW w:type="dxa" w:w="2160"/>
          </w:tcPr>
          <w:p>
            <w:r/>
            <w:r>
              <w:t>D4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Prohibición de "copia esencial":</w:t>
            </w:r>
            <w:r>
              <w:t xml:space="preserve"> sin escasez, ni 503A ni 503B pueden compoundear copias. FDA trata ~</w:t>
            </w:r>
            <w:r>
              <w:rPr>
                <w:b/>
              </w:rPr>
              <w:t>dentro de 10%</w:t>
            </w:r>
            <w:r>
              <w:t xml:space="preserve"> de una concentración comercial como copia esencial. </w:t>
            </w:r>
            <w:r>
              <w:rPr>
                <w:b/>
              </w:rPr>
              <w:t>Añadir B12/NAD/niacinamida NO</w:t>
            </w:r>
            <w:r>
              <w:t xml:space="preserve"> lo hace legalmente distinto por sí solo.</w:t>
            </w:r>
          </w:p>
        </w:tc>
        <w:tc>
          <w:tcPr>
            <w:tcW w:type="dxa" w:w="2160"/>
          </w:tcPr>
          <w:p>
            <w:r/>
            <w:r>
              <w:t>Alta</w:t>
            </w:r>
          </w:p>
        </w:tc>
        <w:tc>
          <w:tcPr>
            <w:tcW w:type="dxa" w:w="2160"/>
          </w:tcPr>
          <w:p>
            <w:r/>
            <w:r>
              <w:t>burr.com; montgomerypurdue.com</w:t>
            </w:r>
          </w:p>
        </w:tc>
      </w:tr>
      <w:tr>
        <w:tc>
          <w:tcPr>
            <w:tcW w:type="dxa" w:w="2160"/>
          </w:tcPr>
          <w:p>
            <w:r/>
            <w:r>
              <w:t>D5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Excepción 503A estrecha:</w:t>
            </w:r>
            <w:r>
              <w:t xml:space="preserve"> solo con </w:t>
            </w:r>
            <w:r>
              <w:rPr>
                <w:b/>
              </w:rPr>
              <w:t>necesidad clínica específica documentada por paciente</w:t>
            </w:r>
            <w:r>
              <w:t xml:space="preserve"> (alergia a excipiente, dosis no comercial). Política FDA: no actuar si se preparan </w:t>
            </w:r>
            <w:r>
              <w:rPr>
                <w:b/>
              </w:rPr>
              <w:t>≤4 recetas/mes</w:t>
            </w:r>
            <w:r>
              <w:t xml:space="preserve"> de ese producto (no es luz verde para rutina).</w:t>
            </w:r>
          </w:p>
        </w:tc>
        <w:tc>
          <w:tcPr>
            <w:tcW w:type="dxa" w:w="2160"/>
          </w:tcPr>
          <w:p>
            <w:r/>
            <w:r>
              <w:t>Media-Alta</w:t>
            </w:r>
          </w:p>
        </w:tc>
        <w:tc>
          <w:tcPr>
            <w:tcW w:type="dxa" w:w="2160"/>
          </w:tcPr>
          <w:p>
            <w:r/>
            <w:r>
              <w:t>foley.com (2026); plexusdx.com</w:t>
            </w:r>
          </w:p>
        </w:tc>
      </w:tr>
      <w:tr>
        <w:tc>
          <w:tcPr>
            <w:tcW w:type="dxa" w:w="2160"/>
          </w:tcPr>
          <w:p>
            <w:r/>
            <w:r>
              <w:t>D6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Regla propuesta (EN MOVIMIENTO):</w:t>
            </w:r>
            <w:r>
              <w:t xml:space="preserve"> </w:t>
            </w:r>
            <w:r>
              <w:rPr>
                <w:b/>
              </w:rPr>
              <w:t>30 abr 2026</w:t>
            </w:r>
            <w:r>
              <w:t xml:space="preserve"> FDA propuso </w:t>
            </w:r>
            <w:r>
              <w:rPr>
                <w:b/>
              </w:rPr>
              <w:t>excluir</w:t>
            </w:r>
            <w:r>
              <w:t xml:space="preserve"> semaglutida, tirzepatida y liraglutida de la </w:t>
            </w:r>
            <w:r>
              <w:rPr>
                <w:b/>
              </w:rPr>
              <w:t>lista de bulks 503B</w:t>
            </w:r>
            <w:r>
              <w:t xml:space="preserve"> (sin "necesidad clínica"). Federal Register </w:t>
            </w:r>
            <w:r>
              <w:rPr>
                <w:b/>
              </w:rPr>
              <w:t>1 may 2026</w:t>
            </w:r>
            <w:r>
              <w:t xml:space="preserve">; comentarios cierran </w:t>
            </w:r>
            <w:r>
              <w:rPr>
                <w:b/>
              </w:rPr>
              <w:t>~29–30 jun 2026</w:t>
            </w:r>
            <w:r>
              <w:t xml:space="preserve">. </w:t>
            </w:r>
            <w:r>
              <w:rPr>
                <w:b/>
              </w:rPr>
              <w:t>Aún no es regla final — pendiente.</w:t>
            </w:r>
          </w:p>
        </w:tc>
        <w:tc>
          <w:tcPr>
            <w:tcW w:type="dxa" w:w="2160"/>
          </w:tcPr>
          <w:p>
            <w:r/>
            <w:r>
              <w:t>Alta (propuesta); pendiente (final)</w:t>
            </w:r>
          </w:p>
        </w:tc>
        <w:tc>
          <w:tcPr>
            <w:tcW w:type="dxa" w:w="2160"/>
          </w:tcPr>
          <w:p>
            <w:r/>
            <w:r>
              <w:t>fda.gov; federalregister.gov</w:t>
            </w:r>
          </w:p>
        </w:tc>
      </w:tr>
      <w:tr>
        <w:tc>
          <w:tcPr>
            <w:tcW w:type="dxa" w:w="2160"/>
          </w:tcPr>
          <w:p>
            <w:r/>
            <w:r>
              <w:t>D7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Enforcement creciente:</w:t>
            </w:r>
            <w:r>
              <w:t xml:space="preserve"> 50+ warning letters en 2025; ~30 más el </w:t>
            </w:r>
            <w:r>
              <w:rPr>
                <w:b/>
              </w:rPr>
              <w:t>20 feb 2026</w:t>
            </w:r>
            <w:r>
              <w:t xml:space="preserve"> a telehealth/farmacias online (FDCA §502). Recalls de esterilidad en abril 2026.</w:t>
            </w:r>
          </w:p>
        </w:tc>
        <w:tc>
          <w:tcPr>
            <w:tcW w:type="dxa" w:w="2160"/>
          </w:tcPr>
          <w:p>
            <w:r/>
            <w:r>
              <w:t>Alta</w:t>
            </w:r>
          </w:p>
        </w:tc>
        <w:tc>
          <w:tcPr>
            <w:tcW w:type="dxa" w:w="2160"/>
          </w:tcPr>
          <w:p>
            <w:r/>
            <w:r>
              <w:t>fiercepharma.com; frierlevitt.com</w:t>
            </w:r>
          </w:p>
        </w:tc>
      </w:tr>
      <w:tr>
        <w:tc>
          <w:tcPr>
            <w:tcW w:type="dxa" w:w="2160"/>
          </w:tcPr>
          <w:p>
            <w:r/>
            <w:r>
              <w:t>D8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Litigio de fabricantes + salida del mercado:</w:t>
            </w:r>
            <w:r>
              <w:t xml:space="preserve"> Novo Nordisk y Eli Lilly enviaron cease-and-desist y 100+ demandas contra compounders, clínicas y med spas. </w:t>
            </w:r>
            <w:r>
              <w:rPr>
                <w:b/>
              </w:rPr>
              <w:t>Hims &amp; Hers salió</w:t>
            </w:r>
            <w:r>
              <w:t xml:space="preserve"> del semaglutida compounded (acuerdo ~9 mar 2026).</w:t>
            </w:r>
          </w:p>
        </w:tc>
        <w:tc>
          <w:tcPr>
            <w:tcW w:type="dxa" w:w="2160"/>
          </w:tcPr>
          <w:p>
            <w:r/>
            <w:r>
              <w:t>Alta</w:t>
            </w:r>
          </w:p>
        </w:tc>
        <w:tc>
          <w:tcPr>
            <w:tcW w:type="dxa" w:w="2160"/>
          </w:tcPr>
          <w:p>
            <w:r/>
            <w:r>
              <w:t>thehill.com; hchlawyers.com</w:t>
            </w:r>
          </w:p>
        </w:tc>
      </w:tr>
    </w:tbl>
    <w:p>
      <w:r>
        <w:rPr>
          <w:b/>
        </w:rPr>
        <w:t>Implicación para tu clínica:</w:t>
      </w:r>
      <w:r>
        <w:t xml:space="preserve"> usar </w:t>
      </w:r>
      <w:r>
        <w:rPr>
          <w:b/>
        </w:rPr>
        <w:t>marca aprobada FDA</w:t>
      </w:r>
      <w:r>
        <w:t xml:space="preserve"> es el camino más seguro (sin riesgo de legalidad de compounding ni litigio de fabricante). Productos *compounded* exponen a litigio, warning letters y riesgo de seguridad/responsabilidad.</w:t>
      </w:r>
    </w:p>
    <w:p>
      <w:r>
        <w:rPr>
          <w:color w:val="BBBBBB"/>
        </w:rPr>
        <w:t>________________________________________</w:t>
      </w:r>
    </w:p>
    <w:p>
      <w:pPr>
        <w:pStyle w:val="Heading2"/>
      </w:pPr>
      <w:r/>
      <w:r>
        <w:t>E. Licencia médica, telemedicina y Corporate Practice of Medicine (PR)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Hallazgo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Confianza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Fuente</w:t>
            </w:r>
          </w:p>
        </w:tc>
      </w:tr>
      <w:tr>
        <w:tc>
          <w:tcPr>
            <w:tcW w:type="dxa" w:w="2160"/>
          </w:tcPr>
          <w:p>
            <w:r/>
            <w:r>
              <w:t>E1</w:t>
            </w:r>
          </w:p>
        </w:tc>
        <w:tc>
          <w:tcPr>
            <w:tcW w:type="dxa" w:w="2160"/>
          </w:tcPr>
          <w:p>
            <w:r/>
            <w:r>
              <w:t xml:space="preserve">Licencia médica: </w:t>
            </w:r>
            <w:r>
              <w:rPr>
                <w:b/>
              </w:rPr>
              <w:t>Ley Núm. 139 de 2008 (JLDMPR)</w:t>
            </w:r>
            <w:r>
              <w:t xml:space="preserve">, Reglamento 8861. Enmendada por Ley 181-2013, 145-2020 y </w:t>
            </w:r>
            <w:r>
              <w:rPr>
                <w:b/>
              </w:rPr>
              <w:t>Ley 46-2026</w:t>
            </w:r>
            <w:r>
              <w:t>.</w:t>
            </w:r>
          </w:p>
        </w:tc>
        <w:tc>
          <w:tcPr>
            <w:tcW w:type="dxa" w:w="2160"/>
          </w:tcPr>
          <w:p>
            <w:r/>
            <w:r>
              <w:t>Alta</w:t>
            </w:r>
          </w:p>
        </w:tc>
        <w:tc>
          <w:tcPr>
            <w:tcW w:type="dxa" w:w="2160"/>
          </w:tcPr>
          <w:p>
            <w:r/>
            <w:r>
              <w:t>lexjuris.com (139-2008); salud.pr.gov/CMS/120</w:t>
            </w:r>
          </w:p>
        </w:tc>
      </w:tr>
      <w:tr>
        <w:tc>
          <w:tcPr>
            <w:tcW w:type="dxa" w:w="2160"/>
          </w:tcPr>
          <w:p>
            <w:r/>
            <w:r>
              <w:t>E2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Recertificación cada 3 años:</w:t>
            </w:r>
            <w:r>
              <w:t xml:space="preserve"> requiere educación continua, certificación ASUME, antecedentes penales, certificación de impericia médica + cuota.</w:t>
            </w:r>
          </w:p>
        </w:tc>
        <w:tc>
          <w:tcPr>
            <w:tcW w:type="dxa" w:w="2160"/>
          </w:tcPr>
          <w:p>
            <w:r/>
            <w:r>
              <w:t>Alta</w:t>
            </w:r>
          </w:p>
        </w:tc>
        <w:tc>
          <w:tcPr>
            <w:tcW w:type="dxa" w:w="2160"/>
          </w:tcPr>
          <w:p>
            <w:r/>
            <w:r>
              <w:t>salud.pr.gov/CMS/120; Ley 145-2020</w:t>
            </w:r>
          </w:p>
        </w:tc>
      </w:tr>
      <w:tr>
        <w:tc>
          <w:tcPr>
            <w:tcW w:type="dxa" w:w="2160"/>
          </w:tcPr>
          <w:p>
            <w:r/>
            <w:r>
              <w:t>E3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CME (educación médica continua):</w:t>
            </w:r>
            <w:r>
              <w:t xml:space="preserve"> obligatoria atada a la recertificación. </w:t>
            </w:r>
            <w:r>
              <w:rPr>
                <w:b/>
              </w:rPr>
              <w:t>FLAG:</w:t>
            </w:r>
            <w:r>
              <w:t xml:space="preserve"> no se pudo confirmar el conteo exacto de horas; una orden administrativa ("OA 542") podría haber </w:t>
            </w:r>
            <w:r>
              <w:rPr>
                <w:b/>
              </w:rPr>
              <w:t>alterado/eliminado</w:t>
            </w:r>
            <w:r>
              <w:t xml:space="preserve"> el requisito — verificar estatus vigente.</w:t>
            </w:r>
          </w:p>
        </w:tc>
        <w:tc>
          <w:tcPr>
            <w:tcW w:type="dxa" w:w="2160"/>
          </w:tcPr>
          <w:p>
            <w:r/>
            <w:r>
              <w:t>Alta (existe); Baja (horas/estatus)</w:t>
            </w:r>
          </w:p>
        </w:tc>
        <w:tc>
          <w:tcPr>
            <w:tcW w:type="dxa" w:w="2160"/>
          </w:tcPr>
          <w:p>
            <w:r/>
            <w:r>
              <w:t>salud.pr.gov/CMS/120</w:t>
            </w:r>
          </w:p>
        </w:tc>
      </w:tr>
      <w:tr>
        <w:tc>
          <w:tcPr>
            <w:tcW w:type="dxa" w:w="2160"/>
          </w:tcPr>
          <w:p>
            <w:r/>
            <w:r>
              <w:t>E4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Telemedicina: Ley Núm. 168 de 2018</w:t>
            </w:r>
            <w:r>
              <w:t xml:space="preserve">, enmendada por Ley 68-2020 y </w:t>
            </w:r>
            <w:r>
              <w:rPr>
                <w:b/>
              </w:rPr>
              <w:t>Ley 8-2025</w:t>
            </w:r>
            <w:r>
              <w:t xml:space="preserve">. Médicos </w:t>
            </w:r>
            <w:r>
              <w:rPr>
                <w:b/>
              </w:rPr>
              <w:t>ya licenciados en PR no necesitan certificación de telemedicina aparte</w:t>
            </w:r>
            <w:r>
              <w:t xml:space="preserve"> (cambio de Ley 8-2025); los licenciados </w:t>
            </w:r>
            <w:r>
              <w:rPr>
                <w:b/>
              </w:rPr>
              <w:t>fuera de PR</w:t>
            </w:r>
            <w:r>
              <w:t xml:space="preserve"> sí necesitan certificación JLDM para tratar pacientes en PR.</w:t>
            </w:r>
          </w:p>
        </w:tc>
        <w:tc>
          <w:tcPr>
            <w:tcW w:type="dxa" w:w="2160"/>
          </w:tcPr>
          <w:p>
            <w:r/>
            <w:r>
              <w:t>Alta (marco); Media (mecánica post-2025)</w:t>
            </w:r>
          </w:p>
        </w:tc>
        <w:tc>
          <w:tcPr>
            <w:tcW w:type="dxa" w:w="2160"/>
          </w:tcPr>
          <w:p>
            <w:r/>
            <w:r>
              <w:t>lexjuris.com (168-2018); microjuris 2025</w:t>
            </w:r>
          </w:p>
        </w:tc>
      </w:tr>
      <w:tr>
        <w:tc>
          <w:tcPr>
            <w:tcW w:type="dxa" w:w="2160"/>
          </w:tcPr>
          <w:p>
            <w:r/>
            <w:r>
              <w:t>E5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Relación médico-paciente válida:</w:t>
            </w:r>
            <w:r>
              <w:t xml:space="preserve"> el médico debe hacer el cernimiento personalmente (no delegable a personal admin); consentimiento informado </w:t>
            </w:r>
            <w:r>
              <w:rPr>
                <w:b/>
              </w:rPr>
              <w:t>obligatorio</w:t>
            </w:r>
            <w:r>
              <w:t xml:space="preserve"> (puede ser electrónico).</w:t>
            </w:r>
          </w:p>
        </w:tc>
        <w:tc>
          <w:tcPr>
            <w:tcW w:type="dxa" w:w="2160"/>
          </w:tcPr>
          <w:p>
            <w:r/>
            <w:r>
              <w:t>Alta</w:t>
            </w:r>
          </w:p>
        </w:tc>
        <w:tc>
          <w:tcPr>
            <w:tcW w:type="dxa" w:w="2160"/>
          </w:tcPr>
          <w:p>
            <w:r/>
            <w:r>
              <w:t>salud.pr.gov/CMS/84</w:t>
            </w:r>
          </w:p>
        </w:tc>
      </w:tr>
      <w:tr>
        <w:tc>
          <w:tcPr>
            <w:tcW w:type="dxa" w:w="2160"/>
          </w:tcPr>
          <w:p>
            <w:r/>
            <w:r>
              <w:t>E6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Prescribir por telemedicina:</w:t>
            </w:r>
            <w:r>
              <w:t xml:space="preserve"> permitido en curso legítimo; </w:t>
            </w:r>
            <w:r>
              <w:rPr>
                <w:b/>
              </w:rPr>
              <w:t>controlados mucho más restringidos</w:t>
            </w:r>
            <w:r>
              <w:t xml:space="preserve"> (Schedule II requirió receta física en papel). Verificar reglas DEA telehealth + ASSMCA/PDMP vigentes.</w:t>
            </w:r>
          </w:p>
        </w:tc>
        <w:tc>
          <w:tcPr>
            <w:tcW w:type="dxa" w:w="2160"/>
          </w:tcPr>
          <w:p>
            <w:r/>
            <w:r>
              <w:t>Media (general); Baja-Media (controlados)</w:t>
            </w:r>
          </w:p>
        </w:tc>
        <w:tc>
          <w:tcPr>
            <w:tcW w:type="dxa" w:w="2160"/>
          </w:tcPr>
          <w:p>
            <w:r/>
            <w:r>
              <w:t>careexpand.com; noticel.com</w:t>
            </w:r>
          </w:p>
        </w:tc>
      </w:tr>
      <w:tr>
        <w:tc>
          <w:tcPr>
            <w:tcW w:type="dxa" w:w="2160"/>
          </w:tcPr>
          <w:p>
            <w:r/>
            <w:r>
              <w:t>E7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Corporate Practice of Medicine:</w:t>
            </w:r>
            <w:r>
              <w:t xml:space="preserve"> PR </w:t>
            </w:r>
            <w:r>
              <w:rPr>
                <w:b/>
              </w:rPr>
              <w:t>restringe el control no-médico</w:t>
            </w:r>
            <w:r>
              <w:t xml:space="preserve"> de la práctica médica. Ley 139-2008 prohíbe que un médico se asocie/sea empleado por personas no licenciadas para practicar medicina (20 LPRA §135d).</w:t>
            </w:r>
          </w:p>
        </w:tc>
        <w:tc>
          <w:tcPr>
            <w:tcW w:type="dxa" w:w="2160"/>
          </w:tcPr>
          <w:p>
            <w:r/>
            <w:r>
              <w:t>Alta (prohibición); Media (art.)</w:t>
            </w:r>
          </w:p>
        </w:tc>
        <w:tc>
          <w:tcPr>
            <w:tcW w:type="dxa" w:w="2160"/>
          </w:tcPr>
          <w:p>
            <w:r/>
            <w:r>
              <w:t>law.justia.com (20 LPRA §135d); locumtele.org</w:t>
            </w:r>
          </w:p>
        </w:tc>
      </w:tr>
      <w:tr>
        <w:tc>
          <w:tcPr>
            <w:tcW w:type="dxa" w:w="2160"/>
          </w:tcPr>
          <w:p>
            <w:r/>
            <w:r>
              <w:t>E8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Corporaciones profesionales: Ley 164-2009, Cap. XVIII</w:t>
            </w:r>
            <w:r>
              <w:t xml:space="preserve"> (14 LPRA §3925): una corp. profesional solo puede rendir servicios a través de profesionales licenciados. </w:t>
            </w:r>
            <w:r>
              <w:rPr>
                <w:b/>
              </w:rPr>
              <w:t>FLAG:</w:t>
            </w:r>
            <w:r>
              <w:t xml:space="preserve"> si </w:t>
            </w:r>
            <w:r>
              <w:rPr>
                <w:b/>
              </w:rPr>
              <w:t>cada</w:t>
            </w:r>
            <w:r>
              <w:t xml:space="preserve"> accionista de una PC médica debe ser médico, y la legalidad de un modelo </w:t>
            </w:r>
            <w:r>
              <w:rPr>
                <w:b/>
              </w:rPr>
              <w:t>MSO/management</w:t>
            </w:r>
            <w:r>
              <w:t>, debe ser evaluado por abogado PR.</w:t>
            </w:r>
          </w:p>
        </w:tc>
        <w:tc>
          <w:tcPr>
            <w:tcW w:type="dxa" w:w="2160"/>
          </w:tcPr>
          <w:p>
            <w:r/>
            <w:r>
              <w:t>Alta (estatuto); Media (estructura)</w:t>
            </w:r>
          </w:p>
        </w:tc>
        <w:tc>
          <w:tcPr>
            <w:tcW w:type="dxa" w:w="2160"/>
          </w:tcPr>
          <w:p>
            <w:r/>
            <w:r>
              <w:t>lexjuris.com (164-2009); law.justia.com (14 LPRA §3925)</w:t>
            </w:r>
          </w:p>
        </w:tc>
      </w:tr>
      <w:tr>
        <w:tc>
          <w:tcPr>
            <w:tcW w:type="dxa" w:w="2160"/>
          </w:tcPr>
          <w:p>
            <w:r/>
            <w:r>
              <w:t>E9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¿Puede un no-médico ser dueño de una clínica?</w:t>
            </w:r>
            <w:r>
              <w:t xml:space="preserve"> Respuesta práctica: los </w:t>
            </w:r>
            <w:r>
              <w:rPr>
                <w:b/>
              </w:rPr>
              <w:t>servicios clínicos deben ser controlados por médicos licenciados</w:t>
            </w:r>
            <w:r>
              <w:t xml:space="preserve"> (vía PC); un no-médico puede tener la parte de management/inmueble/facilidad, pero </w:t>
            </w:r>
            <w:r>
              <w:rPr>
                <w:b/>
              </w:rPr>
              <w:t>no</w:t>
            </w:r>
            <w:r>
              <w:t xml:space="preserve"> dirigir el juicio clínico. Estructura exacta (MSO) → abogado PR.</w:t>
            </w:r>
          </w:p>
        </w:tc>
        <w:tc>
          <w:tcPr>
            <w:tcW w:type="dxa" w:w="2160"/>
          </w:tcPr>
          <w:p>
            <w:r/>
            <w:r>
              <w:t>Media</w:t>
            </w:r>
          </w:p>
        </w:tc>
        <w:tc>
          <w:tcPr>
            <w:tcW w:type="dxa" w:w="2160"/>
          </w:tcPr>
          <w:p>
            <w:r/>
            <w:r>
              <w:t>locumtele.org; jmco.com</w:t>
            </w:r>
          </w:p>
        </w:tc>
      </w:tr>
    </w:tbl>
    <w:p>
      <w:r>
        <w:rPr>
          <w:color w:val="BBBBBB"/>
        </w:rPr>
        <w:t>________________________________________</w:t>
      </w:r>
    </w:p>
    <w:p>
      <w:pPr>
        <w:pStyle w:val="Heading2"/>
      </w:pPr>
      <w:r/>
      <w:r>
        <w:t>F. Cumplimiento federal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Hallazgo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Confianza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Fuente</w:t>
            </w:r>
          </w:p>
        </w:tc>
      </w:tr>
      <w:tr>
        <w:tc>
          <w:tcPr>
            <w:tcW w:type="dxa" w:w="2160"/>
          </w:tcPr>
          <w:p>
            <w:r/>
            <w:r>
              <w:t>F1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HIPAA:</w:t>
            </w:r>
            <w:r>
              <w:t xml:space="preserve"> la clínica es </w:t>
            </w:r>
            <w:r>
              <w:rPr>
                <w:b/>
              </w:rPr>
              <w:t>covered entity</w:t>
            </w:r>
            <w:r>
              <w:t xml:space="preserve"> si transmite info de salud electrónicamente en transacciones estándar (claims, elegibilidad). Una clínica 100% cash que </w:t>
            </w:r>
            <w:r>
              <w:rPr>
                <w:b/>
              </w:rPr>
              <w:t>nunca</w:t>
            </w:r>
            <w:r>
              <w:t xml:space="preserve"> hace transacciones electrónicas estándar *podría* quedar fuera — pero en la práctica casi todas son covered entities. </w:t>
            </w:r>
            <w:r>
              <w:rPr>
                <w:b/>
              </w:rPr>
              <w:t>Confirmar con abogado.</w:t>
            </w:r>
          </w:p>
        </w:tc>
        <w:tc>
          <w:tcPr>
            <w:tcW w:type="dxa" w:w="2160"/>
          </w:tcPr>
          <w:p>
            <w:r/>
            <w:r>
              <w:t>Alta</w:t>
            </w:r>
          </w:p>
        </w:tc>
        <w:tc>
          <w:tcPr>
            <w:tcW w:type="dxa" w:w="2160"/>
          </w:tcPr>
          <w:p>
            <w:r/>
            <w:r>
              <w:t>cms.gov (MLN909001); oig.hhs.gov</w:t>
            </w:r>
          </w:p>
        </w:tc>
      </w:tr>
      <w:tr>
        <w:tc>
          <w:tcPr>
            <w:tcW w:type="dxa" w:w="2160"/>
          </w:tcPr>
          <w:p>
            <w:r/>
            <w:r>
              <w:t>F2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HIPAA — obligaciones:</w:t>
            </w:r>
            <w:r>
              <w:t xml:space="preserve"> BAAs con todo vendor que maneje PHI (EHR, billing, nube), Notice of Privacy Practices, Breach Notification (notificar ≤</w:t>
            </w:r>
            <w:r>
              <w:rPr>
                <w:b/>
              </w:rPr>
              <w:t>60 días</w:t>
            </w:r>
            <w:r>
              <w:t xml:space="preserve">; brechas de </w:t>
            </w:r>
            <w:r>
              <w:rPr>
                <w:b/>
              </w:rPr>
              <w:t>500+</w:t>
            </w:r>
            <w:r>
              <w:t xml:space="preserve"> a HHS y medios sin demora).</w:t>
            </w:r>
          </w:p>
        </w:tc>
        <w:tc>
          <w:tcPr>
            <w:tcW w:type="dxa" w:w="2160"/>
          </w:tcPr>
          <w:p>
            <w:r/>
            <w:r>
              <w:t>Alta</w:t>
            </w:r>
          </w:p>
        </w:tc>
        <w:tc>
          <w:tcPr>
            <w:tcW w:type="dxa" w:w="2160"/>
          </w:tcPr>
          <w:p>
            <w:r/>
            <w:r>
              <w:t>cms.gov; ama-assn.org</w:t>
            </w:r>
          </w:p>
        </w:tc>
      </w:tr>
      <w:tr>
        <w:tc>
          <w:tcPr>
            <w:tcW w:type="dxa" w:w="2160"/>
          </w:tcPr>
          <w:p>
            <w:r/>
            <w:r>
              <w:t>F3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CLIA:</w:t>
            </w:r>
            <w:r>
              <w:t xml:space="preserve"> glucosa y </w:t>
            </w:r>
            <w:r>
              <w:rPr>
                <w:b/>
              </w:rPr>
              <w:t>HbA1c son pruebas waived</w:t>
            </w:r>
            <w:r>
              <w:t xml:space="preserve"> → basta </w:t>
            </w:r>
            <w:r>
              <w:rPr>
                <w:b/>
              </w:rPr>
              <w:t>Certificate of Waiver</w:t>
            </w:r>
            <w:r>
              <w:t xml:space="preserve">. Forma </w:t>
            </w:r>
            <w:r>
              <w:rPr>
                <w:b/>
              </w:rPr>
              <w:t>CMS-116</w:t>
            </w:r>
            <w:r>
              <w:t xml:space="preserve"> a la agencia estatal de PR; </w:t>
            </w:r>
            <w:r>
              <w:rPr>
                <w:b/>
              </w:rPr>
              <w:t>$180 por 2 años</w:t>
            </w:r>
            <w:r>
              <w:t xml:space="preserve">; ~10–14 días respuesta inicial. </w:t>
            </w:r>
            <w:r>
              <w:rPr>
                <w:b/>
              </w:rPr>
              <w:t>FLAG:</w:t>
            </w:r>
            <w:r>
              <w:t xml:space="preserve"> confirmar dirección de la agencia estatal de PR (Depto. Salud).</w:t>
            </w:r>
          </w:p>
        </w:tc>
        <w:tc>
          <w:tcPr>
            <w:tcW w:type="dxa" w:w="2160"/>
          </w:tcPr>
          <w:p>
            <w:r/>
            <w:r>
              <w:t>Alta</w:t>
            </w:r>
          </w:p>
        </w:tc>
        <w:tc>
          <w:tcPr>
            <w:tcW w:type="dxa" w:w="2160"/>
          </w:tcPr>
          <w:p>
            <w:r/>
            <w:r>
              <w:t>cms.gov (CMS-116)</w:t>
            </w:r>
          </w:p>
        </w:tc>
      </w:tr>
      <w:tr>
        <w:tc>
          <w:tcPr>
            <w:tcW w:type="dxa" w:w="2160"/>
          </w:tcPr>
          <w:p>
            <w:r/>
            <w:r>
              <w:t>F4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OSHA Bloodborne Pathogens (29 CFR 1910.1030):</w:t>
            </w:r>
            <w:r>
              <w:t xml:space="preserve"> aplica plenamente por las inyecciones. Plan de Control de Exposición escrito (revisión anual), precauciones universales, sharps containers, </w:t>
            </w:r>
            <w:r>
              <w:rPr>
                <w:b/>
              </w:rPr>
              <w:t>vacuna Hepatitis B gratis</w:t>
            </w:r>
            <w:r>
              <w:t xml:space="preserve">, entrenamiento al ingreso y anual, sharps injury log. + </w:t>
            </w:r>
            <w:r>
              <w:rPr>
                <w:b/>
              </w:rPr>
              <w:t>Hazard Communication (1910.1200)</w:t>
            </w:r>
            <w:r>
              <w:t xml:space="preserve"> (SDS, etiquetas).</w:t>
            </w:r>
          </w:p>
        </w:tc>
        <w:tc>
          <w:tcPr>
            <w:tcW w:type="dxa" w:w="2160"/>
          </w:tcPr>
          <w:p>
            <w:r/>
            <w:r>
              <w:t>Alta</w:t>
            </w:r>
          </w:p>
        </w:tc>
        <w:tc>
          <w:tcPr>
            <w:tcW w:type="dxa" w:w="2160"/>
          </w:tcPr>
          <w:p>
            <w:r/>
            <w:r>
              <w:t>osha.gov (1910.1030); ecfr.gov</w:t>
            </w:r>
          </w:p>
        </w:tc>
      </w:tr>
      <w:tr>
        <w:tc>
          <w:tcPr>
            <w:tcW w:type="dxa" w:w="2160"/>
          </w:tcPr>
          <w:p>
            <w:r/>
            <w:r>
              <w:t>F5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Desperdicios biomédicos/sharps:</w:t>
            </w:r>
            <w:r>
              <w:t xml:space="preserve"> OSHA exige contención/etiquetado; la disposición/transporte se regula a nivel </w:t>
            </w:r>
            <w:r>
              <w:rPr>
                <w:b/>
              </w:rPr>
              <w:t>PR (Depto. Salud / DRNA-Junta de Calidad Ambiental)</w:t>
            </w:r>
            <w:r>
              <w:t xml:space="preserve"> con hauler licenciado. </w:t>
            </w:r>
            <w:r>
              <w:rPr>
                <w:b/>
              </w:rPr>
              <w:t>FLAG:</w:t>
            </w:r>
            <w:r>
              <w:t xml:space="preserve"> reglas específicas de hauler/manifiesto PR no verificadas — confirmar con Depto. Salud.</w:t>
            </w:r>
          </w:p>
        </w:tc>
        <w:tc>
          <w:tcPr>
            <w:tcW w:type="dxa" w:w="2160"/>
          </w:tcPr>
          <w:p>
            <w:r/>
            <w:r>
              <w:t>Alta (OSHA); Media (PR)</w:t>
            </w:r>
          </w:p>
        </w:tc>
        <w:tc>
          <w:tcPr>
            <w:tcW w:type="dxa" w:w="2160"/>
          </w:tcPr>
          <w:p>
            <w:r/>
            <w:r>
              <w:t>osha.gov</w:t>
            </w:r>
          </w:p>
        </w:tc>
      </w:tr>
      <w:tr>
        <w:tc>
          <w:tcPr>
            <w:tcW w:type="dxa" w:w="2160"/>
          </w:tcPr>
          <w:p>
            <w:r/>
            <w:r>
              <w:t>F6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Anti-Kickback (42 USC §1320a-7b(b)) y Stark (§1395nn):</w:t>
            </w:r>
            <w:r>
              <w:t xml:space="preserve"> aplican </w:t>
            </w:r>
            <w:r>
              <w:rPr>
                <w:b/>
              </w:rPr>
              <w:t>solo</w:t>
            </w:r>
            <w:r>
              <w:t xml:space="preserve"> a servicios pagados por programa federal (Medicare/Medicaid/TRICARE). Una clínica </w:t>
            </w:r>
            <w:r>
              <w:rPr>
                <w:b/>
              </w:rPr>
              <w:t>100% cash sin facturación federal</w:t>
            </w:r>
            <w:r>
              <w:t xml:space="preserve"> está </w:t>
            </w:r>
            <w:r>
              <w:rPr>
                <w:b/>
              </w:rPr>
              <w:t>fuera del alcance</w:t>
            </w:r>
            <w:r>
              <w:t xml:space="preserve"> de ambas. </w:t>
            </w:r>
            <w:r>
              <w:rPr>
                <w:b/>
              </w:rPr>
              <w:t>Riesgo:</w:t>
            </w:r>
            <w:r>
              <w:t xml:space="preserve"> si facturas </w:t>
            </w:r>
            <w:r>
              <w:rPr>
                <w:b/>
              </w:rPr>
              <w:t>cualquier</w:t>
            </w:r>
            <w:r>
              <w:t xml:space="preserve"> programa federal, ambas se activan. Mantén billing estrictamente cash; si añades billing federal, consulta abogado primero. *(Aún aplican FTC Act y otras leyes a clínicas cash.)*</w:t>
            </w:r>
          </w:p>
        </w:tc>
        <w:tc>
          <w:tcPr>
            <w:tcW w:type="dxa" w:w="2160"/>
          </w:tcPr>
          <w:p>
            <w:r/>
            <w:r>
              <w:t>Alta</w:t>
            </w:r>
          </w:p>
        </w:tc>
        <w:tc>
          <w:tcPr>
            <w:tcW w:type="dxa" w:w="2160"/>
          </w:tcPr>
          <w:p>
            <w:r/>
            <w:r>
              <w:t>oig.hhs.gov</w:t>
            </w:r>
          </w:p>
        </w:tc>
      </w:tr>
      <w:tr>
        <w:tc>
          <w:tcPr>
            <w:tcW w:type="dxa" w:w="2160"/>
          </w:tcPr>
          <w:p>
            <w:r/>
            <w:r>
              <w:t>F7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DSCSA:</w:t>
            </w:r>
            <w:r>
              <w:t xml:space="preserve"> comprar solo a </w:t>
            </w:r>
            <w:r>
              <w:rPr>
                <w:b/>
              </w:rPr>
              <w:t>trading partners autorizados</w:t>
            </w:r>
            <w:r>
              <w:t xml:space="preserve"> (distribuidores/fabricantes licenciados). PR refuerza a nivel territorial: prohibido comprar de fuente no licenciada por Depto. Salud PR. </w:t>
            </w:r>
            <w:r>
              <w:rPr>
                <w:b/>
              </w:rPr>
              <w:t>OA 612 (17 jun 2025)</w:t>
            </w:r>
            <w:r>
              <w:t xml:space="preserve"> derogó el requisito de Autorización Especial para mayoristas no-residentes (afecta a tus *suplidores*, no tu deber de comprar de fuente licenciada).</w:t>
            </w:r>
          </w:p>
        </w:tc>
        <w:tc>
          <w:tcPr>
            <w:tcW w:type="dxa" w:w="2160"/>
          </w:tcPr>
          <w:p>
            <w:r/>
            <w:r>
              <w:t>Alta (DSCSA); Media (OA 612)</w:t>
            </w:r>
          </w:p>
        </w:tc>
        <w:tc>
          <w:tcPr>
            <w:tcW w:type="dxa" w:w="2160"/>
          </w:tcPr>
          <w:p>
            <w:r/>
            <w:r>
              <w:t>fda.gov (DSCSA); quarles.com</w:t>
            </w:r>
          </w:p>
        </w:tc>
      </w:tr>
    </w:tbl>
    <w:p>
      <w:r>
        <w:rPr>
          <w:color w:val="BBBBBB"/>
        </w:rPr>
        <w:t>________________________________________</w:t>
      </w:r>
    </w:p>
    <w:p>
      <w:pPr>
        <w:pStyle w:val="Heading2"/>
      </w:pPr>
      <w:r/>
      <w:r>
        <w:t>G. Patronal y municipal (Puerto Rico)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Hallazgo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Confianza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Fuente</w:t>
            </w:r>
          </w:p>
        </w:tc>
      </w:tr>
      <w:tr>
        <w:tc>
          <w:tcPr>
            <w:tcW w:type="dxa" w:w="2160"/>
          </w:tcPr>
          <w:p>
            <w:r/>
            <w:r>
              <w:t>G1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CFSE (Fondo del Seguro del Estado) — compensación obrera:</w:t>
            </w:r>
            <w:r>
              <w:t xml:space="preserve"> obligatorio para todo patrono con empleados (Ley 45 de 1935). Póliza activa + Declaración de Nómina anual. Prima según nómina.</w:t>
            </w:r>
          </w:p>
        </w:tc>
        <w:tc>
          <w:tcPr>
            <w:tcW w:type="dxa" w:w="2160"/>
          </w:tcPr>
          <w:p>
            <w:r/>
            <w:r>
              <w:t>Alta</w:t>
            </w:r>
          </w:p>
        </w:tc>
        <w:tc>
          <w:tcPr>
            <w:tcW w:type="dxa" w:w="2160"/>
          </w:tcPr>
          <w:p>
            <w:r/>
            <w:r>
              <w:t>cfse.pr.gov/en/patronos</w:t>
            </w:r>
          </w:p>
        </w:tc>
      </w:tr>
      <w:tr>
        <w:tc>
          <w:tcPr>
            <w:tcW w:type="dxa" w:w="2160"/>
          </w:tcPr>
          <w:p>
            <w:r/>
            <w:r>
              <w:t>G2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SINOT (incapacidad no ocupacional):</w:t>
            </w:r>
            <w:r>
              <w:t xml:space="preserve"> requerido con ≥1 empleado. Sobre los primeros </w:t>
            </w:r>
            <w:r>
              <w:rPr>
                <w:b/>
              </w:rPr>
              <w:t>$9,000</w:t>
            </w:r>
            <w:r>
              <w:t xml:space="preserve"> de salario anual; split típico </w:t>
            </w:r>
            <w:r>
              <w:rPr>
                <w:b/>
              </w:rPr>
              <w:t>0.3% patrono / 0.3% empleado</w:t>
            </w:r>
            <w:r>
              <w:t xml:space="preserve">. Empleados bajo Seguro Choferil están excluidos. </w:t>
            </w:r>
            <w:r>
              <w:rPr>
                <w:b/>
              </w:rPr>
              <w:t>FLAG:</w:t>
            </w:r>
            <w:r>
              <w:t xml:space="preserve"> confirmar % con Hacienda.</w:t>
            </w:r>
          </w:p>
        </w:tc>
        <w:tc>
          <w:tcPr>
            <w:tcW w:type="dxa" w:w="2160"/>
          </w:tcPr>
          <w:p>
            <w:r/>
            <w:r>
              <w:t>Alta (existe); Media (%)</w:t>
            </w:r>
          </w:p>
        </w:tc>
        <w:tc>
          <w:tcPr>
            <w:tcW w:type="dxa" w:w="2160"/>
          </w:tcPr>
          <w:p>
            <w:r/>
            <w:r>
              <w:t>trabajo.pr.gov/sinot.asp; pf-cpa.com</w:t>
            </w:r>
          </w:p>
        </w:tc>
      </w:tr>
      <w:tr>
        <w:tc>
          <w:tcPr>
            <w:tcW w:type="dxa" w:w="2160"/>
          </w:tcPr>
          <w:p>
            <w:r/>
            <w:r>
              <w:t>G3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Seguro Social Choferil:</w:t>
            </w:r>
            <w:r>
              <w:t xml:space="preserve"> para empleados que conducen como parte del trabajo — </w:t>
            </w:r>
            <w:r>
              <w:rPr>
                <w:b/>
              </w:rPr>
              <w:t>$0.30/sem patrono + $0.50/sem empleado</w:t>
            </w:r>
            <w:r>
              <w:t>, pagado trimestral a Hacienda. Probablemente mínimo para una clínica.</w:t>
            </w:r>
          </w:p>
        </w:tc>
        <w:tc>
          <w:tcPr>
            <w:tcW w:type="dxa" w:w="2160"/>
          </w:tcPr>
          <w:p>
            <w:r/>
            <w:r>
              <w:t>Alta</w:t>
            </w:r>
          </w:p>
        </w:tc>
        <w:tc>
          <w:tcPr>
            <w:tcW w:type="dxa" w:w="2160"/>
          </w:tcPr>
          <w:p>
            <w:r/>
            <w:r>
              <w:t>pf-cpa.com; ssa.gov</w:t>
            </w:r>
          </w:p>
        </w:tc>
      </w:tr>
      <w:tr>
        <w:tc>
          <w:tcPr>
            <w:tcW w:type="dxa" w:w="2160"/>
          </w:tcPr>
          <w:p>
            <w:r/>
            <w:r>
              <w:t>G4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Departamento del Trabajo (DTRH):</w:t>
            </w:r>
            <w:r>
              <w:t xml:space="preserve"> registro patronal + cumplimiento salario/hora, desempleo, SINOT; registro con </w:t>
            </w:r>
            <w:r>
              <w:rPr>
                <w:b/>
              </w:rPr>
              <w:t>Hacienda</w:t>
            </w:r>
            <w:r>
              <w:t xml:space="preserve"> para retención de contribución sobre ingresos.</w:t>
            </w:r>
          </w:p>
        </w:tc>
        <w:tc>
          <w:tcPr>
            <w:tcW w:type="dxa" w:w="2160"/>
          </w:tcPr>
          <w:p>
            <w:r/>
            <w:r>
              <w:t>Alta</w:t>
            </w:r>
          </w:p>
        </w:tc>
        <w:tc>
          <w:tcPr>
            <w:tcW w:type="dxa" w:w="2160"/>
          </w:tcPr>
          <w:p>
            <w:r/>
            <w:r>
              <w:t>trabajo.pr.gov</w:t>
            </w:r>
          </w:p>
        </w:tc>
      </w:tr>
      <w:tr>
        <w:tc>
          <w:tcPr>
            <w:tcW w:type="dxa" w:w="2160"/>
          </w:tcPr>
          <w:p>
            <w:r/>
            <w:r>
              <w:t>G5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Patente Municipal:</w:t>
            </w:r>
            <w:r>
              <w:t xml:space="preserve"> sobre </w:t>
            </w:r>
            <w:r>
              <w:rPr>
                <w:b/>
              </w:rPr>
              <w:t>volumen de negocio bruto</w:t>
            </w:r>
            <w:r>
              <w:t xml:space="preserve"> (Ley 113 de 1974). Negocios no financieros: </w:t>
            </w:r>
            <w:r>
              <w:rPr>
                <w:b/>
              </w:rPr>
              <w:t>hasta 0.5% máx</w:t>
            </w:r>
            <w:r>
              <w:t xml:space="preserve">. Exento si ≤$5,000. Declaración al </w:t>
            </w:r>
            <w:r>
              <w:rPr>
                <w:b/>
              </w:rPr>
              <w:t>5.º día hábil tras el 15 abr</w:t>
            </w:r>
            <w:r>
              <w:t xml:space="preserve">; pago en </w:t>
            </w:r>
            <w:r>
              <w:rPr>
                <w:b/>
              </w:rPr>
              <w:t>2 plazos (15 jul / 15 ene)</w:t>
            </w:r>
            <w:r>
              <w:t>, 5% descuento si paga completo. Tasa exacta la fija cada municipio.</w:t>
            </w:r>
          </w:p>
        </w:tc>
        <w:tc>
          <w:tcPr>
            <w:tcW w:type="dxa" w:w="2160"/>
          </w:tcPr>
          <w:p>
            <w:r/>
            <w:r>
              <w:t>Alta (marco); Media (tasa)</w:t>
            </w:r>
          </w:p>
        </w:tc>
        <w:tc>
          <w:tcPr>
            <w:tcW w:type="dxa" w:w="2160"/>
          </w:tcPr>
          <w:p>
            <w:r/>
            <w:r>
              <w:t>ayudalegalpr.org; pf-cpa.com; pwc</w:t>
            </w:r>
          </w:p>
        </w:tc>
      </w:tr>
      <w:tr>
        <w:tc>
          <w:tcPr>
            <w:tcW w:type="dxa" w:w="2160"/>
          </w:tcPr>
          <w:p>
            <w:r/>
            <w:r>
              <w:t>G6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Permiso de Uso (OGPe):</w:t>
            </w:r>
            <w:r>
              <w:t xml:space="preserve"> autorización para operar en el local; radicación </w:t>
            </w:r>
            <w:r>
              <w:rPr>
                <w:b/>
              </w:rPr>
              <w:t>desde ~$100</w:t>
            </w:r>
            <w:r>
              <w:t>. Vía sip.pr.gov o municipio autónomo (San Juan, Bayamón, Caguas, Carolina, Guaynabo, Ponce…).</w:t>
            </w:r>
          </w:p>
        </w:tc>
        <w:tc>
          <w:tcPr>
            <w:tcW w:type="dxa" w:w="2160"/>
          </w:tcPr>
          <w:p>
            <w:r/>
            <w:r>
              <w:t>Alta</w:t>
            </w:r>
          </w:p>
        </w:tc>
        <w:tc>
          <w:tcPr>
            <w:tcW w:type="dxa" w:w="2160"/>
          </w:tcPr>
          <w:p>
            <w:r/>
            <w:r>
              <w:t>sip.pr.gov; ayudalegalpr.org</w:t>
            </w:r>
          </w:p>
        </w:tc>
      </w:tr>
      <w:tr>
        <w:tc>
          <w:tcPr>
            <w:tcW w:type="dxa" w:w="2160"/>
          </w:tcPr>
          <w:p>
            <w:r/>
            <w:r>
              <w:t>G7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Endoso de Bomberos:</w:t>
            </w:r>
            <w:r>
              <w:t xml:space="preserve"> ~$50–$100 según tamaño. </w:t>
            </w:r>
            <w:r>
              <w:rPr>
                <w:b/>
              </w:rPr>
              <w:t>Endoso de Salud Ambiental:</w:t>
            </w:r>
            <w:r>
              <w:t xml:space="preserve"> ~$35. </w:t>
            </w:r>
            <w:r>
              <w:rPr>
                <w:b/>
              </w:rPr>
              <w:t>FLAG:</w:t>
            </w:r>
            <w:r>
              <w:t xml:space="preserve"> una clínica médica probablemente necesita </w:t>
            </w:r>
            <w:r>
              <w:rPr>
                <w:b/>
              </w:rPr>
              <w:t>licencia de facilidad de Salud (SARAFS)</w:t>
            </w:r>
            <w:r>
              <w:t xml:space="preserve"> además de estos endosos de pequeño negocio.</w:t>
            </w:r>
          </w:p>
        </w:tc>
        <w:tc>
          <w:tcPr>
            <w:tcW w:type="dxa" w:w="2160"/>
          </w:tcPr>
          <w:p>
            <w:r/>
            <w:r>
              <w:t>Alta (endosos); Media (licencia adicional)</w:t>
            </w:r>
          </w:p>
        </w:tc>
        <w:tc>
          <w:tcPr>
            <w:tcW w:type="dxa" w:w="2160"/>
          </w:tcPr>
          <w:p>
            <w:r/>
            <w:r>
              <w:t>bomberos.pr.gov/permisos; sip.pr.gov</w:t>
            </w:r>
          </w:p>
        </w:tc>
      </w:tr>
    </w:tbl>
    <w:p>
      <w:r>
        <w:rPr>
          <w:color w:val="BBBBBB"/>
        </w:rPr>
        <w:t>________________________________________</w:t>
      </w:r>
    </w:p>
    <w:p>
      <w:pPr>
        <w:pStyle w:val="Heading2"/>
      </w:pPr>
      <w:r/>
      <w:r>
        <w:t>Top de items a verificar con abogado de salud de PR</w:t>
      </w:r>
    </w:p>
    <w:p>
      <w:pPr>
        <w:pStyle w:val="ListNumber"/>
      </w:pPr>
      <w:r>
        <w:rPr>
          <w:b/>
        </w:rPr>
        <w:t>Clasificación de facilidad</w:t>
      </w:r>
      <w:r>
        <w:t xml:space="preserve"> y si haces procedimientos que activan licencia de facilidad ambulatoria (SARAFS) + si aplica CNC (Ley 2-1975). *(Baja confianza)*</w:t>
      </w:r>
    </w:p>
    <w:p>
      <w:pPr>
        <w:pStyle w:val="ListNumber"/>
      </w:pPr>
      <w:r>
        <w:rPr>
          <w:b/>
        </w:rPr>
        <w:t>Modelo administrar vs. dispensar</w:t>
      </w:r>
      <w:r>
        <w:t xml:space="preserve"> — botiquín (licencia médica + registro trienal) vs. farmacia licenciada. Cuota del registro de botiquín. *(Cuota: baja)*</w:t>
      </w:r>
    </w:p>
    <w:p>
      <w:pPr>
        <w:pStyle w:val="ListNumber"/>
      </w:pPr>
      <w:r>
        <w:rPr>
          <w:b/>
        </w:rPr>
        <w:t>Orden de registro de controlados</w:t>
      </w:r>
      <w:r>
        <w:t xml:space="preserve"> (estatal Depto. Salud vs. DEA) si añades fentermina. *(Media)*</w:t>
      </w:r>
    </w:p>
    <w:p>
      <w:pPr>
        <w:pStyle w:val="ListNumber"/>
      </w:pPr>
      <w:r>
        <w:rPr>
          <w:b/>
        </w:rPr>
        <w:t>Compounded vs. marca</w:t>
      </w:r>
      <w:r>
        <w:t xml:space="preserve"> — riesgo legal/litigio; vigilar regla 503B (comentarios cierran ~29–30 jun 2026). *(Pendiente)*</w:t>
      </w:r>
    </w:p>
    <w:p>
      <w:pPr>
        <w:pStyle w:val="ListNumber"/>
      </w:pPr>
      <w:r>
        <w:rPr>
          <w:b/>
        </w:rPr>
        <w:t>CME vigente</w:t>
      </w:r>
      <w:r>
        <w:t xml:space="preserve"> y estatus de la "OA 542". *(Baja)*</w:t>
      </w:r>
    </w:p>
    <w:p>
      <w:pPr>
        <w:pStyle w:val="ListNumber"/>
      </w:pPr>
      <w:r>
        <w:rPr>
          <w:b/>
        </w:rPr>
        <w:t>Estructura corporativa</w:t>
      </w:r>
      <w:r>
        <w:t xml:space="preserve"> — si una PC médica (Ley 164-2009) exige 100% propiedad médica y legalidad de modelo MSO. *(Media)*</w:t>
      </w:r>
    </w:p>
    <w:p>
      <w:pPr>
        <w:pStyle w:val="ListNumber"/>
      </w:pPr>
      <w:r>
        <w:rPr>
          <w:b/>
        </w:rPr>
        <w:t>HIPAA covered-entity status</w:t>
      </w:r>
      <w:r>
        <w:t xml:space="preserve"> según transacciones electrónicas. *(Media)*</w:t>
      </w:r>
    </w:p>
    <w:p>
      <w:pPr>
        <w:pStyle w:val="ListNumber"/>
      </w:pPr>
      <w:r>
        <w:rPr>
          <w:b/>
        </w:rPr>
        <w:t>Hauler de desperdicios biomédicos</w:t>
      </w:r>
      <w:r>
        <w:t xml:space="preserve"> y reglas de manifiesto en PR. *(Media)*</w:t>
      </w:r>
    </w:p>
    <w:p>
      <w:pPr>
        <w:pStyle w:val="ListNumber"/>
      </w:pPr>
      <w:r>
        <w:rPr>
          <w:b/>
        </w:rPr>
        <w:t>Tasa exacta de patente</w:t>
      </w:r>
      <w:r>
        <w:t xml:space="preserve"> del municipio específico. *(Media)*</w:t>
      </w:r>
    </w:p>
    <w:p>
      <w:r>
        <w:rPr>
          <w:color w:val="BBBBBB"/>
        </w:rPr>
        <w:t>________________________________________</w:t>
      </w:r>
    </w:p>
    <w:p>
      <w:r>
        <w:t xml:space="preserve">*Nota de método: las descargas directas de páginas oficiales </w:t>
      </w:r>
      <w:r>
        <w:rPr>
          <w:rFonts w:ascii="Consolas" w:hAnsi="Consolas"/>
          <w:sz w:val="18"/>
        </w:rPr>
        <w:t>.pr.gov</w:t>
      </w:r>
      <w:r>
        <w:t>, FDA.gov y algunos PDFs de CMS fueron bloqueadas (HTTP 403) en este entorno; las cifras y textos provienen de extractos de búsqueda de esas fuentes autoritativas corroborados por fuentes legales reputadas. Verifica las cifras de cuotas/tiempos en las páginas vivas de las agencias antes de actuar.*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