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TALENTHOUND-FIXTURE-MARKER synthetic resume</w:t>
      </w:r>
    </w:p>
    <w:p>
      <w:pPr>
        <w:pStyle w:val="Heading1"/>
      </w:pPr>
      <w:r>
        <w:t xml:space="preserve">Synthetic Experience</w:t>
      </w:r>
    </w:p>
    <w:p>
      <w:pPr>
        <w:pStyle w:val="ListParagraph"/>
      </w:pPr>
      <w:r>
        <w:t xml:space="preserve">Ran a synthetic pipeline</w:t>
      </w:r>
    </w:p>
    <w:p>
      <w:r>
        <w:t xml:space="preserve">Café Ǆ 東京 — naïve résumé</w:t>
      </w:r>
    </w:p>
    <w:tbl>
      <w:tblPr/>
      <w:tblGrid/>
      <w:tr>
        <w:tc>
          <w:tcPr/>
          <w:p>
            <w:r>
              <w:t xml:space="preserve">Skill</w:t>
            </w:r>
          </w:p>
        </w:tc>
        <w:tc>
          <w:tcPr/>
          <w:p>
            <w:r>
              <w:t xml:space="preserve">Years</w:t>
            </w:r>
          </w:p>
        </w:tc>
      </w:tr>
      <w:tr>
        <w:tc>
          <w:tcPr/>
          <w:p>
            <w:r>
              <w:t xml:space="preserve">Go</w:t>
            </w:r>
          </w:p>
        </w:tc>
        <w:tc>
          <w:tcPr/>
          <w:p>
            <w:r>
              <w:t xml:space="preserve">7</w:t>
            </w:r>
          </w:p>
        </w:tc>
      </w:tr>
    </w:tbl>
  </w:body>
</w:document>
</file>