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558B6" w14:textId="2D31F881" w:rsidR="00907514" w:rsidRPr="00531DB2" w:rsidRDefault="00907514" w:rsidP="00470DC2">
      <w:bookmarkStart w:id="0" w:name="_Hlk212917006"/>
      <w:bookmarkEnd w:id="0"/>
    </w:p>
    <w:p w14:paraId="4D7B625B" w14:textId="77777777" w:rsidR="00907514" w:rsidRPr="00531DB2" w:rsidRDefault="00907514" w:rsidP="00470DC2"/>
    <w:p w14:paraId="6C5C53A4" w14:textId="77777777" w:rsidR="00907514" w:rsidRPr="00531DB2" w:rsidRDefault="00907514" w:rsidP="00470DC2">
      <w:pPr>
        <w:pStyle w:val="Sinespaciado"/>
      </w:pPr>
    </w:p>
    <w:p w14:paraId="23EE1B01" w14:textId="4F78116B" w:rsidR="000C1FED" w:rsidRPr="00531DB2" w:rsidRDefault="00227F14" w:rsidP="00470DC2">
      <w:pPr>
        <w:pStyle w:val="Sinespaciado"/>
      </w:pPr>
      <w:r w:rsidRPr="00531DB2">
        <w:t>Exploración y visualización de datos para lo socioeconómico</w:t>
      </w:r>
    </w:p>
    <w:p w14:paraId="3D7541D5" w14:textId="4C412584" w:rsidR="001F3395" w:rsidRPr="00531DB2" w:rsidRDefault="00227F14" w:rsidP="00470DC2">
      <w:pPr>
        <w:pStyle w:val="Sinespaciado"/>
      </w:pPr>
      <w:r w:rsidRPr="00531DB2">
        <w:t>Miguel Andrés Garzón</w:t>
      </w:r>
    </w:p>
    <w:p w14:paraId="1A355937" w14:textId="77777777" w:rsidR="000575EF" w:rsidRPr="00531DB2" w:rsidRDefault="000575EF" w:rsidP="00470DC2"/>
    <w:p w14:paraId="6F7E957A" w14:textId="77777777" w:rsidR="000575EF" w:rsidRPr="00531DB2" w:rsidRDefault="000575EF" w:rsidP="00470DC2"/>
    <w:p w14:paraId="42DFD372" w14:textId="77777777" w:rsidR="000575EF" w:rsidRPr="00531DB2" w:rsidRDefault="000575EF" w:rsidP="00470DC2"/>
    <w:p w14:paraId="17D7EFB1" w14:textId="77777777" w:rsidR="007D3FE7" w:rsidRPr="00531DB2" w:rsidRDefault="007D3FE7" w:rsidP="00470DC2"/>
    <w:tbl>
      <w:tblPr>
        <w:tblStyle w:val="Tablaconcuadrcula"/>
        <w:tblW w:w="8828" w:type="dxa"/>
        <w:tblInd w:w="722" w:type="dxa"/>
        <w:tblLook w:val="04A0" w:firstRow="1" w:lastRow="0" w:firstColumn="1" w:lastColumn="0" w:noHBand="0" w:noVBand="1"/>
      </w:tblPr>
      <w:tblGrid>
        <w:gridCol w:w="8828"/>
      </w:tblGrid>
      <w:tr w:rsidR="000C1FED" w:rsidRPr="00531DB2" w14:paraId="337C5DB8" w14:textId="77777777" w:rsidTr="00470DC2">
        <w:tc>
          <w:tcPr>
            <w:tcW w:w="8828" w:type="dxa"/>
            <w:tcBorders>
              <w:top w:val="single" w:sz="4" w:space="0" w:color="auto"/>
              <w:left w:val="nil"/>
              <w:bottom w:val="single" w:sz="4" w:space="0" w:color="auto"/>
              <w:right w:val="nil"/>
            </w:tcBorders>
          </w:tcPr>
          <w:p w14:paraId="498FFA26" w14:textId="4A1765F4" w:rsidR="00470DC2" w:rsidRPr="00531DB2" w:rsidRDefault="005F3FED" w:rsidP="00470DC2">
            <w:pPr>
              <w:jc w:val="center"/>
            </w:pPr>
            <w:r w:rsidRPr="005F3FED">
              <w:rPr>
                <w:rStyle w:val="nfasisintenso"/>
                <w:sz w:val="24"/>
                <w:szCs w:val="24"/>
              </w:rPr>
              <w:t xml:space="preserve">Proyecto 2 - Visualización y construcción de historias con datos </w:t>
            </w:r>
            <w:r w:rsidR="00D7501A" w:rsidRPr="00531DB2">
              <w:rPr>
                <w:rStyle w:val="Refdenotaalpie"/>
                <w:b/>
                <w:bCs/>
              </w:rPr>
              <w:footnoteReference w:id="1"/>
            </w:r>
          </w:p>
        </w:tc>
      </w:tr>
    </w:tbl>
    <w:p w14:paraId="0B407283" w14:textId="77777777" w:rsidR="000C1FED" w:rsidRPr="00531DB2" w:rsidRDefault="000C1FED" w:rsidP="00470DC2"/>
    <w:p w14:paraId="53C35468" w14:textId="0E0A22E1" w:rsidR="00D1144D" w:rsidRPr="00531DB2" w:rsidRDefault="00D1144D" w:rsidP="00470DC2"/>
    <w:p w14:paraId="35E8BA47" w14:textId="77777777" w:rsidR="00470DC2" w:rsidRPr="00531DB2" w:rsidRDefault="00470DC2" w:rsidP="00470DC2"/>
    <w:p w14:paraId="56505E86" w14:textId="77777777" w:rsidR="00D1144D" w:rsidRPr="00531DB2" w:rsidRDefault="00D1144D" w:rsidP="00470DC2"/>
    <w:p w14:paraId="66F0B4BB" w14:textId="3C3EF389" w:rsidR="000C1FED" w:rsidRPr="00531DB2" w:rsidRDefault="000C1FED" w:rsidP="00470DC2">
      <w:pPr>
        <w:pStyle w:val="Sinespaciado"/>
        <w:spacing w:beforeAutospacing="0" w:afterAutospacing="0"/>
        <w:rPr>
          <w:b/>
          <w:bCs/>
        </w:rPr>
      </w:pPr>
      <w:r w:rsidRPr="00531DB2">
        <w:rPr>
          <w:b/>
          <w:bCs/>
        </w:rPr>
        <w:t>ELABORADO POR:</w:t>
      </w:r>
    </w:p>
    <w:p w14:paraId="50A2D078" w14:textId="56119C05" w:rsidR="000C1FED" w:rsidRPr="00531DB2" w:rsidRDefault="00FE7C3E" w:rsidP="00470DC2">
      <w:pPr>
        <w:pStyle w:val="Sinespaciado"/>
        <w:spacing w:beforeAutospacing="0" w:afterAutospacing="0"/>
      </w:pPr>
      <w:r w:rsidRPr="00531DB2">
        <w:t xml:space="preserve">Laura Sarif Rivera </w:t>
      </w:r>
      <w:r w:rsidR="006D6E0C" w:rsidRPr="00531DB2">
        <w:t>Sanabria</w:t>
      </w:r>
    </w:p>
    <w:p w14:paraId="433A24C2" w14:textId="7C9B5011" w:rsidR="002B4498" w:rsidRPr="00531DB2" w:rsidRDefault="00FE7C3E" w:rsidP="00470DC2">
      <w:pPr>
        <w:pStyle w:val="Sinespaciado"/>
        <w:spacing w:beforeAutospacing="0" w:afterAutospacing="0"/>
      </w:pPr>
      <w:r w:rsidRPr="00531DB2">
        <w:t>María Camila Caraballo</w:t>
      </w:r>
      <w:r w:rsidR="006D6E0C" w:rsidRPr="00531DB2">
        <w:t xml:space="preserve"> Candela</w:t>
      </w:r>
    </w:p>
    <w:p w14:paraId="7F38A992" w14:textId="6D5B9DB9" w:rsidR="00D1144D" w:rsidRPr="00531DB2" w:rsidRDefault="00FE7C3E" w:rsidP="00470DC2">
      <w:pPr>
        <w:pStyle w:val="Sinespaciado"/>
        <w:spacing w:beforeAutospacing="0" w:afterAutospacing="0"/>
      </w:pPr>
      <w:r w:rsidRPr="00531DB2">
        <w:t xml:space="preserve">Javier Antonio Amaya </w:t>
      </w:r>
      <w:r w:rsidR="006D6E0C" w:rsidRPr="00531DB2">
        <w:t>Nieto</w:t>
      </w:r>
    </w:p>
    <w:p w14:paraId="2832F414" w14:textId="19D9858D" w:rsidR="00771676" w:rsidRPr="006509DD" w:rsidRDefault="00470DC2" w:rsidP="009146D7">
      <w:pPr>
        <w:spacing w:before="0" w:beforeAutospacing="0" w:after="160" w:afterAutospacing="0" w:line="259" w:lineRule="auto"/>
        <w:jc w:val="left"/>
      </w:pPr>
      <w:r w:rsidRPr="00531DB2">
        <w:br w:type="page"/>
      </w:r>
    </w:p>
    <w:p w14:paraId="19C7C105" w14:textId="1A3FB932" w:rsidR="0057114C" w:rsidRDefault="001B23E7" w:rsidP="004B2D11">
      <w:pPr>
        <w:pStyle w:val="Ttulo1"/>
        <w:spacing w:before="0" w:after="160" w:line="259" w:lineRule="auto"/>
        <w:jc w:val="left"/>
      </w:pPr>
      <w:bookmarkStart w:id="1" w:name="_Hlk211794100"/>
      <w:r w:rsidRPr="00531DB2">
        <w:lastRenderedPageBreak/>
        <w:t xml:space="preserve">Parte 1: </w:t>
      </w:r>
      <w:r w:rsidR="0057114C" w:rsidRPr="0057114C">
        <w:t>Planteamiento de la pregunta de indagación principal</w:t>
      </w:r>
    </w:p>
    <w:p w14:paraId="28CAB9A6" w14:textId="281B35B6" w:rsidR="00C313D9" w:rsidRDefault="005112E9" w:rsidP="002C320B">
      <w:pPr>
        <w:spacing w:before="0" w:beforeAutospacing="0" w:after="160" w:afterAutospacing="0" w:line="259" w:lineRule="auto"/>
        <w:jc w:val="left"/>
      </w:pPr>
      <w:r w:rsidRPr="005112E9">
        <w:rPr>
          <w:b/>
          <w:bCs/>
        </w:rPr>
        <w:t>Pregunta de interés:</w:t>
      </w:r>
      <w:r>
        <w:t xml:space="preserve"> </w:t>
      </w:r>
      <w:r w:rsidR="004A3AAF">
        <w:t>¿</w:t>
      </w:r>
      <w:r w:rsidR="00865FB4">
        <w:t>Existe una asociación positiva entre el consumo de bebidas azucaradas y la probabilidad de presentar un diagnóstico de enfermedad crónica en los últimos 12 meses</w:t>
      </w:r>
      <w:r w:rsidR="004A3AAF">
        <w:t>?</w:t>
      </w:r>
    </w:p>
    <w:p w14:paraId="43C6FCB7" w14:textId="0DEE2F90" w:rsidR="006F0941" w:rsidRPr="00AB1432" w:rsidRDefault="00C66915" w:rsidP="00B9354A">
      <w:r w:rsidRPr="00C66915">
        <w:t>La preocupación por los efectos del consumo de bebidas azucaradas en la salud pública se sustenta en una amplia literatura epidemiológica que evidencia su asociación con un mayor riesgo de síndrome metabólico, aumento de peso, caries dentales, diabetes tipo 2 y enfermedades cardiovasculares como la hipertensión crónica</w:t>
      </w:r>
      <w:r>
        <w:t xml:space="preserve"> </w:t>
      </w:r>
      <w:sdt>
        <w:sdtPr>
          <w:id w:val="-485863095"/>
          <w:citation/>
        </w:sdtPr>
        <w:sdtContent>
          <w:r w:rsidR="00A67D66">
            <w:fldChar w:fldCharType="begin"/>
          </w:r>
          <w:r w:rsidR="00A67D66">
            <w:instrText xml:space="preserve">CITATION Sin15 \l 9226 </w:instrText>
          </w:r>
          <w:r w:rsidR="00A67D66">
            <w:fldChar w:fldCharType="separate"/>
          </w:r>
          <w:r w:rsidR="005E0AD9">
            <w:rPr>
              <w:noProof/>
            </w:rPr>
            <w:t xml:space="preserve"> (Singh, Khartibzadeh , Shi, Lim, &amp; Andrews , 2015)</w:t>
          </w:r>
          <w:r w:rsidR="00A67D66">
            <w:fldChar w:fldCharType="end"/>
          </w:r>
        </w:sdtContent>
      </w:sdt>
      <w:r w:rsidR="00EB59CE">
        <w:t>.</w:t>
      </w:r>
      <w:r w:rsidR="0098205C" w:rsidRPr="0098205C">
        <w:t xml:space="preserve"> </w:t>
      </w:r>
      <w:r w:rsidR="0098205C">
        <w:t>E</w:t>
      </w:r>
      <w:r w:rsidR="0098205C" w:rsidRPr="0098205C">
        <w:t>stas evidencias han llevado a organismos internacionales a establecer recomendaciones más estrictas, entre ellas las de la Organización Mundial de la Salud, que sugiere limitar la ingesta de azúcares añadidos a menos del 10 % del aporte calórico diario, equivalente a cerca de 200 kilocalorías en una dieta estándar de 2.000 kcal</w:t>
      </w:r>
      <w:sdt>
        <w:sdtPr>
          <w:id w:val="1530063700"/>
          <w:citation/>
        </w:sdtPr>
        <w:sdtContent>
          <w:r w:rsidR="00A67D66">
            <w:fldChar w:fldCharType="begin"/>
          </w:r>
          <w:r w:rsidR="00A67D66">
            <w:instrText xml:space="preserve"> CITATION Org15 \l 9226 </w:instrText>
          </w:r>
          <w:r w:rsidR="00A67D66">
            <w:fldChar w:fldCharType="separate"/>
          </w:r>
          <w:r w:rsidR="005E0AD9">
            <w:rPr>
              <w:noProof/>
            </w:rPr>
            <w:t xml:space="preserve"> (Organización Mundial de la Salud, 2015)</w:t>
          </w:r>
          <w:r w:rsidR="00A67D66">
            <w:fldChar w:fldCharType="end"/>
          </w:r>
        </w:sdtContent>
      </w:sdt>
      <w:r w:rsidR="006F0941" w:rsidRPr="00AB1432">
        <w:t>.</w:t>
      </w:r>
    </w:p>
    <w:p w14:paraId="43D9D0D2" w14:textId="4E1B4FE3" w:rsidR="006F0941" w:rsidRPr="00264FE4" w:rsidRDefault="00EE7F9A" w:rsidP="00B9354A">
      <w:pPr>
        <w:spacing w:before="0" w:beforeAutospacing="0" w:after="160" w:afterAutospacing="0"/>
      </w:pPr>
      <w:r w:rsidRPr="00EE7F9A">
        <w:t xml:space="preserve">La evidencia global también muestra que el consumo de bebidas azucaradas tiene un impacto sustancial en la aparición de enfermedades crónicas no transmisibles. Un estudio de la Escuela de Ciencia y Políticas de Nutrición de la Universidad de Tufts, publicado en </w:t>
      </w:r>
      <w:r w:rsidRPr="00EE7F9A">
        <w:rPr>
          <w:i/>
          <w:iCs/>
        </w:rPr>
        <w:t>Nature Medicine</w:t>
      </w:r>
      <w:r w:rsidRPr="00EE7F9A">
        <w:t>, estima que la ingesta regular de estas bebidas se asocia cada año con millones de nuevos casos de diabetes tipo 2 y con un número comparable de enfermedades cardiovasculares. En el caso de Colombia, el mismo estudio señala que hasta el 48 % de los casos incidentes de diabetes podrían estar vinculados al consumo de bebidas azucaradas</w:t>
      </w:r>
      <w:r w:rsidR="00DF5A2E">
        <w:t xml:space="preserve"> </w:t>
      </w:r>
      <w:sdt>
        <w:sdtPr>
          <w:id w:val="-1226531764"/>
          <w:citation/>
        </w:sdtPr>
        <w:sdtContent>
          <w:r w:rsidR="005E0AD9">
            <w:fldChar w:fldCharType="begin"/>
          </w:r>
          <w:r w:rsidR="005E0AD9">
            <w:instrText xml:space="preserve"> CITATION Lar25 \l 9226 </w:instrText>
          </w:r>
          <w:r w:rsidR="005E0AD9">
            <w:fldChar w:fldCharType="separate"/>
          </w:r>
          <w:r w:rsidR="005E0AD9">
            <w:rPr>
              <w:noProof/>
            </w:rPr>
            <w:t>(Lara-Castor, O'Hearn, &amp; Cudhea, 2025)</w:t>
          </w:r>
          <w:r w:rsidR="005E0AD9">
            <w:fldChar w:fldCharType="end"/>
          </w:r>
        </w:sdtContent>
      </w:sdt>
      <w:r w:rsidR="00F84384">
        <w:t>.</w:t>
      </w:r>
    </w:p>
    <w:p w14:paraId="630228DD" w14:textId="7BC403C4" w:rsidR="00207C9C" w:rsidRDefault="006F0941" w:rsidP="00207C9C">
      <w:pPr>
        <w:spacing w:before="0" w:beforeAutospacing="0" w:after="160" w:afterAutospacing="0"/>
      </w:pPr>
      <w:r w:rsidRPr="00264FE4">
        <w:t xml:space="preserve">En Colombia, la introducción en 2023 de un impuesto a las bebidas azucaradas </w:t>
      </w:r>
      <w:r w:rsidR="004D4116" w:rsidRPr="004D4116">
        <w:t>representó un avance relevante dentro de las estrategias para reducir la carga de enfermedades crónicas y desincentivar su consumo</w:t>
      </w:r>
      <w:sdt>
        <w:sdtPr>
          <w:id w:val="-1353261732"/>
          <w:citation/>
        </w:sdtPr>
        <w:sdtContent>
          <w:r w:rsidR="003B13BD">
            <w:fldChar w:fldCharType="begin"/>
          </w:r>
          <w:r w:rsidR="003B13BD">
            <w:instrText xml:space="preserve"> CITATION Min23 \l 9226 </w:instrText>
          </w:r>
          <w:r w:rsidR="003B13BD">
            <w:fldChar w:fldCharType="separate"/>
          </w:r>
          <w:r w:rsidR="003B13BD">
            <w:rPr>
              <w:noProof/>
            </w:rPr>
            <w:t xml:space="preserve"> (Ministerio de Salud y Protección Social, 2023)</w:t>
          </w:r>
          <w:r w:rsidR="003B13BD">
            <w:fldChar w:fldCharType="end"/>
          </w:r>
        </w:sdtContent>
      </w:sdt>
      <w:r w:rsidR="00D57E89">
        <w:t xml:space="preserve">. </w:t>
      </w:r>
      <w:r w:rsidR="00207C9C" w:rsidRPr="00190548">
        <w:t xml:space="preserve">No obstante, desde una perspectiva de política pública, la adopción de este tipo de </w:t>
      </w:r>
      <w:r w:rsidR="00207C9C">
        <w:t>medidas no garantiza por sí misma una disminución de consumo uniforme en todos los grupos de la población ni permite identificar con claridad cuáles segmentos presentan niveles más altos de exposición</w:t>
      </w:r>
      <w:r w:rsidR="00207C9C" w:rsidRPr="00190548">
        <w:t xml:space="preserve">. Esto resalta la importancia de complementar estas medidas con análisis que permitan identificar </w:t>
      </w:r>
      <w:r w:rsidR="00207C9C">
        <w:t>hábitos</w:t>
      </w:r>
      <w:r w:rsidR="00207C9C" w:rsidRPr="00190548">
        <w:t xml:space="preserve">, evaluar comportamientos </w:t>
      </w:r>
      <w:r w:rsidR="00207C9C">
        <w:t>diferenciados</w:t>
      </w:r>
      <w:r w:rsidR="00207C9C" w:rsidRPr="00190548">
        <w:t xml:space="preserve"> y orientar estrategias integrales que combinen regulación, educación y acceso a alternativas saludables.</w:t>
      </w:r>
      <w:r w:rsidR="00207C9C">
        <w:t xml:space="preserve"> </w:t>
      </w:r>
    </w:p>
    <w:p w14:paraId="25CCD290" w14:textId="665ABE40" w:rsidR="003A786A" w:rsidRPr="003A786A" w:rsidRDefault="003A786A" w:rsidP="003A786A">
      <w:pPr>
        <w:spacing w:before="0" w:beforeAutospacing="0" w:after="160" w:afterAutospacing="0"/>
      </w:pPr>
      <w:r>
        <w:t xml:space="preserve">En este sentido, el análisis exploratorio que proponemos busca identificar, </w:t>
      </w:r>
      <w:r w:rsidRPr="003A786A">
        <w:t xml:space="preserve">con base en la Encuesta de Calidad de Vida 2023, si existe una relación entre la frecuencia de consumo de bebidas azucaradas y la prevalencia de enfermedades crónicas en Colombia. Dado que la encuesta no permite establecer causalidad ni reconstruir trayectorias individuales de salud, el </w:t>
      </w:r>
      <w:r w:rsidR="0015468B">
        <w:t xml:space="preserve">aporte del análisis </w:t>
      </w:r>
      <w:r w:rsidR="00E04BBB">
        <w:t>es</w:t>
      </w:r>
      <w:r w:rsidRPr="003A786A">
        <w:t xml:space="preserve"> describir patrones generales en la población adulta y reconocer grupos donde la coincidencia entre consumo y enfermedad es más marcada. Para ello, se utilizan como variables principales la presencia de enfermedad crónica y la frecuencia semanal de consumo, acompañadas de covariables como género, edad, escolaridad y clasificación detallada de los niveles de consumo, lo que permite controlar diferencias individuales y aislar mejor las variaciones en los patrones observados.</w:t>
      </w:r>
    </w:p>
    <w:p w14:paraId="3DB69F47" w14:textId="77777777" w:rsidR="003A786A" w:rsidRPr="003A786A" w:rsidRDefault="003A786A" w:rsidP="003A786A">
      <w:pPr>
        <w:spacing w:before="0" w:beforeAutospacing="0" w:after="160" w:afterAutospacing="0"/>
      </w:pPr>
      <w:r w:rsidRPr="003A786A">
        <w:t>La utilidad de este ejercicio radica en su capacidad para complementar el impuesto a las bebidas azucaradas vigente en el país, proporcionando información que puede guiar intervenciones de salud pública. Los resultados descriptivos ayudan a identificar grupos particularmente expuestos, orientar campañas de prevención y ubicar territorios donde persisten niveles altos de consumo junto con elevada prevalencia de enfermedad. En conjunto, este análisis busca aportar evidencia que fortalezca la toma de decisiones y apoye el diseño de estrategias adicionales para mitigar los riesgos asociados al consumo habitual de bebidas azucaradas.</w:t>
      </w:r>
    </w:p>
    <w:p w14:paraId="79467A9B" w14:textId="46E40ADE" w:rsidR="00901C2B" w:rsidRDefault="000221A7" w:rsidP="000221A7">
      <w:pPr>
        <w:pStyle w:val="Ttulo1"/>
      </w:pPr>
      <w:r w:rsidRPr="00531DB2">
        <w:lastRenderedPageBreak/>
        <w:t xml:space="preserve">Parte 2: </w:t>
      </w:r>
      <w:r w:rsidR="0057114C" w:rsidRPr="0057114C">
        <w:t>EDA y modelamiento de datos</w:t>
      </w:r>
    </w:p>
    <w:p w14:paraId="228D3113" w14:textId="443817CE" w:rsidR="0057114C" w:rsidRDefault="0057114C" w:rsidP="0057114C">
      <w:pPr>
        <w:pStyle w:val="Ttulo2"/>
      </w:pPr>
      <w:r w:rsidRPr="0057114C">
        <w:t>Preparación y comprensión inicial de los datos</w:t>
      </w:r>
      <w:r w:rsidR="004A3AAF">
        <w:t xml:space="preserve"> </w:t>
      </w:r>
    </w:p>
    <w:p w14:paraId="315AFFC0" w14:textId="7DC3DCE0" w:rsidR="00BA2590" w:rsidRDefault="00BA2590" w:rsidP="00BA2590">
      <w:r>
        <w:t>En la sección 2.1.1 se importaron cinco bases de la ECV correspondientes a salud, composición del hogar, educación, servicios del hogar y vivienda. Esta etapa permitió verificar su estructura inicial y asegurar la correcta lectura de variables, etiquetas y formatos antes de consolidarlas.</w:t>
      </w:r>
      <w:r>
        <w:t xml:space="preserve"> </w:t>
      </w:r>
      <w:r>
        <w:t>En la sección 2.1.2 se revisó la estructura de la base integrada df_final (240.212 observaciones y 14 variables), verificando tipos y codificación. Se confirmó que año, ingreso e fex son numéricas; sexo, crónica, consumo de bebidas azucaradas, departamento, municipio y variables de identificación son categóricas; y nivel educativo y frecuencia de consumo son nominales. Se identificó y corrigió la codificación de categorías según la estructura de la ECV, resultando 5 variables carácter, 6 factores y 3 numéricas. El factor de expansión mostró alta dispersión (1,41 a 7.353,72), con media y mediana alejadas, evidenciando fuerte asimetría—comportamiento esperable en encuestas probabilísticas.</w:t>
      </w:r>
    </w:p>
    <w:p w14:paraId="20C62F72" w14:textId="3B79F635" w:rsidR="00BA2590" w:rsidRDefault="00BA2590" w:rsidP="00BA2590">
      <w:r>
        <w:t>En la sección 2.1.3 se construyó df_analisis, filtrando a personas de 18 años o más. Se documentaron faltantes estructurales en nivel educativo para menores y se decidió conservar esas categorías en los análisis, aunque la base analítica excluye población infantil por coherencia epidemiológica y sociodemográfica. Se revisaron faltantes: consume_azucar está completa; frecuencia_azucar presenta NA no por ausencia de datos, sino porque la pregunta no aplica a quienes no consumen. cronica_12m, sexo y parentesco están completas.</w:t>
      </w:r>
      <w:r>
        <w:t xml:space="preserve"> Adicionalmente, e</w:t>
      </w:r>
      <w:r>
        <w:t>n la sección 2.1.4 se identificaron valores atípicos en edad, ingreso per cápita e fex mediante cuartiles y RIC. Las edades y los ingresos se mantienen en rangos plausibles; y aunque fex tiene valores extremos, estos provienen del diseño muestral y no deben modificarse.</w:t>
      </w:r>
    </w:p>
    <w:p w14:paraId="3ED39DA8" w14:textId="3E15088A" w:rsidR="00BA2590" w:rsidRPr="00BA2590" w:rsidRDefault="00BA2590" w:rsidP="00BA2590">
      <w:r>
        <w:t>Finalmente, en la sección 2.1.5 se documentaron las recodificaciones: creación de un indicador binario para enfermedad crónica, una variable numérica para no consumo, y categorías agrupadas y ordenadas de frecuencia de consumo. Todas las transformaciones se registraron como parte del proceso de limpieza y preparación para los análisis posteriores.</w:t>
      </w:r>
    </w:p>
    <w:p w14:paraId="58F4CE50" w14:textId="117F5C38" w:rsidR="006931DB" w:rsidRDefault="0057114C" w:rsidP="009146D7">
      <w:pPr>
        <w:pStyle w:val="Ttulo2"/>
      </w:pPr>
      <w:r w:rsidRPr="0057114C">
        <w:t>Análisis univariado sistemático</w:t>
      </w:r>
    </w:p>
    <w:p w14:paraId="03BD2A7D" w14:textId="5429A6DA" w:rsidR="00231FFF" w:rsidRDefault="00231FFF" w:rsidP="00231FFF">
      <w:r>
        <w:t>La Figura 1 inicia el análisis univariado examinando la distribución de la variable dependiente —la presencia de enfermedad crónica en los últimos 12 meses— mediante tablas de frecuencia y proporciones ponderadas y no ponderadas. Las diferencias entre ambas son mínimas (15.8% frente a 15.2%), lo que confirma una adecuada representatividad de la muestra y valida el uso del factor de expansión en la interpretación de resultados. Con ponderación, la prevalencia estimada es 15.2%, mientras que el 84.8% de la población no reporta diagnóstico, proporcionando una primera aproximación clara y confiable al comportamiento de la variable principal.</w:t>
      </w:r>
    </w:p>
    <w:p w14:paraId="0B13BC47" w14:textId="77777777" w:rsidR="00231FFF" w:rsidRDefault="00231FFF" w:rsidP="00231FFF">
      <w:r>
        <w:t>Posteriormente, la Figura 2 caracteriza la edad como variable explicativa clave mediante distribuciones densidad ponderadas y no ponderadas, evidenciando que el factor de expansión corrige ligeras desviaciones en los grupos etarios. Esto es relevante porque tanto el consumo de bebidas azucaradas como la probabilidad de presentar enfermedades crónicas varían fuertemente con la edad; por ello, revisar esta variable de manera univariada permite asegurar que no existan sesgos de representación que afecten análisis posteriores.</w:t>
      </w:r>
    </w:p>
    <w:p w14:paraId="0F2AB27C" w14:textId="77777777" w:rsidR="00231FFF" w:rsidRDefault="00231FFF" w:rsidP="00231FFF"/>
    <w:p w14:paraId="75DD9B86" w14:textId="45539A76" w:rsidR="00231FFF" w:rsidRPr="00231FFF" w:rsidRDefault="00231FFF" w:rsidP="00231FFF">
      <w:r>
        <w:t>Finalmente, la Figura 3 presenta la distribución de la variable consume_azucar y sus categorías detalladas mediante gráficos de barras ponderados, identificando patrones claros: 36.8% de la población no consume bebidas azucaradas, mientras que los niveles bajos de consumo predominan (16.2% una vez por semana y 18.6% entre 2 y 3 veces por semana). El consumo diario o mayor representa alrededor del 12%. Las diferencias entre frecuencias ponderadas y no ponderadas son marginales, lo que respalda nuevamente la pertinencia del uso de la expansión para obtener estimaciones representativas. Esta revisión univariada establece la base conceptual necesaria antes de cruzar variables y evita interpretaciones sesgadas o relaciones espurias en etapas posteriores del análisis.</w:t>
      </w:r>
    </w:p>
    <w:p w14:paraId="0D618951" w14:textId="5F8AD183" w:rsidR="0057114C" w:rsidRDefault="0057114C" w:rsidP="0057114C">
      <w:pPr>
        <w:pStyle w:val="Ttulo2"/>
      </w:pPr>
      <w:r w:rsidRPr="0057114C">
        <w:t>Análisis bivariado guiado por la pregunta</w:t>
      </w:r>
    </w:p>
    <w:p w14:paraId="3224E727" w14:textId="6F7964A9" w:rsidR="0070623F" w:rsidRDefault="0070623F" w:rsidP="0070623F">
      <w:r>
        <w:t>La Figura 4 muestra la relación descriptiva entre consumo de bebidas azucaradas y prevalencia de enfermedad crónica. Aunque los datos sugieren una prevalencia mayor entre quienes no consumen, este patrón no refleja un menor riesgo, sino un caso de causalidad inversa (sick-quitter): las personas enfermas tienden a reducir o eliminar su consumo, acumulándose en la categoría de “No consumo”.</w:t>
      </w:r>
      <w:r>
        <w:t xml:space="preserve"> </w:t>
      </w:r>
      <w:r>
        <w:t>La Figura 5, al estratificar por edad, reduce esta distorsión y revela patrones más informativos. Entre adultos de 18 a 59 años se observa una tendencia con forma de “L” que sugiere una posible asociación dosis–respuesta, mientras que en adultos mayores la pendiente se atenúa debido a restricciones médicas y sesgos de supervivencia.</w:t>
      </w:r>
    </w:p>
    <w:p w14:paraId="4FD8EC95" w14:textId="0E6447B1" w:rsidR="0070623F" w:rsidRDefault="0070623F" w:rsidP="004A3AAF">
      <w:r>
        <w:t>La Figura 6 muestra diferencias por género: las mujeres presentan prevalencias más altas —en parte por mayor diagnóstico y uso de servicios de salud— y mantienen la forma de “L” en edades avanzadas. En los hombres, esta forma desaparece después de los 60 años, probablemente por mortalidad prematura entre los más vulnerables.</w:t>
      </w:r>
      <w:r>
        <w:t xml:space="preserve"> Finalmente</w:t>
      </w:r>
      <w:r>
        <w:t>, los gráficos permiten comparar adecuadamente las variables críticas y muestran que la relación entre consumo y enfermedad depende de edad, género y nivel de consumo. Sin embargo, los patrones descriptivos están afectados por causalidad inversa y sesgos de selección, por lo que se requiere un análisis multivariado para estimar la asociación real.</w:t>
      </w:r>
    </w:p>
    <w:p w14:paraId="64941A54" w14:textId="44947549" w:rsidR="0057114C" w:rsidRDefault="0057114C" w:rsidP="004B1AFC">
      <w:pPr>
        <w:pStyle w:val="Ttulo2"/>
      </w:pPr>
      <w:r w:rsidRPr="0057114C">
        <w:t>Modelamiento de datos para la visualización</w:t>
      </w:r>
      <w:r>
        <w:br w:type="page"/>
      </w:r>
    </w:p>
    <w:bookmarkEnd w:id="1"/>
    <w:p w14:paraId="07213F0E" w14:textId="77777777" w:rsidR="009146D7" w:rsidRPr="00F55AEF" w:rsidRDefault="009146D7">
      <w:pPr>
        <w:spacing w:before="0" w:beforeAutospacing="0" w:after="160" w:afterAutospacing="0" w:line="259" w:lineRule="auto"/>
        <w:jc w:val="left"/>
        <w:rPr>
          <w:rFonts w:eastAsia="Helvetica"/>
          <w:b/>
          <w:bCs/>
        </w:rPr>
      </w:pPr>
      <w:r w:rsidRPr="00F55AEF">
        <w:rPr>
          <w:rFonts w:eastAsia="Helvetica"/>
          <w:b/>
          <w:bCs/>
        </w:rPr>
        <w:lastRenderedPageBreak/>
        <w:t>Anexos</w:t>
      </w:r>
    </w:p>
    <w:p w14:paraId="13CE612D" w14:textId="77777777" w:rsidR="009146D7" w:rsidRDefault="009146D7" w:rsidP="009146D7">
      <w:pPr>
        <w:jc w:val="center"/>
      </w:pPr>
      <w:r>
        <w:rPr>
          <w:noProof/>
        </w:rPr>
        <w:drawing>
          <wp:inline distT="0" distB="0" distL="0" distR="0" wp14:anchorId="1CE62F1F" wp14:editId="6ED37D7C">
            <wp:extent cx="4094018" cy="2812774"/>
            <wp:effectExtent l="0" t="0" r="1905" b="6985"/>
            <wp:docPr id="808756203" name="Picture 2" descr="A graph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4187" name="Picture 2" descr="A graph of blue squares&#10;&#10;AI-generated content may be incorrect."/>
                    <pic:cNvPicPr/>
                  </pic:nvPicPr>
                  <pic:blipFill rotWithShape="1">
                    <a:blip r:embed="rId11" cstate="print">
                      <a:extLst>
                        <a:ext uri="{28A0092B-C50C-407E-A947-70E740481C1C}">
                          <a14:useLocalDpi xmlns:a14="http://schemas.microsoft.com/office/drawing/2010/main" val="0"/>
                        </a:ext>
                      </a:extLst>
                    </a:blip>
                    <a:srcRect t="8401"/>
                    <a:stretch>
                      <a:fillRect/>
                    </a:stretch>
                  </pic:blipFill>
                  <pic:spPr bwMode="auto">
                    <a:xfrm>
                      <a:off x="0" y="0"/>
                      <a:ext cx="4110542" cy="2824126"/>
                    </a:xfrm>
                    <a:prstGeom prst="rect">
                      <a:avLst/>
                    </a:prstGeom>
                    <a:ln>
                      <a:noFill/>
                    </a:ln>
                    <a:extLst>
                      <a:ext uri="{53640926-AAD7-44D8-BBD7-CCE9431645EC}">
                        <a14:shadowObscured xmlns:a14="http://schemas.microsoft.com/office/drawing/2010/main"/>
                      </a:ext>
                    </a:extLst>
                  </pic:spPr>
                </pic:pic>
              </a:graphicData>
            </a:graphic>
          </wp:inline>
        </w:drawing>
      </w:r>
    </w:p>
    <w:p w14:paraId="7F2399C0" w14:textId="0EA82712" w:rsidR="009146D7" w:rsidRPr="004B1AFC" w:rsidRDefault="009146D7" w:rsidP="004B1AFC">
      <w:pPr>
        <w:jc w:val="center"/>
      </w:pPr>
      <w:r w:rsidRPr="00885A46">
        <w:rPr>
          <w:b/>
          <w:bCs/>
        </w:rPr>
        <w:t xml:space="preserve">Figura </w:t>
      </w:r>
      <w:r>
        <w:rPr>
          <w:b/>
          <w:bCs/>
        </w:rPr>
        <w:t>1</w:t>
      </w:r>
      <w:r w:rsidRPr="00885A46">
        <w:rPr>
          <w:b/>
          <w:bCs/>
        </w:rPr>
        <w:t>.</w:t>
      </w:r>
      <w:r>
        <w:t xml:space="preserve"> Participación de personas con prevalencia de enfermedad crónica por tipo de muestra. Fuente: Encuesta de Calidad de vida. Elaboración propia.</w:t>
      </w:r>
    </w:p>
    <w:p w14:paraId="588CE802" w14:textId="77777777" w:rsidR="009146D7" w:rsidRDefault="00BD7981" w:rsidP="009146D7">
      <w:pPr>
        <w:jc w:val="center"/>
      </w:pPr>
      <w:r w:rsidRPr="00531DB2">
        <w:rPr>
          <w:rFonts w:eastAsia="Helvetica"/>
        </w:rPr>
        <w:br w:type="page"/>
      </w:r>
      <w:r w:rsidR="009146D7">
        <w:rPr>
          <w:noProof/>
        </w:rPr>
        <w:lastRenderedPageBreak/>
        <w:drawing>
          <wp:inline distT="0" distB="0" distL="0" distR="0" wp14:anchorId="38C8C5AC" wp14:editId="4DBD3628">
            <wp:extent cx="3944429" cy="2723322"/>
            <wp:effectExtent l="0" t="0" r="0" b="1270"/>
            <wp:docPr id="867821581"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41917" name="Picture 3" descr="A graph of different colored bars&#10;&#10;AI-generated content may be incorrect."/>
                    <pic:cNvPicPr/>
                  </pic:nvPicPr>
                  <pic:blipFill rotWithShape="1">
                    <a:blip r:embed="rId12" cstate="print">
                      <a:extLst>
                        <a:ext uri="{28A0092B-C50C-407E-A947-70E740481C1C}">
                          <a14:useLocalDpi xmlns:a14="http://schemas.microsoft.com/office/drawing/2010/main" val="0"/>
                        </a:ext>
                      </a:extLst>
                    </a:blip>
                    <a:srcRect t="7951"/>
                    <a:stretch>
                      <a:fillRect/>
                    </a:stretch>
                  </pic:blipFill>
                  <pic:spPr bwMode="auto">
                    <a:xfrm>
                      <a:off x="0" y="0"/>
                      <a:ext cx="3958801" cy="2733245"/>
                    </a:xfrm>
                    <a:prstGeom prst="rect">
                      <a:avLst/>
                    </a:prstGeom>
                    <a:ln>
                      <a:noFill/>
                    </a:ln>
                    <a:extLst>
                      <a:ext uri="{53640926-AAD7-44D8-BBD7-CCE9431645EC}">
                        <a14:shadowObscured xmlns:a14="http://schemas.microsoft.com/office/drawing/2010/main"/>
                      </a:ext>
                    </a:extLst>
                  </pic:spPr>
                </pic:pic>
              </a:graphicData>
            </a:graphic>
          </wp:inline>
        </w:drawing>
      </w:r>
    </w:p>
    <w:p w14:paraId="30AD67C0" w14:textId="77777777" w:rsidR="009146D7" w:rsidRDefault="009146D7" w:rsidP="009146D7">
      <w:pPr>
        <w:jc w:val="center"/>
      </w:pPr>
      <w:r w:rsidRPr="00885A46">
        <w:rPr>
          <w:b/>
          <w:bCs/>
        </w:rPr>
        <w:t xml:space="preserve">Figura </w:t>
      </w:r>
      <w:r>
        <w:rPr>
          <w:b/>
          <w:bCs/>
        </w:rPr>
        <w:t>2</w:t>
      </w:r>
      <w:r w:rsidRPr="00885A46">
        <w:rPr>
          <w:b/>
          <w:bCs/>
        </w:rPr>
        <w:t>.</w:t>
      </w:r>
      <w:r>
        <w:t xml:space="preserve"> Participación de grupos etarios por tipo de muestra. Fuente: Encuesta de Calidad de vida. Elaboración propia.</w:t>
      </w:r>
    </w:p>
    <w:p w14:paraId="7D4D1C57" w14:textId="77777777" w:rsidR="009146D7" w:rsidRDefault="009146D7" w:rsidP="009146D7">
      <w:pPr>
        <w:jc w:val="center"/>
      </w:pPr>
    </w:p>
    <w:p w14:paraId="3E7E11EC" w14:textId="77777777" w:rsidR="009146D7" w:rsidRDefault="009146D7" w:rsidP="009146D7">
      <w:pPr>
        <w:jc w:val="center"/>
      </w:pPr>
      <w:r>
        <w:rPr>
          <w:noProof/>
        </w:rPr>
        <w:drawing>
          <wp:inline distT="0" distB="0" distL="0" distR="0" wp14:anchorId="77F73173" wp14:editId="2E1744F5">
            <wp:extent cx="4343400" cy="2990387"/>
            <wp:effectExtent l="0" t="0" r="0" b="635"/>
            <wp:docPr id="1506566084" name="Picture 6" descr="A graph with blu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68627" name="Picture 6" descr="A graph with blue and black text&#10;&#10;AI-generated content may be incorrect."/>
                    <pic:cNvPicPr/>
                  </pic:nvPicPr>
                  <pic:blipFill rotWithShape="1">
                    <a:blip r:embed="rId13" cstate="print">
                      <a:extLst>
                        <a:ext uri="{28A0092B-C50C-407E-A947-70E740481C1C}">
                          <a14:useLocalDpi xmlns:a14="http://schemas.microsoft.com/office/drawing/2010/main" val="0"/>
                        </a:ext>
                      </a:extLst>
                    </a:blip>
                    <a:srcRect t="8201"/>
                    <a:stretch>
                      <a:fillRect/>
                    </a:stretch>
                  </pic:blipFill>
                  <pic:spPr bwMode="auto">
                    <a:xfrm>
                      <a:off x="0" y="0"/>
                      <a:ext cx="4352292" cy="2996509"/>
                    </a:xfrm>
                    <a:prstGeom prst="rect">
                      <a:avLst/>
                    </a:prstGeom>
                    <a:ln>
                      <a:noFill/>
                    </a:ln>
                    <a:extLst>
                      <a:ext uri="{53640926-AAD7-44D8-BBD7-CCE9431645EC}">
                        <a14:shadowObscured xmlns:a14="http://schemas.microsoft.com/office/drawing/2010/main"/>
                      </a:ext>
                    </a:extLst>
                  </pic:spPr>
                </pic:pic>
              </a:graphicData>
            </a:graphic>
          </wp:inline>
        </w:drawing>
      </w:r>
    </w:p>
    <w:p w14:paraId="05826F5F" w14:textId="77777777" w:rsidR="009146D7" w:rsidRDefault="009146D7" w:rsidP="009146D7">
      <w:pPr>
        <w:jc w:val="center"/>
      </w:pPr>
      <w:r w:rsidRPr="00885A46">
        <w:rPr>
          <w:b/>
          <w:bCs/>
        </w:rPr>
        <w:t xml:space="preserve">Figura </w:t>
      </w:r>
      <w:r>
        <w:rPr>
          <w:b/>
          <w:bCs/>
        </w:rPr>
        <w:t>3</w:t>
      </w:r>
      <w:r w:rsidRPr="00885A46">
        <w:rPr>
          <w:b/>
          <w:bCs/>
        </w:rPr>
        <w:t>.</w:t>
      </w:r>
      <w:r>
        <w:t xml:space="preserve"> Participación de frecuencia de consumo por tipo de muestra. Fuente: Encuesta de Calidad de vida. Elaboración propia.</w:t>
      </w:r>
    </w:p>
    <w:p w14:paraId="3E565AF7" w14:textId="77777777" w:rsidR="009146D7" w:rsidRDefault="009146D7" w:rsidP="009146D7">
      <w:pPr>
        <w:jc w:val="center"/>
      </w:pPr>
      <w:r>
        <w:rPr>
          <w:noProof/>
        </w:rPr>
        <w:lastRenderedPageBreak/>
        <w:drawing>
          <wp:inline distT="0" distB="0" distL="0" distR="0" wp14:anchorId="3B63A4AD" wp14:editId="3101E304">
            <wp:extent cx="4383157" cy="3006665"/>
            <wp:effectExtent l="0" t="0" r="0" b="3810"/>
            <wp:docPr id="188911755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44731" name="Picture 1" descr="A graph with blue dots&#10;&#10;AI-generated content may be incorrect."/>
                    <pic:cNvPicPr/>
                  </pic:nvPicPr>
                  <pic:blipFill rotWithShape="1">
                    <a:blip r:embed="rId14" cstate="print">
                      <a:extLst>
                        <a:ext uri="{28A0092B-C50C-407E-A947-70E740481C1C}">
                          <a14:useLocalDpi xmlns:a14="http://schemas.microsoft.com/office/drawing/2010/main" val="0"/>
                        </a:ext>
                      </a:extLst>
                    </a:blip>
                    <a:srcRect t="8553"/>
                    <a:stretch>
                      <a:fillRect/>
                    </a:stretch>
                  </pic:blipFill>
                  <pic:spPr bwMode="auto">
                    <a:xfrm>
                      <a:off x="0" y="0"/>
                      <a:ext cx="4394556" cy="3014484"/>
                    </a:xfrm>
                    <a:prstGeom prst="rect">
                      <a:avLst/>
                    </a:prstGeom>
                    <a:ln>
                      <a:noFill/>
                    </a:ln>
                    <a:extLst>
                      <a:ext uri="{53640926-AAD7-44D8-BBD7-CCE9431645EC}">
                        <a14:shadowObscured xmlns:a14="http://schemas.microsoft.com/office/drawing/2010/main"/>
                      </a:ext>
                    </a:extLst>
                  </pic:spPr>
                </pic:pic>
              </a:graphicData>
            </a:graphic>
          </wp:inline>
        </w:drawing>
      </w:r>
    </w:p>
    <w:p w14:paraId="11EC902C" w14:textId="77777777" w:rsidR="009146D7" w:rsidRDefault="009146D7" w:rsidP="009146D7">
      <w:pPr>
        <w:jc w:val="center"/>
      </w:pPr>
      <w:r w:rsidRPr="00885A46">
        <w:rPr>
          <w:b/>
          <w:bCs/>
        </w:rPr>
        <w:t xml:space="preserve">Figura </w:t>
      </w:r>
      <w:r>
        <w:rPr>
          <w:b/>
          <w:bCs/>
        </w:rPr>
        <w:t>4</w:t>
      </w:r>
      <w:r w:rsidRPr="00885A46">
        <w:rPr>
          <w:b/>
          <w:bCs/>
        </w:rPr>
        <w:t>.</w:t>
      </w:r>
      <w:r>
        <w:t xml:space="preserve"> Relación entre la prevalencia de enfermedad crónica y la intensidad del consumo. Fuente: Encuesta de Calidad de vida. Elaboración propia. </w:t>
      </w:r>
    </w:p>
    <w:p w14:paraId="193C8BC5" w14:textId="77777777" w:rsidR="009146D7" w:rsidRDefault="009146D7" w:rsidP="009146D7">
      <w:pPr>
        <w:jc w:val="center"/>
      </w:pPr>
      <w:r>
        <w:rPr>
          <w:noProof/>
        </w:rPr>
        <w:drawing>
          <wp:inline distT="0" distB="0" distL="0" distR="0" wp14:anchorId="7A337F6D" wp14:editId="238E887F">
            <wp:extent cx="5237922" cy="2825479"/>
            <wp:effectExtent l="0" t="0" r="1270" b="0"/>
            <wp:docPr id="976161973"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39407" name="Picture 2" descr="A graph of different colored lines&#10;&#10;AI-generated content may be incorrect."/>
                    <pic:cNvPicPr/>
                  </pic:nvPicPr>
                  <pic:blipFill rotWithShape="1">
                    <a:blip r:embed="rId15" cstate="print">
                      <a:extLst>
                        <a:ext uri="{28A0092B-C50C-407E-A947-70E740481C1C}">
                          <a14:useLocalDpi xmlns:a14="http://schemas.microsoft.com/office/drawing/2010/main" val="0"/>
                        </a:ext>
                      </a:extLst>
                    </a:blip>
                    <a:srcRect t="10099"/>
                    <a:stretch>
                      <a:fillRect/>
                    </a:stretch>
                  </pic:blipFill>
                  <pic:spPr bwMode="auto">
                    <a:xfrm>
                      <a:off x="0" y="0"/>
                      <a:ext cx="5254039" cy="2834173"/>
                    </a:xfrm>
                    <a:prstGeom prst="rect">
                      <a:avLst/>
                    </a:prstGeom>
                    <a:ln>
                      <a:noFill/>
                    </a:ln>
                    <a:extLst>
                      <a:ext uri="{53640926-AAD7-44D8-BBD7-CCE9431645EC}">
                        <a14:shadowObscured xmlns:a14="http://schemas.microsoft.com/office/drawing/2010/main"/>
                      </a:ext>
                    </a:extLst>
                  </pic:spPr>
                </pic:pic>
              </a:graphicData>
            </a:graphic>
          </wp:inline>
        </w:drawing>
      </w:r>
    </w:p>
    <w:p w14:paraId="42CAD3FE" w14:textId="77777777" w:rsidR="009146D7" w:rsidRDefault="009146D7" w:rsidP="009146D7">
      <w:pPr>
        <w:jc w:val="center"/>
      </w:pPr>
      <w:r w:rsidRPr="00885A46">
        <w:rPr>
          <w:b/>
          <w:bCs/>
        </w:rPr>
        <w:t xml:space="preserve">Figura </w:t>
      </w:r>
      <w:r>
        <w:rPr>
          <w:b/>
          <w:bCs/>
        </w:rPr>
        <w:t>5</w:t>
      </w:r>
      <w:r w:rsidRPr="00885A46">
        <w:rPr>
          <w:b/>
          <w:bCs/>
        </w:rPr>
        <w:t>.</w:t>
      </w:r>
      <w:r>
        <w:t xml:space="preserve"> Relación entre la prevalencia de enfermedad crónica y la intensidad del consumo por grupo etario. Fuente: Encuesta de Calidad de vida. Elaboración propia.</w:t>
      </w:r>
    </w:p>
    <w:p w14:paraId="44D077E3" w14:textId="77777777" w:rsidR="009146D7" w:rsidRDefault="009146D7" w:rsidP="009146D7">
      <w:pPr>
        <w:ind w:left="-426" w:right="299"/>
        <w:jc w:val="center"/>
      </w:pPr>
      <w:r>
        <w:rPr>
          <w:noProof/>
        </w:rPr>
        <w:lastRenderedPageBreak/>
        <w:drawing>
          <wp:inline distT="0" distB="0" distL="0" distR="0" wp14:anchorId="288A57C9" wp14:editId="74664D29">
            <wp:extent cx="6915150" cy="3149462"/>
            <wp:effectExtent l="0" t="0" r="0" b="0"/>
            <wp:docPr id="1723210348"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8612" name="Picture 3" descr="A graph of a graph&#10;&#10;AI-generated content may be incorrect."/>
                    <pic:cNvPicPr/>
                  </pic:nvPicPr>
                  <pic:blipFill rotWithShape="1">
                    <a:blip r:embed="rId16" cstate="print">
                      <a:extLst>
                        <a:ext uri="{28A0092B-C50C-407E-A947-70E740481C1C}">
                          <a14:useLocalDpi xmlns:a14="http://schemas.microsoft.com/office/drawing/2010/main" val="0"/>
                        </a:ext>
                      </a:extLst>
                    </a:blip>
                    <a:srcRect t="8912"/>
                    <a:stretch>
                      <a:fillRect/>
                    </a:stretch>
                  </pic:blipFill>
                  <pic:spPr bwMode="auto">
                    <a:xfrm>
                      <a:off x="0" y="0"/>
                      <a:ext cx="6915150" cy="3149462"/>
                    </a:xfrm>
                    <a:prstGeom prst="rect">
                      <a:avLst/>
                    </a:prstGeom>
                    <a:ln>
                      <a:noFill/>
                    </a:ln>
                    <a:extLst>
                      <a:ext uri="{53640926-AAD7-44D8-BBD7-CCE9431645EC}">
                        <a14:shadowObscured xmlns:a14="http://schemas.microsoft.com/office/drawing/2010/main"/>
                      </a:ext>
                    </a:extLst>
                  </pic:spPr>
                </pic:pic>
              </a:graphicData>
            </a:graphic>
          </wp:inline>
        </w:drawing>
      </w:r>
    </w:p>
    <w:p w14:paraId="0C9418DC" w14:textId="77777777" w:rsidR="009146D7" w:rsidRPr="000D52EC" w:rsidRDefault="009146D7" w:rsidP="009146D7">
      <w:pPr>
        <w:jc w:val="center"/>
      </w:pPr>
      <w:r w:rsidRPr="00885A46">
        <w:rPr>
          <w:b/>
          <w:bCs/>
        </w:rPr>
        <w:t xml:space="preserve">Figura </w:t>
      </w:r>
      <w:r>
        <w:rPr>
          <w:b/>
          <w:bCs/>
        </w:rPr>
        <w:t>6</w:t>
      </w:r>
      <w:r w:rsidRPr="00885A46">
        <w:rPr>
          <w:b/>
          <w:bCs/>
        </w:rPr>
        <w:t>.</w:t>
      </w:r>
      <w:r>
        <w:t xml:space="preserve"> Tendencias de la prevalencia de enfermedad crónica y la intensidad del consumo por grupo etario y sexo. Fuente: Encuesta de Calidad de vida. Elaboración propia.</w:t>
      </w:r>
    </w:p>
    <w:p w14:paraId="02ACE948" w14:textId="77777777" w:rsidR="009146D7" w:rsidRDefault="009146D7" w:rsidP="009146D7">
      <w:pPr>
        <w:jc w:val="center"/>
      </w:pPr>
    </w:p>
    <w:p w14:paraId="43CBC730" w14:textId="0771EE1F" w:rsidR="00BD7981" w:rsidRPr="00531DB2" w:rsidRDefault="00BD7981">
      <w:pPr>
        <w:spacing w:before="0" w:beforeAutospacing="0" w:after="160" w:afterAutospacing="0" w:line="259" w:lineRule="auto"/>
        <w:jc w:val="left"/>
        <w:rPr>
          <w:rFonts w:eastAsia="Helvetica"/>
        </w:rPr>
      </w:pPr>
    </w:p>
    <w:sdt>
      <w:sdtPr>
        <w:rPr>
          <w:b w:val="0"/>
          <w:bCs w:val="0"/>
          <w:lang w:val="es-ES"/>
        </w:rPr>
        <w:id w:val="1779675976"/>
        <w:docPartObj>
          <w:docPartGallery w:val="Bibliographies"/>
          <w:docPartUnique/>
        </w:docPartObj>
      </w:sdtPr>
      <w:sdtEndPr>
        <w:rPr>
          <w:lang w:val="es-CO"/>
        </w:rPr>
      </w:sdtEndPr>
      <w:sdtContent>
        <w:p w14:paraId="455B0353" w14:textId="6A3D973C" w:rsidR="00390E95" w:rsidRDefault="00BD7981" w:rsidP="00B6723F">
          <w:pPr>
            <w:pStyle w:val="Ttulo1"/>
            <w:rPr>
              <w:lang w:val="es-ES"/>
            </w:rPr>
          </w:pPr>
          <w:r w:rsidRPr="00531DB2">
            <w:rPr>
              <w:lang w:val="es-ES"/>
            </w:rPr>
            <w:t>Referencias</w:t>
          </w:r>
        </w:p>
        <w:p w14:paraId="04A61263" w14:textId="7BC34252" w:rsidR="00EE7A36" w:rsidRPr="00FD00FB" w:rsidRDefault="00EE7A36" w:rsidP="00FD00FB">
          <w:pPr>
            <w:pStyle w:val="Prrafodelista"/>
            <w:numPr>
              <w:ilvl w:val="0"/>
              <w:numId w:val="32"/>
            </w:numPr>
            <w:rPr>
              <w:lang w:val="es-ES"/>
            </w:rPr>
          </w:pPr>
          <w:r w:rsidRPr="00FD00FB">
            <w:rPr>
              <w:lang w:val="en-US"/>
            </w:rPr>
            <w:t xml:space="preserve">Courtenay, W. H. (2000). Constructions of masculinity and their influence on men's well-being: a theory of gender and health. </w:t>
          </w:r>
          <w:r w:rsidRPr="00FD00FB">
            <w:rPr>
              <w:i/>
              <w:iCs/>
            </w:rPr>
            <w:t>Social Science &amp; Medicine</w:t>
          </w:r>
          <w:r w:rsidRPr="00EE7A36">
            <w:t>, 50(10), 1385–1401.</w:t>
          </w:r>
        </w:p>
        <w:sdt>
          <w:sdtPr>
            <w:id w:val="-573587230"/>
            <w:bibliography/>
          </w:sdtPr>
          <w:sdtContent>
            <w:p w14:paraId="7C435973" w14:textId="78B1B031" w:rsidR="00B6723F" w:rsidRPr="00207C9C" w:rsidRDefault="00390E95" w:rsidP="00FD00FB">
              <w:pPr>
                <w:pStyle w:val="Bibliografa"/>
                <w:numPr>
                  <w:ilvl w:val="0"/>
                  <w:numId w:val="32"/>
                </w:numPr>
                <w:spacing w:before="0" w:beforeAutospacing="0" w:after="0" w:afterAutospacing="0"/>
                <w:rPr>
                  <w:i/>
                  <w:iCs/>
                </w:rPr>
              </w:pPr>
              <w:r w:rsidRPr="00F84384">
                <w:rPr>
                  <w:lang w:val="en-US"/>
                </w:rPr>
                <w:t xml:space="preserve">Lara-Castor, L., O’Hearn, M., Cudhea, F., Wang, M., Wilde, P., Rehm, C. D., </w:t>
              </w:r>
              <w:r w:rsidRPr="00F84384">
                <w:rPr>
                  <w:i/>
                  <w:iCs/>
                  <w:lang w:val="en-US"/>
                </w:rPr>
                <w:t>et al.</w:t>
              </w:r>
              <w:r w:rsidRPr="00F84384">
                <w:rPr>
                  <w:lang w:val="en-US"/>
                </w:rPr>
                <w:t xml:space="preserve"> (2023). Burdens of type 2 diabetes and cardiovascular disease attributable to sugar-sweetened beverages in 184 countries. </w:t>
              </w:r>
              <w:r w:rsidRPr="00207C9C">
                <w:rPr>
                  <w:i/>
                  <w:iCs/>
                </w:rPr>
                <w:t>Nature Medicine.</w:t>
              </w:r>
            </w:p>
            <w:p w14:paraId="2339F059" w14:textId="495855AD" w:rsidR="00B6723F" w:rsidRDefault="00B6723F" w:rsidP="00FD00FB">
              <w:pPr>
                <w:pStyle w:val="Prrafodelista"/>
                <w:numPr>
                  <w:ilvl w:val="0"/>
                  <w:numId w:val="32"/>
                </w:numPr>
              </w:pPr>
              <w:r w:rsidRPr="00B6723F">
                <w:t xml:space="preserve">Ministerio de Salud y Protección Social. (2023). </w:t>
              </w:r>
              <w:r w:rsidRPr="00FD00FB">
                <w:rPr>
                  <w:i/>
                  <w:iCs/>
                </w:rPr>
                <w:t>Impuesto saludable: Impuesto a las bebidas ultraprocesadas azucaradas y a los alimentos ultraprocesados</w:t>
              </w:r>
              <w:r w:rsidRPr="00B6723F">
                <w:t xml:space="preserve">. Ministerio de Salud y Protección Social de Colombia. </w:t>
              </w:r>
              <w:hyperlink r:id="rId17" w:history="1">
                <w:r w:rsidRPr="00B6723F">
                  <w:rPr>
                    <w:rStyle w:val="Hipervnculo"/>
                  </w:rPr>
                  <w:t>https://www.minsalud.gov.co/sites/rid/Lists/BibliotecaDigital/RIDE/VS/PP/impueso-saludable-bebidas-alimentos-ultraprocesados.pd</w:t>
                </w:r>
                <w:r w:rsidRPr="00634B3C">
                  <w:rPr>
                    <w:rStyle w:val="Hipervnculo"/>
                  </w:rPr>
                  <w:t>f</w:t>
                </w:r>
              </w:hyperlink>
            </w:p>
            <w:p w14:paraId="230E830D" w14:textId="77777777" w:rsidR="00B6723F" w:rsidRPr="00B6723F" w:rsidRDefault="00B6723F" w:rsidP="00FD00FB">
              <w:pPr>
                <w:pStyle w:val="Bibliografa"/>
                <w:numPr>
                  <w:ilvl w:val="0"/>
                  <w:numId w:val="32"/>
                </w:numPr>
                <w:spacing w:before="0" w:beforeAutospacing="0" w:after="0" w:afterAutospacing="0"/>
                <w:rPr>
                  <w:lang w:val="en-US"/>
                </w:rPr>
              </w:pPr>
              <w:r w:rsidRPr="00390E95">
                <w:t xml:space="preserve">Organización Mundial de la Salud. (2015). </w:t>
              </w:r>
              <w:r w:rsidRPr="00390E95">
                <w:rPr>
                  <w:i/>
                  <w:iCs/>
                </w:rPr>
                <w:t>Nota informativa sobre la ingesta de azúcares recomendada en la directriz de la OMS para adultos y niños</w:t>
              </w:r>
              <w:r w:rsidRPr="00390E95">
                <w:t xml:space="preserve">. </w:t>
              </w:r>
              <w:r w:rsidRPr="00B6723F">
                <w:rPr>
                  <w:lang w:val="en-US"/>
                </w:rPr>
                <w:t>OMS.</w:t>
              </w:r>
            </w:p>
            <w:p w14:paraId="7EC63F71" w14:textId="77777777" w:rsidR="00B6723F" w:rsidRPr="00FD00FB" w:rsidRDefault="00B6723F" w:rsidP="00FD00FB">
              <w:pPr>
                <w:pStyle w:val="Prrafodelista"/>
                <w:numPr>
                  <w:ilvl w:val="0"/>
                  <w:numId w:val="32"/>
                </w:numPr>
                <w:rPr>
                  <w:lang w:val="en-US"/>
                </w:rPr>
              </w:pPr>
              <w:r w:rsidRPr="00FD00FB">
                <w:rPr>
                  <w:lang w:val="en-US"/>
                </w:rPr>
                <w:t xml:space="preserve">Singh, G. M., Micha, R., Khatibzadeh, S., Shi, P., Lim, S., Andrews, K. G., </w:t>
              </w:r>
              <w:r w:rsidRPr="00FD00FB">
                <w:rPr>
                  <w:i/>
                  <w:iCs/>
                  <w:lang w:val="en-US"/>
                </w:rPr>
                <w:t>et al.</w:t>
              </w:r>
              <w:r w:rsidRPr="00FD00FB">
                <w:rPr>
                  <w:lang w:val="en-US"/>
                </w:rPr>
                <w:t xml:space="preserve"> (2015). Global, regional, and national consumption of sugar-sweetened beverages, fruit juices, and milk: A systematic assessment of beverage intake in 187 countries. </w:t>
              </w:r>
              <w:r w:rsidRPr="00FD00FB">
                <w:rPr>
                  <w:i/>
                  <w:iCs/>
                  <w:lang w:val="en-US"/>
                </w:rPr>
                <w:t>PLOS ONE, 10</w:t>
              </w:r>
              <w:r w:rsidRPr="00FD00FB">
                <w:rPr>
                  <w:lang w:val="en-US"/>
                </w:rPr>
                <w:t>(8), e0124845.</w:t>
              </w:r>
            </w:p>
            <w:p w14:paraId="72A3418A" w14:textId="1B95840D" w:rsidR="0045233B" w:rsidRDefault="0045233B" w:rsidP="00FD00FB">
              <w:pPr>
                <w:pStyle w:val="Prrafodelista"/>
                <w:numPr>
                  <w:ilvl w:val="0"/>
                  <w:numId w:val="32"/>
                </w:numPr>
              </w:pPr>
              <w:r w:rsidRPr="00FD00FB">
                <w:rPr>
                  <w:lang w:val="en-US"/>
                </w:rPr>
                <w:t xml:space="preserve">Wannamethee, S. G., Shaper, G. H., &amp; Whincup, P. H. (2006). </w:t>
              </w:r>
              <w:r w:rsidRPr="00FD00FB">
                <w:rPr>
                  <w:i/>
                  <w:iCs/>
                  <w:lang w:val="en-US"/>
                </w:rPr>
                <w:t>Alcohol and sudden cardiac death: Evidence from the British Regional Heart Study</w:t>
              </w:r>
              <w:r w:rsidRPr="00FD00FB">
                <w:rPr>
                  <w:lang w:val="en-US"/>
                </w:rPr>
                <w:t xml:space="preserve">. </w:t>
              </w:r>
              <w:r w:rsidRPr="0045233B">
                <w:t>Heart, 92(12), 1839–1845.</w:t>
              </w:r>
            </w:p>
            <w:p w14:paraId="2FA8B50B" w14:textId="11D13DBB" w:rsidR="00B6723F" w:rsidRDefault="00000000" w:rsidP="00FD00FB">
              <w:pPr>
                <w:ind w:left="851" w:hanging="851"/>
              </w:pPr>
            </w:p>
          </w:sdtContent>
        </w:sdt>
      </w:sdtContent>
    </w:sdt>
    <w:p w14:paraId="5E2FA316" w14:textId="58B717B5" w:rsidR="00B6723F" w:rsidRDefault="00B6723F" w:rsidP="00B6723F">
      <w:pPr>
        <w:pStyle w:val="Bibliografa"/>
        <w:spacing w:before="0" w:beforeAutospacing="0" w:after="0" w:afterAutospacing="0"/>
        <w:ind w:left="720" w:hanging="720"/>
      </w:pPr>
    </w:p>
    <w:p w14:paraId="11646E09" w14:textId="64906C6A" w:rsidR="00BD7981" w:rsidRPr="00BD7981" w:rsidRDefault="00BD7981" w:rsidP="00390E95">
      <w:pPr>
        <w:pStyle w:val="Bibliografa"/>
        <w:spacing w:before="0" w:beforeAutospacing="0" w:after="0" w:afterAutospacing="0"/>
        <w:ind w:left="720" w:hanging="720"/>
      </w:pPr>
    </w:p>
    <w:sectPr w:rsidR="00BD7981" w:rsidRPr="00BD7981" w:rsidSect="00662405">
      <w:headerReference w:type="even" r:id="rId18"/>
      <w:headerReference w:type="default" r:id="rId19"/>
      <w:footerReference w:type="even" r:id="rId20"/>
      <w:footerReference w:type="default" r:id="rId21"/>
      <w:headerReference w:type="first" r:id="rId22"/>
      <w:footerReference w:type="first" r:id="rId23"/>
      <w:pgSz w:w="12240" w:h="15840"/>
      <w:pgMar w:top="1440" w:right="1080" w:bottom="1440" w:left="1080" w:header="17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8FB32" w14:textId="77777777" w:rsidR="00BB44B8" w:rsidRDefault="00BB44B8" w:rsidP="00470DC2">
      <w:r>
        <w:separator/>
      </w:r>
    </w:p>
  </w:endnote>
  <w:endnote w:type="continuationSeparator" w:id="0">
    <w:p w14:paraId="4431CE45" w14:textId="77777777" w:rsidR="00BB44B8" w:rsidRDefault="00BB44B8"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84DA1" w14:textId="77777777" w:rsidR="009D5EBE" w:rsidRDefault="009D5EB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ED578" w14:textId="77777777" w:rsidR="009D5EBE" w:rsidRDefault="009D5EB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78D76" w14:textId="77777777" w:rsidR="009D5EBE" w:rsidRDefault="009D5EB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20930" w14:textId="77777777" w:rsidR="00BB44B8" w:rsidRDefault="00BB44B8" w:rsidP="00470DC2">
      <w:r>
        <w:separator/>
      </w:r>
    </w:p>
  </w:footnote>
  <w:footnote w:type="continuationSeparator" w:id="0">
    <w:p w14:paraId="151C4A53" w14:textId="77777777" w:rsidR="00BB44B8" w:rsidRDefault="00BB44B8" w:rsidP="00470DC2">
      <w:r>
        <w:continuationSeparator/>
      </w:r>
    </w:p>
  </w:footnote>
  <w:footnote w:id="1">
    <w:p w14:paraId="0EE4072A" w14:textId="227F0C05" w:rsidR="00D7501A" w:rsidRDefault="00D7501A" w:rsidP="00470DC2">
      <w:pPr>
        <w:pStyle w:val="Textonotapie"/>
      </w:pPr>
      <w:r>
        <w:rPr>
          <w:rStyle w:val="Refdenotaalpie"/>
        </w:rPr>
        <w:footnoteRef/>
      </w:r>
      <w:r w:rsidRPr="00D70DFB">
        <w:rPr>
          <w:sz w:val="16"/>
          <w:szCs w:val="16"/>
        </w:rPr>
        <w:t xml:space="preserve"> </w:t>
      </w:r>
      <w:r w:rsidR="005F3FED" w:rsidRPr="005F3FED">
        <w:t>https://github.com/camto-24/Proyecto2_LauraRivera_JavierAmaya_CamilaCaraballo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D1D1A" w14:textId="77777777" w:rsidR="009D5EBE" w:rsidRDefault="009D5EB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C2C" w14:textId="0085EFBE" w:rsidR="00275E81" w:rsidRDefault="00470DC2" w:rsidP="00470DC2">
    <w:pPr>
      <w:pStyle w:val="Encabezado"/>
      <w:rPr>
        <w:noProof/>
      </w:rPr>
    </w:pPr>
    <w:r>
      <w:rPr>
        <w:noProof/>
      </w:rPr>
      <w:drawing>
        <wp:anchor distT="0" distB="0" distL="114300" distR="114300" simplePos="0" relativeHeight="251658240" behindDoc="1" locked="0" layoutInCell="1" allowOverlap="1" wp14:anchorId="6D03E398" wp14:editId="6F21D78C">
          <wp:simplePos x="0" y="0"/>
          <wp:positionH relativeFrom="margin">
            <wp:posOffset>5067300</wp:posOffset>
          </wp:positionH>
          <wp:positionV relativeFrom="paragraph">
            <wp:posOffset>177800</wp:posOffset>
          </wp:positionV>
          <wp:extent cx="1335405" cy="485775"/>
          <wp:effectExtent l="0" t="0" r="0" b="9525"/>
          <wp:wrapSquare wrapText="bothSides"/>
          <wp:docPr id="42779124"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17327" b="19555"/>
                  <a:stretch>
                    <a:fillRect/>
                  </a:stretch>
                </pic:blipFill>
                <pic:spPr bwMode="auto">
                  <a:xfrm>
                    <a:off x="0" y="0"/>
                    <a:ext cx="1335405" cy="4857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424E188" w14:textId="7323EFAC" w:rsidR="00662405" w:rsidRDefault="61855B23" w:rsidP="00470DC2">
    <w:pPr>
      <w:pStyle w:val="Encabezado"/>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8E03A" w14:textId="77777777" w:rsidR="009D5EBE" w:rsidRDefault="009D5EB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1AE345"/>
    <w:multiLevelType w:val="hybridMultilevel"/>
    <w:tmpl w:val="3FC4990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87332D"/>
    <w:multiLevelType w:val="hybridMultilevel"/>
    <w:tmpl w:val="D049FF6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BE359D"/>
    <w:multiLevelType w:val="hybridMultilevel"/>
    <w:tmpl w:val="64D168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EC7C511"/>
    <w:multiLevelType w:val="hybridMultilevel"/>
    <w:tmpl w:val="779770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A5230A3D"/>
    <w:multiLevelType w:val="hybridMultilevel"/>
    <w:tmpl w:val="D95D4D5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9C8F5D1"/>
    <w:multiLevelType w:val="hybridMultilevel"/>
    <w:tmpl w:val="F20349A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B8B08CE"/>
    <w:multiLevelType w:val="hybridMultilevel"/>
    <w:tmpl w:val="65F84AB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C365DEB"/>
    <w:multiLevelType w:val="hybridMultilevel"/>
    <w:tmpl w:val="40AF772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DA6FFA47"/>
    <w:multiLevelType w:val="hybridMultilevel"/>
    <w:tmpl w:val="13BD429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1E979D0"/>
    <w:multiLevelType w:val="hybridMultilevel"/>
    <w:tmpl w:val="E71E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5B3664B"/>
    <w:multiLevelType w:val="hybridMultilevel"/>
    <w:tmpl w:val="8EDE8120"/>
    <w:lvl w:ilvl="0" w:tplc="AAB451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B7758"/>
    <w:multiLevelType w:val="multilevel"/>
    <w:tmpl w:val="68A2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7C2A8"/>
    <w:multiLevelType w:val="hybridMultilevel"/>
    <w:tmpl w:val="C9D5CA3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1A9E4D42"/>
    <w:multiLevelType w:val="hybridMultilevel"/>
    <w:tmpl w:val="9C3E9C72"/>
    <w:lvl w:ilvl="0" w:tplc="CC28963A">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40D30"/>
    <w:multiLevelType w:val="multilevel"/>
    <w:tmpl w:val="4D8C7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904E31"/>
    <w:multiLevelType w:val="hybridMultilevel"/>
    <w:tmpl w:val="EE6C6D18"/>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05A21BB"/>
    <w:multiLevelType w:val="multilevel"/>
    <w:tmpl w:val="8264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A77F54"/>
    <w:multiLevelType w:val="multilevel"/>
    <w:tmpl w:val="3B56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C46D5F"/>
    <w:multiLevelType w:val="multilevel"/>
    <w:tmpl w:val="23D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53B24"/>
    <w:multiLevelType w:val="hybridMultilevel"/>
    <w:tmpl w:val="4D5C4E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96C2321"/>
    <w:multiLevelType w:val="multilevel"/>
    <w:tmpl w:val="6128C1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1"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3E45BF"/>
    <w:multiLevelType w:val="multilevel"/>
    <w:tmpl w:val="C4B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4979BA"/>
    <w:multiLevelType w:val="hybridMultilevel"/>
    <w:tmpl w:val="699874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42231B3"/>
    <w:multiLevelType w:val="hybridMultilevel"/>
    <w:tmpl w:val="2BD2A086"/>
    <w:lvl w:ilvl="0" w:tplc="B50C12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F46CCE"/>
    <w:multiLevelType w:val="hybridMultilevel"/>
    <w:tmpl w:val="E7D0CEAC"/>
    <w:lvl w:ilvl="0" w:tplc="E44E4A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2D79DB"/>
    <w:multiLevelType w:val="hybridMultilevel"/>
    <w:tmpl w:val="C559837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7D5562"/>
    <w:multiLevelType w:val="hybridMultilevel"/>
    <w:tmpl w:val="70C6CC8C"/>
    <w:lvl w:ilvl="0" w:tplc="8BBAE6B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61043"/>
    <w:multiLevelType w:val="hybridMultilevel"/>
    <w:tmpl w:val="199C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7A37FD2"/>
    <w:multiLevelType w:val="hybridMultilevel"/>
    <w:tmpl w:val="2AB601A6"/>
    <w:lvl w:ilvl="0" w:tplc="62AA7E0C">
      <w:start w:val="1"/>
      <w:numFmt w:val="bullet"/>
      <w:lvlText w:val="-"/>
      <w:lvlJc w:val="left"/>
      <w:pPr>
        <w:ind w:left="720" w:hanging="360"/>
      </w:pPr>
      <w:rPr>
        <w:rFonts w:ascii="Times New Roman" w:eastAsia="Times New Roman"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18779900">
    <w:abstractNumId w:val="20"/>
  </w:num>
  <w:num w:numId="2" w16cid:durableId="1615597823">
    <w:abstractNumId w:val="21"/>
  </w:num>
  <w:num w:numId="3" w16cid:durableId="314846493">
    <w:abstractNumId w:val="10"/>
  </w:num>
  <w:num w:numId="4" w16cid:durableId="371660520">
    <w:abstractNumId w:val="24"/>
  </w:num>
  <w:num w:numId="5" w16cid:durableId="778645870">
    <w:abstractNumId w:val="27"/>
  </w:num>
  <w:num w:numId="6" w16cid:durableId="1201086223">
    <w:abstractNumId w:val="25"/>
  </w:num>
  <w:num w:numId="7" w16cid:durableId="404567234">
    <w:abstractNumId w:val="13"/>
  </w:num>
  <w:num w:numId="8" w16cid:durableId="1364791857">
    <w:abstractNumId w:val="20"/>
    <w:lvlOverride w:ilvl="0">
      <w:startOverride w:val="1"/>
    </w:lvlOverride>
    <w:lvlOverride w:ilvl="1">
      <w:startOverride w:val="2"/>
    </w:lvlOverride>
  </w:num>
  <w:num w:numId="9" w16cid:durableId="84695724">
    <w:abstractNumId w:val="29"/>
  </w:num>
  <w:num w:numId="10" w16cid:durableId="1065950062">
    <w:abstractNumId w:val="22"/>
  </w:num>
  <w:num w:numId="11" w16cid:durableId="931400318">
    <w:abstractNumId w:val="16"/>
  </w:num>
  <w:num w:numId="12" w16cid:durableId="2131389939">
    <w:abstractNumId w:val="18"/>
  </w:num>
  <w:num w:numId="13" w16cid:durableId="1063917022">
    <w:abstractNumId w:val="9"/>
  </w:num>
  <w:num w:numId="14" w16cid:durableId="529952832">
    <w:abstractNumId w:val="28"/>
  </w:num>
  <w:num w:numId="15" w16cid:durableId="278217893">
    <w:abstractNumId w:val="20"/>
  </w:num>
  <w:num w:numId="16" w16cid:durableId="460612752">
    <w:abstractNumId w:val="7"/>
  </w:num>
  <w:num w:numId="17" w16cid:durableId="1776246062">
    <w:abstractNumId w:val="8"/>
  </w:num>
  <w:num w:numId="18" w16cid:durableId="746539352">
    <w:abstractNumId w:val="3"/>
  </w:num>
  <w:num w:numId="19" w16cid:durableId="1003388009">
    <w:abstractNumId w:val="14"/>
  </w:num>
  <w:num w:numId="20" w16cid:durableId="885678352">
    <w:abstractNumId w:val="17"/>
  </w:num>
  <w:num w:numId="21" w16cid:durableId="1244727826">
    <w:abstractNumId w:val="11"/>
  </w:num>
  <w:num w:numId="22" w16cid:durableId="518547574">
    <w:abstractNumId w:val="2"/>
  </w:num>
  <w:num w:numId="23" w16cid:durableId="1714117974">
    <w:abstractNumId w:val="1"/>
  </w:num>
  <w:num w:numId="24" w16cid:durableId="1062563852">
    <w:abstractNumId w:val="6"/>
  </w:num>
  <w:num w:numId="25" w16cid:durableId="1622225782">
    <w:abstractNumId w:val="0"/>
  </w:num>
  <w:num w:numId="26" w16cid:durableId="1932160383">
    <w:abstractNumId w:val="12"/>
  </w:num>
  <w:num w:numId="27" w16cid:durableId="307050113">
    <w:abstractNumId w:val="4"/>
  </w:num>
  <w:num w:numId="28" w16cid:durableId="1247418694">
    <w:abstractNumId w:val="5"/>
  </w:num>
  <w:num w:numId="29" w16cid:durableId="1261907995">
    <w:abstractNumId w:val="26"/>
  </w:num>
  <w:num w:numId="30" w16cid:durableId="492336672">
    <w:abstractNumId w:val="23"/>
  </w:num>
  <w:num w:numId="31" w16cid:durableId="1008484363">
    <w:abstractNumId w:val="19"/>
  </w:num>
  <w:num w:numId="32" w16cid:durableId="257762443">
    <w:abstractNumId w:val="1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9B5"/>
    <w:rsid w:val="00004AA6"/>
    <w:rsid w:val="00006D91"/>
    <w:rsid w:val="00010BF4"/>
    <w:rsid w:val="000126DE"/>
    <w:rsid w:val="0001448C"/>
    <w:rsid w:val="000159F1"/>
    <w:rsid w:val="000221A7"/>
    <w:rsid w:val="000225B6"/>
    <w:rsid w:val="00024651"/>
    <w:rsid w:val="000253B8"/>
    <w:rsid w:val="000263C5"/>
    <w:rsid w:val="000332AE"/>
    <w:rsid w:val="0003522B"/>
    <w:rsid w:val="0003711B"/>
    <w:rsid w:val="000418EE"/>
    <w:rsid w:val="000426F0"/>
    <w:rsid w:val="00046D64"/>
    <w:rsid w:val="00050FFE"/>
    <w:rsid w:val="00052B5C"/>
    <w:rsid w:val="000538FA"/>
    <w:rsid w:val="000544E5"/>
    <w:rsid w:val="000575EF"/>
    <w:rsid w:val="00062C9F"/>
    <w:rsid w:val="00065345"/>
    <w:rsid w:val="00066561"/>
    <w:rsid w:val="00077E16"/>
    <w:rsid w:val="000808D4"/>
    <w:rsid w:val="000853EA"/>
    <w:rsid w:val="0008714D"/>
    <w:rsid w:val="0009220D"/>
    <w:rsid w:val="0009284A"/>
    <w:rsid w:val="00092C19"/>
    <w:rsid w:val="00093982"/>
    <w:rsid w:val="000A06D5"/>
    <w:rsid w:val="000A434F"/>
    <w:rsid w:val="000A5A21"/>
    <w:rsid w:val="000B03C7"/>
    <w:rsid w:val="000B0D93"/>
    <w:rsid w:val="000B5FF5"/>
    <w:rsid w:val="000C1FED"/>
    <w:rsid w:val="000D0589"/>
    <w:rsid w:val="000D1209"/>
    <w:rsid w:val="000D52EC"/>
    <w:rsid w:val="000E60CE"/>
    <w:rsid w:val="000E7815"/>
    <w:rsid w:val="000F02CF"/>
    <w:rsid w:val="000F0744"/>
    <w:rsid w:val="000F3103"/>
    <w:rsid w:val="000F36B2"/>
    <w:rsid w:val="000F3D66"/>
    <w:rsid w:val="000F46A3"/>
    <w:rsid w:val="000F4BCE"/>
    <w:rsid w:val="000F65FD"/>
    <w:rsid w:val="000F72BE"/>
    <w:rsid w:val="001102E9"/>
    <w:rsid w:val="0011542E"/>
    <w:rsid w:val="0011558D"/>
    <w:rsid w:val="00116858"/>
    <w:rsid w:val="00117148"/>
    <w:rsid w:val="0013023F"/>
    <w:rsid w:val="0013083D"/>
    <w:rsid w:val="00131A4B"/>
    <w:rsid w:val="0013251E"/>
    <w:rsid w:val="001413E9"/>
    <w:rsid w:val="00141F2C"/>
    <w:rsid w:val="00142A08"/>
    <w:rsid w:val="00145212"/>
    <w:rsid w:val="00146743"/>
    <w:rsid w:val="00150F31"/>
    <w:rsid w:val="001529C9"/>
    <w:rsid w:val="0015468B"/>
    <w:rsid w:val="00155EA9"/>
    <w:rsid w:val="00165EDF"/>
    <w:rsid w:val="00173B7F"/>
    <w:rsid w:val="0017670A"/>
    <w:rsid w:val="00183714"/>
    <w:rsid w:val="001846AC"/>
    <w:rsid w:val="0018729B"/>
    <w:rsid w:val="001934CC"/>
    <w:rsid w:val="00195DB8"/>
    <w:rsid w:val="001A6D68"/>
    <w:rsid w:val="001A7B98"/>
    <w:rsid w:val="001B23E7"/>
    <w:rsid w:val="001B3F6B"/>
    <w:rsid w:val="001B5D4A"/>
    <w:rsid w:val="001B6CB1"/>
    <w:rsid w:val="001B7372"/>
    <w:rsid w:val="001C17A5"/>
    <w:rsid w:val="001C1C03"/>
    <w:rsid w:val="001C3801"/>
    <w:rsid w:val="001C45C2"/>
    <w:rsid w:val="001C603F"/>
    <w:rsid w:val="001D3143"/>
    <w:rsid w:val="001E39CB"/>
    <w:rsid w:val="001E600C"/>
    <w:rsid w:val="001F3395"/>
    <w:rsid w:val="001F5339"/>
    <w:rsid w:val="00201F51"/>
    <w:rsid w:val="0020578A"/>
    <w:rsid w:val="00207C9C"/>
    <w:rsid w:val="00210593"/>
    <w:rsid w:val="002127AD"/>
    <w:rsid w:val="002159EC"/>
    <w:rsid w:val="00221CE9"/>
    <w:rsid w:val="00224224"/>
    <w:rsid w:val="00227704"/>
    <w:rsid w:val="00227F14"/>
    <w:rsid w:val="00231FFF"/>
    <w:rsid w:val="00232C4D"/>
    <w:rsid w:val="002441DF"/>
    <w:rsid w:val="002451BB"/>
    <w:rsid w:val="00247580"/>
    <w:rsid w:val="00250E18"/>
    <w:rsid w:val="002564D3"/>
    <w:rsid w:val="002567A2"/>
    <w:rsid w:val="00264695"/>
    <w:rsid w:val="002700BF"/>
    <w:rsid w:val="002746D0"/>
    <w:rsid w:val="00275E81"/>
    <w:rsid w:val="002810BE"/>
    <w:rsid w:val="002813DD"/>
    <w:rsid w:val="00285692"/>
    <w:rsid w:val="0029159C"/>
    <w:rsid w:val="00293AF6"/>
    <w:rsid w:val="00295EA6"/>
    <w:rsid w:val="002A6561"/>
    <w:rsid w:val="002A6BA4"/>
    <w:rsid w:val="002B0306"/>
    <w:rsid w:val="002B2877"/>
    <w:rsid w:val="002B4498"/>
    <w:rsid w:val="002C0DA9"/>
    <w:rsid w:val="002C320B"/>
    <w:rsid w:val="002C5B3D"/>
    <w:rsid w:val="002D017C"/>
    <w:rsid w:val="002D13BA"/>
    <w:rsid w:val="002D1A6D"/>
    <w:rsid w:val="002D643A"/>
    <w:rsid w:val="002E3FD0"/>
    <w:rsid w:val="002E4F16"/>
    <w:rsid w:val="002E570D"/>
    <w:rsid w:val="002E6B81"/>
    <w:rsid w:val="002F0748"/>
    <w:rsid w:val="002F3922"/>
    <w:rsid w:val="002F4CBD"/>
    <w:rsid w:val="002F7397"/>
    <w:rsid w:val="002F7FCD"/>
    <w:rsid w:val="00300723"/>
    <w:rsid w:val="00303D0C"/>
    <w:rsid w:val="00305E24"/>
    <w:rsid w:val="003136D8"/>
    <w:rsid w:val="003175F6"/>
    <w:rsid w:val="00322CD3"/>
    <w:rsid w:val="00323886"/>
    <w:rsid w:val="00323FC2"/>
    <w:rsid w:val="00324A3A"/>
    <w:rsid w:val="00333C2C"/>
    <w:rsid w:val="003445C8"/>
    <w:rsid w:val="00344B2D"/>
    <w:rsid w:val="00350109"/>
    <w:rsid w:val="003540ED"/>
    <w:rsid w:val="00354336"/>
    <w:rsid w:val="00357F3C"/>
    <w:rsid w:val="00361A36"/>
    <w:rsid w:val="00363132"/>
    <w:rsid w:val="003648A7"/>
    <w:rsid w:val="00374F32"/>
    <w:rsid w:val="003801C9"/>
    <w:rsid w:val="00380AAE"/>
    <w:rsid w:val="00382211"/>
    <w:rsid w:val="003831E3"/>
    <w:rsid w:val="00383228"/>
    <w:rsid w:val="00390E95"/>
    <w:rsid w:val="003960D9"/>
    <w:rsid w:val="00396E02"/>
    <w:rsid w:val="00397ED3"/>
    <w:rsid w:val="003A086E"/>
    <w:rsid w:val="003A5A11"/>
    <w:rsid w:val="003A5B63"/>
    <w:rsid w:val="003A786A"/>
    <w:rsid w:val="003B0202"/>
    <w:rsid w:val="003B13BD"/>
    <w:rsid w:val="003B573D"/>
    <w:rsid w:val="003B5DC1"/>
    <w:rsid w:val="003C32A3"/>
    <w:rsid w:val="003C697C"/>
    <w:rsid w:val="003C7175"/>
    <w:rsid w:val="003D0D5C"/>
    <w:rsid w:val="003D4AD6"/>
    <w:rsid w:val="003E2355"/>
    <w:rsid w:val="003E5843"/>
    <w:rsid w:val="003E6447"/>
    <w:rsid w:val="003E7DAF"/>
    <w:rsid w:val="003F1C5B"/>
    <w:rsid w:val="003F2186"/>
    <w:rsid w:val="0040148A"/>
    <w:rsid w:val="00404CCD"/>
    <w:rsid w:val="00410755"/>
    <w:rsid w:val="00411882"/>
    <w:rsid w:val="00412BDA"/>
    <w:rsid w:val="004142B7"/>
    <w:rsid w:val="00415B21"/>
    <w:rsid w:val="00416DA5"/>
    <w:rsid w:val="004174CA"/>
    <w:rsid w:val="004176DA"/>
    <w:rsid w:val="004215C9"/>
    <w:rsid w:val="004225B4"/>
    <w:rsid w:val="00432EB1"/>
    <w:rsid w:val="004337A4"/>
    <w:rsid w:val="00437740"/>
    <w:rsid w:val="00445387"/>
    <w:rsid w:val="00445EBE"/>
    <w:rsid w:val="00447A1D"/>
    <w:rsid w:val="0045171A"/>
    <w:rsid w:val="00451B73"/>
    <w:rsid w:val="00451C60"/>
    <w:rsid w:val="0045233B"/>
    <w:rsid w:val="004528F4"/>
    <w:rsid w:val="004538D9"/>
    <w:rsid w:val="0045448C"/>
    <w:rsid w:val="0045506E"/>
    <w:rsid w:val="00457B5D"/>
    <w:rsid w:val="0046084C"/>
    <w:rsid w:val="00461945"/>
    <w:rsid w:val="0046760B"/>
    <w:rsid w:val="00470DC2"/>
    <w:rsid w:val="004718EE"/>
    <w:rsid w:val="00474DC3"/>
    <w:rsid w:val="00480990"/>
    <w:rsid w:val="00480B95"/>
    <w:rsid w:val="00484427"/>
    <w:rsid w:val="00485E58"/>
    <w:rsid w:val="004867E9"/>
    <w:rsid w:val="00494A92"/>
    <w:rsid w:val="00495F1D"/>
    <w:rsid w:val="00496E08"/>
    <w:rsid w:val="004976F0"/>
    <w:rsid w:val="004A3AAF"/>
    <w:rsid w:val="004A4459"/>
    <w:rsid w:val="004A6114"/>
    <w:rsid w:val="004B1AFC"/>
    <w:rsid w:val="004B3DB3"/>
    <w:rsid w:val="004B41A8"/>
    <w:rsid w:val="004B65C7"/>
    <w:rsid w:val="004B6BF3"/>
    <w:rsid w:val="004C603B"/>
    <w:rsid w:val="004C7B1C"/>
    <w:rsid w:val="004D1B80"/>
    <w:rsid w:val="004D4116"/>
    <w:rsid w:val="004D433C"/>
    <w:rsid w:val="004D72B4"/>
    <w:rsid w:val="004D7B5A"/>
    <w:rsid w:val="004D7BA8"/>
    <w:rsid w:val="004E3435"/>
    <w:rsid w:val="004E43E2"/>
    <w:rsid w:val="004E561C"/>
    <w:rsid w:val="004F0623"/>
    <w:rsid w:val="004F5A5D"/>
    <w:rsid w:val="004F67D2"/>
    <w:rsid w:val="005009A0"/>
    <w:rsid w:val="005036E9"/>
    <w:rsid w:val="00504A5E"/>
    <w:rsid w:val="00505DDD"/>
    <w:rsid w:val="0050624E"/>
    <w:rsid w:val="00510AFB"/>
    <w:rsid w:val="00510C9B"/>
    <w:rsid w:val="005112E9"/>
    <w:rsid w:val="00517524"/>
    <w:rsid w:val="00520199"/>
    <w:rsid w:val="0052240A"/>
    <w:rsid w:val="00524A42"/>
    <w:rsid w:val="005257EF"/>
    <w:rsid w:val="00527C99"/>
    <w:rsid w:val="00531DB2"/>
    <w:rsid w:val="005326AF"/>
    <w:rsid w:val="005340CC"/>
    <w:rsid w:val="005364B1"/>
    <w:rsid w:val="00537A50"/>
    <w:rsid w:val="00540F9A"/>
    <w:rsid w:val="00542E5B"/>
    <w:rsid w:val="005441FF"/>
    <w:rsid w:val="00546891"/>
    <w:rsid w:val="005531B5"/>
    <w:rsid w:val="0055434F"/>
    <w:rsid w:val="00563FDB"/>
    <w:rsid w:val="0056588F"/>
    <w:rsid w:val="00566DEC"/>
    <w:rsid w:val="005701C2"/>
    <w:rsid w:val="00570990"/>
    <w:rsid w:val="0057114C"/>
    <w:rsid w:val="00582F1D"/>
    <w:rsid w:val="00584289"/>
    <w:rsid w:val="00585832"/>
    <w:rsid w:val="00591E8C"/>
    <w:rsid w:val="00594A0D"/>
    <w:rsid w:val="00594B9E"/>
    <w:rsid w:val="00595979"/>
    <w:rsid w:val="005969C6"/>
    <w:rsid w:val="005A3496"/>
    <w:rsid w:val="005A3B7D"/>
    <w:rsid w:val="005A48F5"/>
    <w:rsid w:val="005B1084"/>
    <w:rsid w:val="005B1193"/>
    <w:rsid w:val="005B4921"/>
    <w:rsid w:val="005B61E1"/>
    <w:rsid w:val="005B72F6"/>
    <w:rsid w:val="005C0403"/>
    <w:rsid w:val="005C3088"/>
    <w:rsid w:val="005C40F1"/>
    <w:rsid w:val="005C5E05"/>
    <w:rsid w:val="005C68FD"/>
    <w:rsid w:val="005D2329"/>
    <w:rsid w:val="005D265B"/>
    <w:rsid w:val="005D52F5"/>
    <w:rsid w:val="005D541A"/>
    <w:rsid w:val="005E0AD9"/>
    <w:rsid w:val="005F3FED"/>
    <w:rsid w:val="005F4B6C"/>
    <w:rsid w:val="005F64A9"/>
    <w:rsid w:val="00603B41"/>
    <w:rsid w:val="00606D0B"/>
    <w:rsid w:val="00607B30"/>
    <w:rsid w:val="00611A93"/>
    <w:rsid w:val="00612FAA"/>
    <w:rsid w:val="00617004"/>
    <w:rsid w:val="00617C63"/>
    <w:rsid w:val="0062523A"/>
    <w:rsid w:val="00627D7B"/>
    <w:rsid w:val="00637552"/>
    <w:rsid w:val="00637D53"/>
    <w:rsid w:val="00637F6D"/>
    <w:rsid w:val="00640E0B"/>
    <w:rsid w:val="006509DD"/>
    <w:rsid w:val="00650A52"/>
    <w:rsid w:val="00652F22"/>
    <w:rsid w:val="00653155"/>
    <w:rsid w:val="00661548"/>
    <w:rsid w:val="00662405"/>
    <w:rsid w:val="00662F65"/>
    <w:rsid w:val="0066344E"/>
    <w:rsid w:val="0066645C"/>
    <w:rsid w:val="00667FC2"/>
    <w:rsid w:val="006702B3"/>
    <w:rsid w:val="00670C59"/>
    <w:rsid w:val="006718B5"/>
    <w:rsid w:val="00672D84"/>
    <w:rsid w:val="00674F89"/>
    <w:rsid w:val="006805B0"/>
    <w:rsid w:val="006901E2"/>
    <w:rsid w:val="00692327"/>
    <w:rsid w:val="00692BFB"/>
    <w:rsid w:val="006931DB"/>
    <w:rsid w:val="00697421"/>
    <w:rsid w:val="006A0446"/>
    <w:rsid w:val="006A1F0E"/>
    <w:rsid w:val="006A617B"/>
    <w:rsid w:val="006A72E9"/>
    <w:rsid w:val="006A7AB9"/>
    <w:rsid w:val="006B32CA"/>
    <w:rsid w:val="006B4AB9"/>
    <w:rsid w:val="006C2AC4"/>
    <w:rsid w:val="006C2E5D"/>
    <w:rsid w:val="006C3D06"/>
    <w:rsid w:val="006C4ABE"/>
    <w:rsid w:val="006C75ED"/>
    <w:rsid w:val="006C78D1"/>
    <w:rsid w:val="006D0C69"/>
    <w:rsid w:val="006D1422"/>
    <w:rsid w:val="006D2084"/>
    <w:rsid w:val="006D2D16"/>
    <w:rsid w:val="006D5269"/>
    <w:rsid w:val="006D54A1"/>
    <w:rsid w:val="006D6E0C"/>
    <w:rsid w:val="006E16DB"/>
    <w:rsid w:val="006E3035"/>
    <w:rsid w:val="006E53B7"/>
    <w:rsid w:val="006E6492"/>
    <w:rsid w:val="006F021D"/>
    <w:rsid w:val="006F08C7"/>
    <w:rsid w:val="006F0941"/>
    <w:rsid w:val="006F0E69"/>
    <w:rsid w:val="006F310F"/>
    <w:rsid w:val="006F3ED1"/>
    <w:rsid w:val="006F41F0"/>
    <w:rsid w:val="006F5AEE"/>
    <w:rsid w:val="0070069B"/>
    <w:rsid w:val="007020B5"/>
    <w:rsid w:val="00706153"/>
    <w:rsid w:val="0070623F"/>
    <w:rsid w:val="00706F2D"/>
    <w:rsid w:val="0071263A"/>
    <w:rsid w:val="00715DA7"/>
    <w:rsid w:val="00722D32"/>
    <w:rsid w:val="00724440"/>
    <w:rsid w:val="007405F1"/>
    <w:rsid w:val="00755591"/>
    <w:rsid w:val="007627C6"/>
    <w:rsid w:val="00771676"/>
    <w:rsid w:val="00773559"/>
    <w:rsid w:val="007846B8"/>
    <w:rsid w:val="0079287A"/>
    <w:rsid w:val="00793F90"/>
    <w:rsid w:val="00795EB6"/>
    <w:rsid w:val="0079797D"/>
    <w:rsid w:val="007A033E"/>
    <w:rsid w:val="007A29B5"/>
    <w:rsid w:val="007A3ABD"/>
    <w:rsid w:val="007A3CB5"/>
    <w:rsid w:val="007A4FBD"/>
    <w:rsid w:val="007A77EA"/>
    <w:rsid w:val="007B0AC4"/>
    <w:rsid w:val="007B1ECD"/>
    <w:rsid w:val="007B24CA"/>
    <w:rsid w:val="007B5958"/>
    <w:rsid w:val="007B5BFA"/>
    <w:rsid w:val="007B7AC1"/>
    <w:rsid w:val="007C1169"/>
    <w:rsid w:val="007C24DA"/>
    <w:rsid w:val="007C47F2"/>
    <w:rsid w:val="007D1DE8"/>
    <w:rsid w:val="007D20D5"/>
    <w:rsid w:val="007D392A"/>
    <w:rsid w:val="007D3F74"/>
    <w:rsid w:val="007D3FE7"/>
    <w:rsid w:val="007D74BF"/>
    <w:rsid w:val="007D74C5"/>
    <w:rsid w:val="007E32B2"/>
    <w:rsid w:val="007F263A"/>
    <w:rsid w:val="007F3C62"/>
    <w:rsid w:val="007F5ABF"/>
    <w:rsid w:val="007F6304"/>
    <w:rsid w:val="007F74AC"/>
    <w:rsid w:val="00800C5B"/>
    <w:rsid w:val="008028C1"/>
    <w:rsid w:val="008036D7"/>
    <w:rsid w:val="00803AA0"/>
    <w:rsid w:val="00803C7B"/>
    <w:rsid w:val="00805579"/>
    <w:rsid w:val="008103AC"/>
    <w:rsid w:val="008142F3"/>
    <w:rsid w:val="008179D3"/>
    <w:rsid w:val="00825D56"/>
    <w:rsid w:val="008369C0"/>
    <w:rsid w:val="00843422"/>
    <w:rsid w:val="00851997"/>
    <w:rsid w:val="00853DFD"/>
    <w:rsid w:val="00857C6C"/>
    <w:rsid w:val="00862CC2"/>
    <w:rsid w:val="00862E82"/>
    <w:rsid w:val="0086515F"/>
    <w:rsid w:val="00865FB4"/>
    <w:rsid w:val="0088446F"/>
    <w:rsid w:val="00885A46"/>
    <w:rsid w:val="00891757"/>
    <w:rsid w:val="0089393B"/>
    <w:rsid w:val="00896FF1"/>
    <w:rsid w:val="008A4E90"/>
    <w:rsid w:val="008A5A57"/>
    <w:rsid w:val="008A6838"/>
    <w:rsid w:val="008A745A"/>
    <w:rsid w:val="008B01C1"/>
    <w:rsid w:val="008B3EB4"/>
    <w:rsid w:val="008B6FC2"/>
    <w:rsid w:val="008C4403"/>
    <w:rsid w:val="008C4F4E"/>
    <w:rsid w:val="008C51BE"/>
    <w:rsid w:val="008D1955"/>
    <w:rsid w:val="008D2316"/>
    <w:rsid w:val="008D5422"/>
    <w:rsid w:val="008E1704"/>
    <w:rsid w:val="008E476B"/>
    <w:rsid w:val="008E4BB9"/>
    <w:rsid w:val="008F224D"/>
    <w:rsid w:val="008F3A94"/>
    <w:rsid w:val="00901C2B"/>
    <w:rsid w:val="00902E4C"/>
    <w:rsid w:val="0090502C"/>
    <w:rsid w:val="0090524F"/>
    <w:rsid w:val="00907514"/>
    <w:rsid w:val="00910D29"/>
    <w:rsid w:val="00911C22"/>
    <w:rsid w:val="009146D7"/>
    <w:rsid w:val="00915CB3"/>
    <w:rsid w:val="00920D41"/>
    <w:rsid w:val="00921B63"/>
    <w:rsid w:val="00922F66"/>
    <w:rsid w:val="0092374D"/>
    <w:rsid w:val="00923FE5"/>
    <w:rsid w:val="00924A07"/>
    <w:rsid w:val="009253AF"/>
    <w:rsid w:val="00925F95"/>
    <w:rsid w:val="00934485"/>
    <w:rsid w:val="00934A26"/>
    <w:rsid w:val="009360DF"/>
    <w:rsid w:val="00942CB3"/>
    <w:rsid w:val="00946CA1"/>
    <w:rsid w:val="00950202"/>
    <w:rsid w:val="009572C1"/>
    <w:rsid w:val="00957E01"/>
    <w:rsid w:val="00963C04"/>
    <w:rsid w:val="009753C9"/>
    <w:rsid w:val="0098205C"/>
    <w:rsid w:val="009866B9"/>
    <w:rsid w:val="00995436"/>
    <w:rsid w:val="00995992"/>
    <w:rsid w:val="0099704B"/>
    <w:rsid w:val="009972D2"/>
    <w:rsid w:val="009A2E66"/>
    <w:rsid w:val="009A6D63"/>
    <w:rsid w:val="009A7AC6"/>
    <w:rsid w:val="009B0231"/>
    <w:rsid w:val="009B550B"/>
    <w:rsid w:val="009B6DD8"/>
    <w:rsid w:val="009C0ECB"/>
    <w:rsid w:val="009D059F"/>
    <w:rsid w:val="009D2732"/>
    <w:rsid w:val="009D566F"/>
    <w:rsid w:val="009D5EBE"/>
    <w:rsid w:val="009D621E"/>
    <w:rsid w:val="009E6436"/>
    <w:rsid w:val="009E6867"/>
    <w:rsid w:val="00A01F90"/>
    <w:rsid w:val="00A02B1A"/>
    <w:rsid w:val="00A031F5"/>
    <w:rsid w:val="00A05C30"/>
    <w:rsid w:val="00A1099C"/>
    <w:rsid w:val="00A124C4"/>
    <w:rsid w:val="00A15412"/>
    <w:rsid w:val="00A166AB"/>
    <w:rsid w:val="00A16AA7"/>
    <w:rsid w:val="00A17BF4"/>
    <w:rsid w:val="00A232C8"/>
    <w:rsid w:val="00A26320"/>
    <w:rsid w:val="00A3013A"/>
    <w:rsid w:val="00A3263C"/>
    <w:rsid w:val="00A3283A"/>
    <w:rsid w:val="00A34B03"/>
    <w:rsid w:val="00A3523A"/>
    <w:rsid w:val="00A417AD"/>
    <w:rsid w:val="00A43068"/>
    <w:rsid w:val="00A4306E"/>
    <w:rsid w:val="00A44CC3"/>
    <w:rsid w:val="00A46ABA"/>
    <w:rsid w:val="00A50A7D"/>
    <w:rsid w:val="00A52D57"/>
    <w:rsid w:val="00A67D66"/>
    <w:rsid w:val="00A7223D"/>
    <w:rsid w:val="00A745F0"/>
    <w:rsid w:val="00A7786B"/>
    <w:rsid w:val="00A81197"/>
    <w:rsid w:val="00A87B85"/>
    <w:rsid w:val="00A90E5A"/>
    <w:rsid w:val="00A9197F"/>
    <w:rsid w:val="00A91BDA"/>
    <w:rsid w:val="00A97B4F"/>
    <w:rsid w:val="00AA33D2"/>
    <w:rsid w:val="00AA3C23"/>
    <w:rsid w:val="00AA44A9"/>
    <w:rsid w:val="00AB79F8"/>
    <w:rsid w:val="00AC2764"/>
    <w:rsid w:val="00AC33AC"/>
    <w:rsid w:val="00AC3419"/>
    <w:rsid w:val="00AC42C0"/>
    <w:rsid w:val="00AE170E"/>
    <w:rsid w:val="00AE2B07"/>
    <w:rsid w:val="00AF0B10"/>
    <w:rsid w:val="00B0583F"/>
    <w:rsid w:val="00B06056"/>
    <w:rsid w:val="00B0670F"/>
    <w:rsid w:val="00B11252"/>
    <w:rsid w:val="00B149F9"/>
    <w:rsid w:val="00B1636D"/>
    <w:rsid w:val="00B21374"/>
    <w:rsid w:val="00B327AA"/>
    <w:rsid w:val="00B34EB4"/>
    <w:rsid w:val="00B36848"/>
    <w:rsid w:val="00B3739C"/>
    <w:rsid w:val="00B45F90"/>
    <w:rsid w:val="00B46DAE"/>
    <w:rsid w:val="00B5576C"/>
    <w:rsid w:val="00B55775"/>
    <w:rsid w:val="00B568C0"/>
    <w:rsid w:val="00B64023"/>
    <w:rsid w:val="00B6521B"/>
    <w:rsid w:val="00B6723F"/>
    <w:rsid w:val="00B75386"/>
    <w:rsid w:val="00B83856"/>
    <w:rsid w:val="00B83D9C"/>
    <w:rsid w:val="00B84B86"/>
    <w:rsid w:val="00B9166E"/>
    <w:rsid w:val="00B923FD"/>
    <w:rsid w:val="00B92D82"/>
    <w:rsid w:val="00B9302A"/>
    <w:rsid w:val="00B9354A"/>
    <w:rsid w:val="00B93856"/>
    <w:rsid w:val="00B93E74"/>
    <w:rsid w:val="00B944E9"/>
    <w:rsid w:val="00BA2590"/>
    <w:rsid w:val="00BA3558"/>
    <w:rsid w:val="00BA750C"/>
    <w:rsid w:val="00BB0EE8"/>
    <w:rsid w:val="00BB41AC"/>
    <w:rsid w:val="00BB44B8"/>
    <w:rsid w:val="00BC00CF"/>
    <w:rsid w:val="00BC09A5"/>
    <w:rsid w:val="00BC5631"/>
    <w:rsid w:val="00BD01E8"/>
    <w:rsid w:val="00BD1D0C"/>
    <w:rsid w:val="00BD7981"/>
    <w:rsid w:val="00BE1B0F"/>
    <w:rsid w:val="00BE3D1E"/>
    <w:rsid w:val="00BE6E50"/>
    <w:rsid w:val="00BF0459"/>
    <w:rsid w:val="00BF06C6"/>
    <w:rsid w:val="00BF3C40"/>
    <w:rsid w:val="00BF4F7C"/>
    <w:rsid w:val="00BF517F"/>
    <w:rsid w:val="00C02558"/>
    <w:rsid w:val="00C033DD"/>
    <w:rsid w:val="00C03F03"/>
    <w:rsid w:val="00C04AA6"/>
    <w:rsid w:val="00C13BD6"/>
    <w:rsid w:val="00C1637B"/>
    <w:rsid w:val="00C168C3"/>
    <w:rsid w:val="00C2356A"/>
    <w:rsid w:val="00C312A7"/>
    <w:rsid w:val="00C313D9"/>
    <w:rsid w:val="00C37B4B"/>
    <w:rsid w:val="00C42110"/>
    <w:rsid w:val="00C555BC"/>
    <w:rsid w:val="00C63205"/>
    <w:rsid w:val="00C66915"/>
    <w:rsid w:val="00C7114D"/>
    <w:rsid w:val="00C72494"/>
    <w:rsid w:val="00C73B9C"/>
    <w:rsid w:val="00C73CC1"/>
    <w:rsid w:val="00C75502"/>
    <w:rsid w:val="00C77093"/>
    <w:rsid w:val="00C80AE4"/>
    <w:rsid w:val="00C81F08"/>
    <w:rsid w:val="00C82E08"/>
    <w:rsid w:val="00C852BE"/>
    <w:rsid w:val="00C90601"/>
    <w:rsid w:val="00C9192C"/>
    <w:rsid w:val="00C91EBC"/>
    <w:rsid w:val="00C94E88"/>
    <w:rsid w:val="00CA3F86"/>
    <w:rsid w:val="00CB23D4"/>
    <w:rsid w:val="00CB3DCA"/>
    <w:rsid w:val="00CB4F1D"/>
    <w:rsid w:val="00CB6365"/>
    <w:rsid w:val="00CC3056"/>
    <w:rsid w:val="00CC3DEA"/>
    <w:rsid w:val="00CC453E"/>
    <w:rsid w:val="00CC57C4"/>
    <w:rsid w:val="00CD0486"/>
    <w:rsid w:val="00CD07D9"/>
    <w:rsid w:val="00CD407B"/>
    <w:rsid w:val="00CD49C0"/>
    <w:rsid w:val="00CD5DFD"/>
    <w:rsid w:val="00CD64D9"/>
    <w:rsid w:val="00CD6F55"/>
    <w:rsid w:val="00CE4463"/>
    <w:rsid w:val="00CE715E"/>
    <w:rsid w:val="00CF1703"/>
    <w:rsid w:val="00CF6568"/>
    <w:rsid w:val="00CF66F5"/>
    <w:rsid w:val="00CF693C"/>
    <w:rsid w:val="00D0095B"/>
    <w:rsid w:val="00D00B6E"/>
    <w:rsid w:val="00D01199"/>
    <w:rsid w:val="00D030D6"/>
    <w:rsid w:val="00D03732"/>
    <w:rsid w:val="00D076C2"/>
    <w:rsid w:val="00D10802"/>
    <w:rsid w:val="00D1144D"/>
    <w:rsid w:val="00D1147C"/>
    <w:rsid w:val="00D131BB"/>
    <w:rsid w:val="00D1425A"/>
    <w:rsid w:val="00D14881"/>
    <w:rsid w:val="00D174DE"/>
    <w:rsid w:val="00D24843"/>
    <w:rsid w:val="00D25287"/>
    <w:rsid w:val="00D26195"/>
    <w:rsid w:val="00D349FB"/>
    <w:rsid w:val="00D35553"/>
    <w:rsid w:val="00D35A18"/>
    <w:rsid w:val="00D35F33"/>
    <w:rsid w:val="00D36981"/>
    <w:rsid w:val="00D36CEE"/>
    <w:rsid w:val="00D46958"/>
    <w:rsid w:val="00D502F6"/>
    <w:rsid w:val="00D53FB4"/>
    <w:rsid w:val="00D57E89"/>
    <w:rsid w:val="00D60C7D"/>
    <w:rsid w:val="00D63408"/>
    <w:rsid w:val="00D64CCC"/>
    <w:rsid w:val="00D654AA"/>
    <w:rsid w:val="00D665AE"/>
    <w:rsid w:val="00D67114"/>
    <w:rsid w:val="00D675D6"/>
    <w:rsid w:val="00D70BAD"/>
    <w:rsid w:val="00D70DFB"/>
    <w:rsid w:val="00D735AC"/>
    <w:rsid w:val="00D7501A"/>
    <w:rsid w:val="00D82763"/>
    <w:rsid w:val="00D82AE5"/>
    <w:rsid w:val="00D82C89"/>
    <w:rsid w:val="00D836E6"/>
    <w:rsid w:val="00D85558"/>
    <w:rsid w:val="00D8674C"/>
    <w:rsid w:val="00D92686"/>
    <w:rsid w:val="00D9285D"/>
    <w:rsid w:val="00D9377F"/>
    <w:rsid w:val="00D9587E"/>
    <w:rsid w:val="00D95F50"/>
    <w:rsid w:val="00D960B5"/>
    <w:rsid w:val="00DB16F5"/>
    <w:rsid w:val="00DB2B98"/>
    <w:rsid w:val="00DC2058"/>
    <w:rsid w:val="00DC20B8"/>
    <w:rsid w:val="00DC4C05"/>
    <w:rsid w:val="00DC6123"/>
    <w:rsid w:val="00DD7835"/>
    <w:rsid w:val="00DE287F"/>
    <w:rsid w:val="00DE7252"/>
    <w:rsid w:val="00DF5A2E"/>
    <w:rsid w:val="00DF5E14"/>
    <w:rsid w:val="00DF6F61"/>
    <w:rsid w:val="00DF7ED2"/>
    <w:rsid w:val="00E00192"/>
    <w:rsid w:val="00E04BBB"/>
    <w:rsid w:val="00E114C1"/>
    <w:rsid w:val="00E13228"/>
    <w:rsid w:val="00E1567E"/>
    <w:rsid w:val="00E15E9D"/>
    <w:rsid w:val="00E206B5"/>
    <w:rsid w:val="00E220A9"/>
    <w:rsid w:val="00E35E5B"/>
    <w:rsid w:val="00E3799F"/>
    <w:rsid w:val="00E423FA"/>
    <w:rsid w:val="00E45B32"/>
    <w:rsid w:val="00E54C49"/>
    <w:rsid w:val="00E551A1"/>
    <w:rsid w:val="00E61480"/>
    <w:rsid w:val="00E64A77"/>
    <w:rsid w:val="00E64F36"/>
    <w:rsid w:val="00E70C13"/>
    <w:rsid w:val="00E739D0"/>
    <w:rsid w:val="00E75398"/>
    <w:rsid w:val="00E75DD0"/>
    <w:rsid w:val="00E77297"/>
    <w:rsid w:val="00E856E5"/>
    <w:rsid w:val="00E87F41"/>
    <w:rsid w:val="00E90739"/>
    <w:rsid w:val="00E94D9A"/>
    <w:rsid w:val="00EA5A08"/>
    <w:rsid w:val="00EB0816"/>
    <w:rsid w:val="00EB308F"/>
    <w:rsid w:val="00EB59CE"/>
    <w:rsid w:val="00EB6CE7"/>
    <w:rsid w:val="00EB70BA"/>
    <w:rsid w:val="00EC03FA"/>
    <w:rsid w:val="00EC23DD"/>
    <w:rsid w:val="00EC30EE"/>
    <w:rsid w:val="00EC6E36"/>
    <w:rsid w:val="00EC790C"/>
    <w:rsid w:val="00ED15C3"/>
    <w:rsid w:val="00ED4F46"/>
    <w:rsid w:val="00ED56F1"/>
    <w:rsid w:val="00EE0A22"/>
    <w:rsid w:val="00EE37DC"/>
    <w:rsid w:val="00EE5DE3"/>
    <w:rsid w:val="00EE7A36"/>
    <w:rsid w:val="00EE7F9A"/>
    <w:rsid w:val="00EF09AE"/>
    <w:rsid w:val="00EF3DEB"/>
    <w:rsid w:val="00EF6175"/>
    <w:rsid w:val="00EF6EC2"/>
    <w:rsid w:val="00F0727C"/>
    <w:rsid w:val="00F117E7"/>
    <w:rsid w:val="00F14F5E"/>
    <w:rsid w:val="00F16448"/>
    <w:rsid w:val="00F23C58"/>
    <w:rsid w:val="00F241B2"/>
    <w:rsid w:val="00F27792"/>
    <w:rsid w:val="00F27964"/>
    <w:rsid w:val="00F328B5"/>
    <w:rsid w:val="00F32E6B"/>
    <w:rsid w:val="00F33A95"/>
    <w:rsid w:val="00F34AEF"/>
    <w:rsid w:val="00F35629"/>
    <w:rsid w:val="00F3570B"/>
    <w:rsid w:val="00F3770B"/>
    <w:rsid w:val="00F412C3"/>
    <w:rsid w:val="00F420FA"/>
    <w:rsid w:val="00F42165"/>
    <w:rsid w:val="00F4778D"/>
    <w:rsid w:val="00F47E0A"/>
    <w:rsid w:val="00F5039E"/>
    <w:rsid w:val="00F55AEF"/>
    <w:rsid w:val="00F5739A"/>
    <w:rsid w:val="00F575A4"/>
    <w:rsid w:val="00F636A1"/>
    <w:rsid w:val="00F63CEA"/>
    <w:rsid w:val="00F727E5"/>
    <w:rsid w:val="00F808F8"/>
    <w:rsid w:val="00F80CE0"/>
    <w:rsid w:val="00F819FF"/>
    <w:rsid w:val="00F84384"/>
    <w:rsid w:val="00F87166"/>
    <w:rsid w:val="00F90842"/>
    <w:rsid w:val="00F91FB4"/>
    <w:rsid w:val="00F93936"/>
    <w:rsid w:val="00FA66F2"/>
    <w:rsid w:val="00FB01CF"/>
    <w:rsid w:val="00FB35D1"/>
    <w:rsid w:val="00FB6654"/>
    <w:rsid w:val="00FC39D2"/>
    <w:rsid w:val="00FC622D"/>
    <w:rsid w:val="00FD00FB"/>
    <w:rsid w:val="00FE364D"/>
    <w:rsid w:val="00FE6EE9"/>
    <w:rsid w:val="00FE7C3E"/>
    <w:rsid w:val="00FF0C39"/>
    <w:rsid w:val="00FF1B42"/>
    <w:rsid w:val="00FF2D32"/>
    <w:rsid w:val="00FF60FE"/>
    <w:rsid w:val="00FF6C46"/>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CE7"/>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Ttulo1">
    <w:name w:val="heading 1"/>
    <w:basedOn w:val="Normal"/>
    <w:next w:val="Normal"/>
    <w:link w:val="Ttulo1Car"/>
    <w:uiPriority w:val="9"/>
    <w:qFormat/>
    <w:rsid w:val="00F80CE0"/>
    <w:pPr>
      <w:numPr>
        <w:numId w:val="1"/>
      </w:numPr>
      <w:spacing w:before="120" w:beforeAutospacing="0" w:after="240" w:afterAutospacing="0" w:line="276" w:lineRule="auto"/>
      <w:ind w:left="431" w:hanging="431"/>
      <w:outlineLvl w:val="0"/>
    </w:pPr>
    <w:rPr>
      <w:b/>
      <w:bCs/>
    </w:rPr>
  </w:style>
  <w:style w:type="paragraph" w:styleId="Ttulo2">
    <w:name w:val="heading 2"/>
    <w:basedOn w:val="Normal"/>
    <w:next w:val="Normal"/>
    <w:link w:val="Ttulo2Car"/>
    <w:uiPriority w:val="9"/>
    <w:unhideWhenUsed/>
    <w:qFormat/>
    <w:rsid w:val="00D36981"/>
    <w:pPr>
      <w:numPr>
        <w:ilvl w:val="1"/>
        <w:numId w:val="1"/>
      </w:numPr>
      <w:outlineLvl w:val="1"/>
    </w:pPr>
    <w:rPr>
      <w:rFonts w:eastAsia="Helvetica"/>
      <w:b/>
      <w:bCs/>
    </w:rPr>
  </w:style>
  <w:style w:type="paragraph" w:styleId="Ttulo3">
    <w:name w:val="heading 3"/>
    <w:basedOn w:val="Normal"/>
    <w:next w:val="Normal"/>
    <w:link w:val="Ttulo3Car"/>
    <w:uiPriority w:val="9"/>
    <w:unhideWhenUsed/>
    <w:qFormat/>
    <w:rsid w:val="00D95F50"/>
    <w:pPr>
      <w:keepNext/>
      <w:keepLines/>
      <w:numPr>
        <w:ilvl w:val="2"/>
        <w:numId w:val="1"/>
      </w:numPr>
      <w:spacing w:before="240" w:beforeAutospacing="0" w:after="120" w:afterAutospacing="0"/>
      <w:outlineLvl w:val="2"/>
    </w:pPr>
    <w:rPr>
      <w:rFonts w:eastAsiaTheme="majorEastAsia" w:cstheme="majorBidi"/>
    </w:rPr>
  </w:style>
  <w:style w:type="paragraph" w:styleId="Ttulo4">
    <w:name w:val="heading 4"/>
    <w:basedOn w:val="Normal"/>
    <w:next w:val="Normal"/>
    <w:link w:val="Ttulo4Car"/>
    <w:uiPriority w:val="9"/>
    <w:semiHidden/>
    <w:unhideWhenUsed/>
    <w:qFormat/>
    <w:rsid w:val="000C1FED"/>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1FED"/>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1FED"/>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1FED"/>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1FED"/>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1FED"/>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CE0"/>
    <w:rPr>
      <w:rFonts w:ascii="Times New Roman" w:eastAsia="Times New Roman" w:hAnsi="Times New Roman" w:cs="Times New Roman"/>
      <w:b/>
      <w:bCs/>
      <w:sz w:val="24"/>
      <w:szCs w:val="24"/>
      <w:lang w:eastAsia="es-CO"/>
    </w:rPr>
  </w:style>
  <w:style w:type="character" w:customStyle="1" w:styleId="Ttulo2Car">
    <w:name w:val="Título 2 Car"/>
    <w:basedOn w:val="Fuentedeprrafopredeter"/>
    <w:link w:val="Ttulo2"/>
    <w:uiPriority w:val="9"/>
    <w:rsid w:val="00D36981"/>
    <w:rPr>
      <w:rFonts w:ascii="Times New Roman" w:eastAsia="Helvetica" w:hAnsi="Times New Roman" w:cs="Times New Roman"/>
      <w:b/>
      <w:bCs/>
      <w:sz w:val="24"/>
      <w:szCs w:val="24"/>
      <w:lang w:eastAsia="es-CO"/>
    </w:rPr>
  </w:style>
  <w:style w:type="character" w:customStyle="1" w:styleId="Ttulo3Car">
    <w:name w:val="Título 3 Car"/>
    <w:basedOn w:val="Fuentedeprrafopredeter"/>
    <w:link w:val="Ttulo3"/>
    <w:uiPriority w:val="9"/>
    <w:rsid w:val="00D95F50"/>
    <w:rPr>
      <w:rFonts w:ascii="Times New Roman" w:eastAsiaTheme="majorEastAsia" w:hAnsi="Times New Roman" w:cstheme="majorBidi"/>
      <w:sz w:val="24"/>
      <w:szCs w:val="24"/>
      <w:lang w:eastAsia="es-CO"/>
    </w:rPr>
  </w:style>
  <w:style w:type="character" w:customStyle="1" w:styleId="Ttulo4Car">
    <w:name w:val="Título 4 Car"/>
    <w:basedOn w:val="Fuentedeprrafopredeter"/>
    <w:link w:val="Ttulo4"/>
    <w:uiPriority w:val="9"/>
    <w:semiHidden/>
    <w:rsid w:val="000C1FED"/>
    <w:rPr>
      <w:rFonts w:ascii="Times New Roman" w:eastAsiaTheme="majorEastAsia" w:hAnsi="Times New Roman" w:cstheme="majorBidi"/>
      <w:i/>
      <w:iCs/>
      <w:color w:val="2F5496" w:themeColor="accent1" w:themeShade="BF"/>
      <w:sz w:val="24"/>
      <w:szCs w:val="24"/>
      <w:lang w:eastAsia="es-CO"/>
    </w:rPr>
  </w:style>
  <w:style w:type="character" w:customStyle="1" w:styleId="Ttulo5Car">
    <w:name w:val="Título 5 Car"/>
    <w:basedOn w:val="Fuentedeprrafopredeter"/>
    <w:link w:val="Ttulo5"/>
    <w:uiPriority w:val="9"/>
    <w:semiHidden/>
    <w:rsid w:val="000C1FED"/>
    <w:rPr>
      <w:rFonts w:ascii="Times New Roman" w:eastAsiaTheme="majorEastAsia" w:hAnsi="Times New Roman" w:cstheme="majorBidi"/>
      <w:color w:val="2F5496" w:themeColor="accent1" w:themeShade="BF"/>
      <w:sz w:val="24"/>
      <w:szCs w:val="24"/>
      <w:lang w:eastAsia="es-CO"/>
    </w:rPr>
  </w:style>
  <w:style w:type="character" w:customStyle="1" w:styleId="Ttulo6Car">
    <w:name w:val="Título 6 Car"/>
    <w:basedOn w:val="Fuentedeprrafopredeter"/>
    <w:link w:val="Ttulo6"/>
    <w:uiPriority w:val="9"/>
    <w:semiHidden/>
    <w:rsid w:val="000C1FED"/>
    <w:rPr>
      <w:rFonts w:ascii="Times New Roman" w:eastAsiaTheme="majorEastAsia" w:hAnsi="Times New Roman" w:cstheme="majorBidi"/>
      <w:i/>
      <w:iCs/>
      <w:color w:val="595959" w:themeColor="text1" w:themeTint="A6"/>
      <w:sz w:val="24"/>
      <w:szCs w:val="24"/>
      <w:lang w:eastAsia="es-CO"/>
    </w:rPr>
  </w:style>
  <w:style w:type="character" w:customStyle="1" w:styleId="Ttulo7Car">
    <w:name w:val="Título 7 Car"/>
    <w:basedOn w:val="Fuentedeprrafopredeter"/>
    <w:link w:val="Ttulo7"/>
    <w:uiPriority w:val="9"/>
    <w:semiHidden/>
    <w:rsid w:val="000C1FED"/>
    <w:rPr>
      <w:rFonts w:ascii="Times New Roman" w:eastAsiaTheme="majorEastAsia" w:hAnsi="Times New Roman" w:cstheme="majorBidi"/>
      <w:color w:val="595959" w:themeColor="text1" w:themeTint="A6"/>
      <w:sz w:val="24"/>
      <w:szCs w:val="24"/>
      <w:lang w:eastAsia="es-CO"/>
    </w:rPr>
  </w:style>
  <w:style w:type="character" w:customStyle="1" w:styleId="Ttulo8Car">
    <w:name w:val="Título 8 Car"/>
    <w:basedOn w:val="Fuentedeprrafopredeter"/>
    <w:link w:val="Ttulo8"/>
    <w:uiPriority w:val="9"/>
    <w:semiHidden/>
    <w:rsid w:val="000C1FED"/>
    <w:rPr>
      <w:rFonts w:ascii="Times New Roman" w:eastAsiaTheme="majorEastAsia" w:hAnsi="Times New Roman" w:cstheme="majorBidi"/>
      <w:i/>
      <w:iCs/>
      <w:color w:val="272727" w:themeColor="text1" w:themeTint="D8"/>
      <w:sz w:val="24"/>
      <w:szCs w:val="24"/>
      <w:lang w:eastAsia="es-CO"/>
    </w:rPr>
  </w:style>
  <w:style w:type="character" w:customStyle="1" w:styleId="Ttulo9Car">
    <w:name w:val="Título 9 Car"/>
    <w:basedOn w:val="Fuentedeprrafopredeter"/>
    <w:link w:val="Ttulo9"/>
    <w:uiPriority w:val="9"/>
    <w:semiHidden/>
    <w:rsid w:val="000C1FED"/>
    <w:rPr>
      <w:rFonts w:ascii="Times New Roman" w:eastAsiaTheme="majorEastAsia" w:hAnsi="Times New Roman" w:cstheme="majorBidi"/>
      <w:color w:val="272727" w:themeColor="text1" w:themeTint="D8"/>
      <w:sz w:val="24"/>
      <w:szCs w:val="24"/>
      <w:lang w:eastAsia="es-CO"/>
    </w:rPr>
  </w:style>
  <w:style w:type="paragraph" w:styleId="Ttulo">
    <w:name w:val="Title"/>
    <w:basedOn w:val="Normal"/>
    <w:next w:val="Normal"/>
    <w:link w:val="TtuloC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1F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1F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1FED"/>
    <w:pPr>
      <w:spacing w:before="160"/>
      <w:jc w:val="center"/>
    </w:pPr>
    <w:rPr>
      <w:i/>
      <w:iCs/>
      <w:color w:val="404040" w:themeColor="text1" w:themeTint="BF"/>
    </w:rPr>
  </w:style>
  <w:style w:type="character" w:customStyle="1" w:styleId="CitaCar">
    <w:name w:val="Cita Car"/>
    <w:basedOn w:val="Fuentedeprrafopredeter"/>
    <w:link w:val="Cita"/>
    <w:uiPriority w:val="29"/>
    <w:rsid w:val="000C1FED"/>
    <w:rPr>
      <w:i/>
      <w:iCs/>
      <w:color w:val="404040" w:themeColor="text1" w:themeTint="BF"/>
    </w:rPr>
  </w:style>
  <w:style w:type="paragraph" w:styleId="Prrafodelista">
    <w:name w:val="List Paragraph"/>
    <w:basedOn w:val="Normal"/>
    <w:uiPriority w:val="34"/>
    <w:qFormat/>
    <w:rsid w:val="000C1FED"/>
    <w:pPr>
      <w:ind w:left="720"/>
      <w:contextualSpacing/>
    </w:pPr>
  </w:style>
  <w:style w:type="character" w:styleId="nfasisintenso">
    <w:name w:val="Intense Emphasis"/>
    <w:uiPriority w:val="21"/>
    <w:qFormat/>
    <w:rsid w:val="001B23E7"/>
    <w:rPr>
      <w:rFonts w:ascii="Times New Roman" w:hAnsi="Times New Roman" w:cs="Times New Roman"/>
      <w:b/>
      <w:bCs/>
      <w:sz w:val="32"/>
      <w:szCs w:val="32"/>
    </w:rPr>
  </w:style>
  <w:style w:type="paragraph" w:styleId="Citadestacada">
    <w:name w:val="Intense Quote"/>
    <w:basedOn w:val="Normal"/>
    <w:next w:val="Normal"/>
    <w:link w:val="CitadestacadaC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1FED"/>
    <w:rPr>
      <w:i/>
      <w:iCs/>
      <w:color w:val="2F5496" w:themeColor="accent1" w:themeShade="BF"/>
    </w:rPr>
  </w:style>
  <w:style w:type="character" w:styleId="Referenciaintensa">
    <w:name w:val="Intense Reference"/>
    <w:basedOn w:val="Fuentedeprrafopredeter"/>
    <w:uiPriority w:val="32"/>
    <w:qFormat/>
    <w:rsid w:val="000C1FED"/>
    <w:rPr>
      <w:b/>
      <w:bCs/>
      <w:smallCaps/>
      <w:color w:val="2F5496" w:themeColor="accent1" w:themeShade="BF"/>
      <w:spacing w:val="5"/>
    </w:rPr>
  </w:style>
  <w:style w:type="table" w:styleId="Tablaconcuadrcula">
    <w:name w:val="Table Grid"/>
    <w:basedOn w:val="Tabla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C1FED"/>
    <w:rPr>
      <w:color w:val="0563C1" w:themeColor="hyperlink"/>
      <w:u w:val="single"/>
    </w:rPr>
  </w:style>
  <w:style w:type="character" w:styleId="Mencinsinresolver">
    <w:name w:val="Unresolved Mention"/>
    <w:basedOn w:val="Fuentedeprrafopredeter"/>
    <w:uiPriority w:val="99"/>
    <w:semiHidden/>
    <w:unhideWhenUsed/>
    <w:rsid w:val="000C1FED"/>
    <w:rPr>
      <w:color w:val="605E5C"/>
      <w:shd w:val="clear" w:color="auto" w:fill="E1DFDD"/>
    </w:rPr>
  </w:style>
  <w:style w:type="paragraph" w:styleId="Textonotapie">
    <w:name w:val="footnote text"/>
    <w:basedOn w:val="Normal"/>
    <w:link w:val="TextonotapieCar"/>
    <w:uiPriority w:val="99"/>
    <w:unhideWhenUsed/>
    <w:rsid w:val="00A4306E"/>
    <w:pPr>
      <w:spacing w:after="0"/>
    </w:pPr>
    <w:rPr>
      <w:sz w:val="20"/>
      <w:szCs w:val="20"/>
      <w:lang w:eastAsia="es-MX"/>
    </w:rPr>
  </w:style>
  <w:style w:type="character" w:customStyle="1" w:styleId="TextonotapieCar">
    <w:name w:val="Texto nota pie Car"/>
    <w:basedOn w:val="Fuentedeprrafopredeter"/>
    <w:link w:val="Textonotapie"/>
    <w:uiPriority w:val="99"/>
    <w:rsid w:val="00A4306E"/>
    <w:rPr>
      <w:rFonts w:ascii="Times New Roman" w:eastAsia="Times New Roman" w:hAnsi="Times New Roman" w:cs="Times New Roman"/>
      <w:sz w:val="20"/>
      <w:szCs w:val="20"/>
      <w:lang w:eastAsia="es-MX"/>
    </w:rPr>
  </w:style>
  <w:style w:type="character" w:styleId="Refdenotaalpie">
    <w:name w:val="footnote reference"/>
    <w:basedOn w:val="Fuentedeprrafopredeter"/>
    <w:uiPriority w:val="99"/>
    <w:semiHidden/>
    <w:unhideWhenUsed/>
    <w:rsid w:val="00A4306E"/>
    <w:rPr>
      <w:vertAlign w:val="superscript"/>
    </w:rPr>
  </w:style>
  <w:style w:type="paragraph" w:styleId="Encabezado">
    <w:name w:val="header"/>
    <w:basedOn w:val="Normal"/>
    <w:link w:val="EncabezadoCar"/>
    <w:uiPriority w:val="99"/>
    <w:unhideWhenUsed/>
    <w:rsid w:val="007D3FE7"/>
    <w:pPr>
      <w:tabs>
        <w:tab w:val="center" w:pos="4680"/>
        <w:tab w:val="right" w:pos="9360"/>
      </w:tabs>
      <w:spacing w:after="0"/>
    </w:pPr>
  </w:style>
  <w:style w:type="character" w:customStyle="1" w:styleId="EncabezadoCar">
    <w:name w:val="Encabezado Car"/>
    <w:basedOn w:val="Fuentedeprrafopredeter"/>
    <w:link w:val="Encabezado"/>
    <w:uiPriority w:val="99"/>
    <w:rsid w:val="007D3FE7"/>
  </w:style>
  <w:style w:type="paragraph" w:styleId="Piedepgina">
    <w:name w:val="footer"/>
    <w:basedOn w:val="Normal"/>
    <w:link w:val="PiedepginaCar"/>
    <w:uiPriority w:val="99"/>
    <w:unhideWhenUsed/>
    <w:rsid w:val="007D3FE7"/>
    <w:pPr>
      <w:tabs>
        <w:tab w:val="center" w:pos="4680"/>
        <w:tab w:val="right" w:pos="9360"/>
      </w:tabs>
      <w:spacing w:after="0"/>
    </w:pPr>
  </w:style>
  <w:style w:type="character" w:customStyle="1" w:styleId="PiedepginaCar">
    <w:name w:val="Pie de página Car"/>
    <w:basedOn w:val="Fuentedeprrafopredeter"/>
    <w:link w:val="Piedepgina"/>
    <w:uiPriority w:val="99"/>
    <w:rsid w:val="007D3FE7"/>
  </w:style>
  <w:style w:type="character" w:styleId="Textoennegrita">
    <w:name w:val="Strong"/>
    <w:basedOn w:val="Fuentedeprrafopredeter"/>
    <w:uiPriority w:val="22"/>
    <w:qFormat/>
    <w:rsid w:val="004B3DB3"/>
    <w:rPr>
      <w:b/>
      <w:bCs/>
    </w:rPr>
  </w:style>
  <w:style w:type="paragraph" w:styleId="NormalWeb">
    <w:name w:val="Normal (Web)"/>
    <w:basedOn w:val="Normal"/>
    <w:uiPriority w:val="99"/>
    <w:unhideWhenUsed/>
    <w:rsid w:val="00963C04"/>
    <w:rPr>
      <w:lang w:val="en-US"/>
    </w:rPr>
  </w:style>
  <w:style w:type="character" w:styleId="nfasis">
    <w:name w:val="Emphasis"/>
    <w:uiPriority w:val="20"/>
    <w:qFormat/>
    <w:rsid w:val="001B23E7"/>
    <w:rPr>
      <w:rFonts w:ascii="Times New Roman" w:hAnsi="Times New Roman" w:cs="Times New Roman"/>
      <w:b/>
      <w:bCs/>
      <w:sz w:val="32"/>
      <w:szCs w:val="32"/>
    </w:rPr>
  </w:style>
  <w:style w:type="paragraph" w:styleId="Descripcin">
    <w:name w:val="caption"/>
    <w:basedOn w:val="Normal"/>
    <w:next w:val="Normal"/>
    <w:uiPriority w:val="35"/>
    <w:unhideWhenUsed/>
    <w:qFormat/>
    <w:rsid w:val="00BE1B0F"/>
    <w:pPr>
      <w:spacing w:after="200"/>
    </w:pPr>
    <w:rPr>
      <w:i/>
      <w:iCs/>
      <w:color w:val="44546A" w:themeColor="text2"/>
      <w:sz w:val="18"/>
      <w:szCs w:val="18"/>
    </w:rPr>
  </w:style>
  <w:style w:type="paragraph" w:styleId="Bibliografa">
    <w:name w:val="Bibliography"/>
    <w:basedOn w:val="Normal"/>
    <w:next w:val="Normal"/>
    <w:uiPriority w:val="37"/>
    <w:unhideWhenUsed/>
    <w:rsid w:val="00E551A1"/>
  </w:style>
  <w:style w:type="character" w:customStyle="1" w:styleId="normaltextrun">
    <w:name w:val="normaltextrun"/>
    <w:basedOn w:val="Fuentedeprrafopredeter"/>
    <w:rsid w:val="00D7501A"/>
  </w:style>
  <w:style w:type="character" w:customStyle="1" w:styleId="eop">
    <w:name w:val="eop"/>
    <w:basedOn w:val="Fuentedeprrafopredeter"/>
    <w:rsid w:val="00D7501A"/>
  </w:style>
  <w:style w:type="paragraph" w:customStyle="1" w:styleId="paragraph">
    <w:name w:val="paragraph"/>
    <w:basedOn w:val="Normal"/>
    <w:rsid w:val="00D7501A"/>
  </w:style>
  <w:style w:type="character" w:styleId="Refdecomentario">
    <w:name w:val="annotation reference"/>
    <w:basedOn w:val="Fuentedeprrafopredeter"/>
    <w:uiPriority w:val="99"/>
    <w:semiHidden/>
    <w:unhideWhenUsed/>
    <w:rsid w:val="007D20D5"/>
    <w:rPr>
      <w:sz w:val="16"/>
      <w:szCs w:val="16"/>
    </w:rPr>
  </w:style>
  <w:style w:type="paragraph" w:styleId="Textocomentario">
    <w:name w:val="annotation text"/>
    <w:basedOn w:val="Normal"/>
    <w:link w:val="TextocomentarioCar"/>
    <w:uiPriority w:val="99"/>
    <w:unhideWhenUsed/>
    <w:rsid w:val="007D20D5"/>
    <w:rPr>
      <w:sz w:val="20"/>
      <w:szCs w:val="20"/>
    </w:rPr>
  </w:style>
  <w:style w:type="character" w:customStyle="1" w:styleId="TextocomentarioCar">
    <w:name w:val="Texto comentario Car"/>
    <w:basedOn w:val="Fuentedeprrafopredeter"/>
    <w:link w:val="Textocomentario"/>
    <w:uiPriority w:val="99"/>
    <w:rsid w:val="007D20D5"/>
    <w:rPr>
      <w:sz w:val="20"/>
      <w:szCs w:val="20"/>
    </w:rPr>
  </w:style>
  <w:style w:type="paragraph" w:styleId="Asuntodelcomentario">
    <w:name w:val="annotation subject"/>
    <w:basedOn w:val="Textocomentario"/>
    <w:next w:val="Textocomentario"/>
    <w:link w:val="AsuntodelcomentarioCar"/>
    <w:uiPriority w:val="99"/>
    <w:semiHidden/>
    <w:unhideWhenUsed/>
    <w:rsid w:val="007D20D5"/>
    <w:rPr>
      <w:b/>
      <w:bCs/>
    </w:rPr>
  </w:style>
  <w:style w:type="character" w:customStyle="1" w:styleId="AsuntodelcomentarioCar">
    <w:name w:val="Asunto del comentario Car"/>
    <w:basedOn w:val="TextocomentarioCar"/>
    <w:link w:val="Asuntodelcomentario"/>
    <w:uiPriority w:val="99"/>
    <w:semiHidden/>
    <w:rsid w:val="007D20D5"/>
    <w:rPr>
      <w:b/>
      <w:bCs/>
      <w:sz w:val="20"/>
      <w:szCs w:val="20"/>
    </w:rPr>
  </w:style>
  <w:style w:type="character" w:styleId="Hipervnculovisitado">
    <w:name w:val="FollowedHyperlink"/>
    <w:basedOn w:val="Fuentedeprrafopredeter"/>
    <w:uiPriority w:val="99"/>
    <w:semiHidden/>
    <w:unhideWhenUsed/>
    <w:rsid w:val="008C4F4E"/>
    <w:rPr>
      <w:color w:val="954F72" w:themeColor="followedHyperlink"/>
      <w:u w:val="single"/>
    </w:rPr>
  </w:style>
  <w:style w:type="character" w:styleId="Textodelmarcadordeposicin">
    <w:name w:val="Placeholder Text"/>
    <w:basedOn w:val="Fuentedeprrafopredeter"/>
    <w:uiPriority w:val="99"/>
    <w:semiHidden/>
    <w:rsid w:val="00D076C2"/>
    <w:rPr>
      <w:color w:val="808080"/>
    </w:rPr>
  </w:style>
  <w:style w:type="character" w:customStyle="1" w:styleId="katex-mathml">
    <w:name w:val="katex-mathml"/>
    <w:basedOn w:val="Fuentedeprrafopredeter"/>
    <w:rsid w:val="00674F89"/>
  </w:style>
  <w:style w:type="character" w:customStyle="1" w:styleId="mord">
    <w:name w:val="mord"/>
    <w:basedOn w:val="Fuentedeprrafopredeter"/>
    <w:rsid w:val="00674F89"/>
  </w:style>
  <w:style w:type="character" w:customStyle="1" w:styleId="vlist-s">
    <w:name w:val="vlist-s"/>
    <w:basedOn w:val="Fuentedeprrafopredeter"/>
    <w:rsid w:val="00674F89"/>
  </w:style>
  <w:style w:type="character" w:customStyle="1" w:styleId="mrel">
    <w:name w:val="mrel"/>
    <w:basedOn w:val="Fuentedeprrafopredeter"/>
    <w:rsid w:val="00674F89"/>
  </w:style>
  <w:style w:type="character" w:customStyle="1" w:styleId="mbin">
    <w:name w:val="mbin"/>
    <w:basedOn w:val="Fuentedeprrafopredeter"/>
    <w:rsid w:val="00674F89"/>
  </w:style>
  <w:style w:type="paragraph" w:styleId="Sinespaciado">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 w:type="character" w:styleId="Mencionar">
    <w:name w:val="Mention"/>
    <w:basedOn w:val="Fuentedeprrafopredeter"/>
    <w:uiPriority w:val="99"/>
    <w:unhideWhenUsed/>
    <w:rsid w:val="00617004"/>
    <w:rPr>
      <w:color w:val="2B579A"/>
      <w:shd w:val="clear" w:color="auto" w:fill="E1DFDD"/>
    </w:rPr>
  </w:style>
  <w:style w:type="character" w:customStyle="1" w:styleId="math-inline">
    <w:name w:val="math-inline"/>
    <w:basedOn w:val="Fuentedeprrafopredeter"/>
    <w:rsid w:val="00496E08"/>
  </w:style>
  <w:style w:type="character" w:styleId="CdigoHTML">
    <w:name w:val="HTML Code"/>
    <w:basedOn w:val="Fuentedeprrafopredeter"/>
    <w:uiPriority w:val="99"/>
    <w:semiHidden/>
    <w:unhideWhenUsed/>
    <w:rsid w:val="00D95F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6793559">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21184298">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27096051">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02266259">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38992028">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48362784">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681589561">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04618047">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41789544">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083649864">
      <w:bodyDiv w:val="1"/>
      <w:marLeft w:val="0"/>
      <w:marRight w:val="0"/>
      <w:marTop w:val="0"/>
      <w:marBottom w:val="0"/>
      <w:divBdr>
        <w:top w:val="none" w:sz="0" w:space="0" w:color="auto"/>
        <w:left w:val="none" w:sz="0" w:space="0" w:color="auto"/>
        <w:bottom w:val="none" w:sz="0" w:space="0" w:color="auto"/>
        <w:right w:val="none" w:sz="0" w:space="0" w:color="auto"/>
      </w:divBdr>
    </w:div>
    <w:div w:id="109197583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19897373">
      <w:bodyDiv w:val="1"/>
      <w:marLeft w:val="0"/>
      <w:marRight w:val="0"/>
      <w:marTop w:val="0"/>
      <w:marBottom w:val="0"/>
      <w:divBdr>
        <w:top w:val="none" w:sz="0" w:space="0" w:color="auto"/>
        <w:left w:val="none" w:sz="0" w:space="0" w:color="auto"/>
        <w:bottom w:val="none" w:sz="0" w:space="0" w:color="auto"/>
        <w:right w:val="none" w:sz="0" w:space="0" w:color="auto"/>
      </w:divBdr>
    </w:div>
    <w:div w:id="1253735808">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74361250">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32828386">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0129451">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59949577">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24910052">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36336862">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56137990">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73518002">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36878276">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51608135">
      <w:bodyDiv w:val="1"/>
      <w:marLeft w:val="0"/>
      <w:marRight w:val="0"/>
      <w:marTop w:val="0"/>
      <w:marBottom w:val="0"/>
      <w:divBdr>
        <w:top w:val="none" w:sz="0" w:space="0" w:color="auto"/>
        <w:left w:val="none" w:sz="0" w:space="0" w:color="auto"/>
        <w:bottom w:val="none" w:sz="0" w:space="0" w:color="auto"/>
        <w:right w:val="none" w:sz="0" w:space="0" w:color="auto"/>
      </w:divBdr>
    </w:div>
    <w:div w:id="206008358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0915133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 w:id="2142379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eader" Target="header1.xml"/><Relationship Id="rId26" Type="http://schemas.microsoft.com/office/2019/05/relationships/documenttasks" Target="documenttasks/documenttasks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minsalud.gov.co/sites/rid/Lists/BibliotecaDigital/RIDE/VS/PP/impueso-saludable-bebidas-alimentos-ultraprocesados.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documenttasks/documenttasks1.xml><?xml version="1.0" encoding="utf-8"?>
<t:Tasks xmlns:t="http://schemas.microsoft.com/office/tasks/2019/documenttasks" xmlns:oel="http://schemas.microsoft.com/office/2019/extlst">
  <t:Task id="{65D11562-2096-4E83-AB3F-CB9F730D2C32}">
    <t:Anchor>
      <t:Comment id="1184343662"/>
    </t:Anchor>
    <t:History>
      <t:Event id="{97B01BDD-F92E-4A19-8720-30AA4808E63A}" time="2025-10-27T19:16:21.425Z">
        <t:Attribution userId="S::mc.caraballo@uniandes.edu.co::365928a4-ac9b-4cb7-8cff-0f2d693cc50f" userProvider="AD" userName="Maria Camila Caraballo"/>
        <t:Anchor>
          <t:Comment id="1184343662"/>
        </t:Anchor>
        <t:Create/>
      </t:Event>
      <t:Event id="{F03062AB-5494-4317-9981-63AAF23EC6CD}" time="2025-10-27T19:16:21.425Z">
        <t:Attribution userId="S::mc.caraballo@uniandes.edu.co::365928a4-ac9b-4cb7-8cff-0f2d693cc50f" userProvider="AD" userName="Maria Camila Caraballo"/>
        <t:Anchor>
          <t:Comment id="1184343662"/>
        </t:Anchor>
        <t:Assign userId="S::j.amayan@uniandes.edu.co::bfb348bb-1668-4fde-8ac3-4578df8354e2" userProvider="AD" userName="Javier Antonio Amaya Nieto"/>
      </t:Event>
      <t:Event id="{A0F827F9-2ADB-4D63-9F6D-F27DAB707364}" time="2025-10-27T19:16:21.425Z">
        <t:Attribution userId="S::mc.caraballo@uniandes.edu.co::365928a4-ac9b-4cb7-8cff-0f2d693cc50f" userProvider="AD" userName="Maria Camila Caraballo"/>
        <t:Anchor>
          <t:Comment id="1184343662"/>
        </t:Anchor>
        <t:SetTitle title="@Javier Antonio Amaya Nieto Plantear supuestos con base en la prueba de hipótesis discutida, realizar el calculo y presentar los resultados"/>
      </t:Event>
    </t:History>
  </t:Task>
  <t:Task id="{752F0703-FB98-41BD-910B-6DD75C2E9EDF}">
    <t:Anchor>
      <t:Comment id="1838929026"/>
    </t:Anchor>
    <t:History>
      <t:Event id="{3D7C2378-7658-4D6F-B1CD-60A3453D2565}" time="2025-10-27T19:13:34.247Z">
        <t:Attribution userId="S::mc.caraballo@uniandes.edu.co::365928a4-ac9b-4cb7-8cff-0f2d693cc50f" userProvider="AD" userName="Maria Camila Caraballo"/>
        <t:Anchor>
          <t:Comment id="1838929026"/>
        </t:Anchor>
        <t:Create/>
      </t:Event>
      <t:Event id="{A4BDD430-56A1-4832-A9A9-842D8760AB1C}" time="2025-10-27T19:13:34.247Z">
        <t:Attribution userId="S::mc.caraballo@uniandes.edu.co::365928a4-ac9b-4cb7-8cff-0f2d693cc50f" userProvider="AD" userName="Maria Camila Caraballo"/>
        <t:Anchor>
          <t:Comment id="1838929026"/>
        </t:Anchor>
        <t:Assign userId="S::mc.caraballo@uniandes.edu.co::365928a4-ac9b-4cb7-8cff-0f2d693cc50f" userProvider="AD" userName="Maria Camila Caraballo"/>
      </t:Event>
      <t:Event id="{D208A1A6-3824-4AFE-ACFC-F206D8CEF53B}" time="2025-10-27T19:13:34.247Z">
        <t:Attribution userId="S::mc.caraballo@uniandes.edu.co::365928a4-ac9b-4cb7-8cff-0f2d693cc50f" userProvider="AD" userName="Maria Camila Caraballo"/>
        <t:Anchor>
          <t:Comment id="1838929026"/>
        </t:Anchor>
        <t:SetTitle title="@Maria Camila Caraballo Encargada de plantear la hipotesis respondiendo a estos tres puntos principales junto con la justificacion teorica del hecho estilizado"/>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7</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8</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9</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10</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11</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12</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13</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14</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15</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16</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17</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18</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19</b:RefOrder>
  </b:Source>
  <b:Source>
    <b:Tag>Sin15</b:Tag>
    <b:SourceType>JournalArticle</b:SourceType>
    <b:Guid>{6A00003B-4024-4185-BD14-8AC7DC4B3339}</b:Guid>
    <b:Title>Global, Regional and National Consumption of Sugar Sweetened Beveragesm Fuit Juices and Milk: A systematic assessment of beverage intake in 187 countries</b:Title>
    <b:JournalName>Plos One</b:JournalName>
    <b:Year>2015</b:Year>
    <b:Author>
      <b:Author>
        <b:NameList>
          <b:Person>
            <b:Last>Singh</b:Last>
            <b:First>GM</b:First>
          </b:Person>
          <b:Person>
            <b:Last>Khartibzadeh </b:Last>
            <b:First>Micha</b:First>
          </b:Person>
          <b:Person>
            <b:Last>Shi</b:Last>
            <b:Middle>P</b:Middle>
          </b:Person>
          <b:Person>
            <b:Last>Lim</b:Last>
            <b:First>S</b:First>
          </b:Person>
          <b:Person>
            <b:Last>Andrews </b:Last>
            <b:First>KG</b:First>
          </b:Person>
        </b:NameList>
      </b:Author>
    </b:Author>
    <b:LCID>en-US</b:LCID>
    <b:RefOrder>1</b:RefOrder>
  </b:Source>
  <b:Source>
    <b:Tag>Org15</b:Tag>
    <b:SourceType>JournalArticle</b:SourceType>
    <b:Guid>{A5177375-AD03-4E32-8B2D-5C4EF8C17CF7}</b:Guid>
    <b:Author>
      <b:Author>
        <b:Corporate>Organización Mundial de la Salud</b:Corporate>
      </b:Author>
    </b:Author>
    <b:Title>Nota informativa sobre la ingesta de azúcares recomendada en la directriz de la OMS para adultos y niños </b:Title>
    <b:JournalName>
		</b:JournalName>
    <b:Year>2015</b:Year>
    <b:RefOrder>2</b:RefOrder>
  </b:Source>
  <b:Source>
    <b:Tag>Lar25</b:Tag>
    <b:SourceType>JournalArticle</b:SourceType>
    <b:Guid>{699B37EF-8ED8-48DD-B18B-0F79DD623843}</b:Guid>
    <b:Title>Burdens of type 2 diabetes and cardiovascular disease attributable to sugar-sweetened beverages in 184 countries</b:Title>
    <b:JournalName>Nature Medicine</b:JournalName>
    <b:Year>2025</b:Year>
    <b:Author>
      <b:Author>
        <b:NameList>
          <b:Person>
            <b:Last>Lara-Castor</b:Last>
            <b:First>L</b:First>
          </b:Person>
          <b:Person>
            <b:Last>O'Hearn</b:Last>
            <b:First>M</b:First>
          </b:Person>
          <b:Person>
            <b:Last>Cudhea</b:Last>
            <b:First>F</b:First>
          </b:Person>
        </b:NameList>
      </b:Author>
    </b:Author>
    <b:RefOrder>3</b:RefOrder>
  </b:Source>
  <b:Source>
    <b:Tag>Min23</b:Tag>
    <b:SourceType>Report</b:SourceType>
    <b:Guid>{4F1C7564-587B-4D85-95F6-10A820843DB2}</b:Guid>
    <b:Title>Impuesto saludable: Impuesto a las bebidas ultraprocesadas azucaradas y a los alimentos ultraprocesados</b:Title>
    <b:Year>2023</b:Year>
    <b:Author>
      <b:Author>
        <b:Corporate>Ministerio de Salud y Protección Social</b:Corporate>
      </b:Author>
    </b:Author>
    <b:Publisher>Ministerio de Salud y Protección Social de Colombia.</b:Publisher>
    <b:RefOrder>4</b:RefOrder>
  </b:Source>
  <b:Source>
    <b:Tag>Wan06</b:Tag>
    <b:SourceType>Report</b:SourceType>
    <b:Guid>{804B65DA-6859-4CED-8B91-B05BCAF313EF}</b:Guid>
    <b:Title>Alcohol and sudden cardiac death: Evidence from the British Regional Heart Study</b:Title>
    <b:Year>2006</b:Year>
    <b:Author>
      <b:Author>
        <b:NameList>
          <b:Person>
            <b:Last>Wannamethee</b:Last>
            <b:First>S</b:First>
          </b:Person>
          <b:Person>
            <b:Last>Shaper</b:Last>
            <b:First>G</b:First>
          </b:Person>
          <b:Person>
            <b:Last>Whincup</b:Last>
            <b:First>P</b:First>
          </b:Person>
        </b:NameList>
      </b:Author>
    </b:Author>
    <b:RefOrder>5</b:RefOrder>
  </b:Source>
  <b:Source>
    <b:Tag>Cou00</b:Tag>
    <b:SourceType>JournalArticle</b:SourceType>
    <b:Guid>{FFCFD382-1411-4D88-94B0-8B32B0CAC593}</b:Guid>
    <b:Title>Constructions of masculinity and their influence on men's well-being: a theory of gender and health</b:Title>
    <b:Year>2000</b:Year>
    <b:Author>
      <b:Author>
        <b:NameList>
          <b:Person>
            <b:Last>Courtenay</b:Last>
            <b:First>W.</b:First>
            <b:Middle>H</b:Middle>
          </b:Person>
        </b:NameList>
      </b:Author>
    </b:Author>
    <b:JournalName>Social Science &amp; Medicine</b:JournalName>
    <b:RefOrder>6</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2.xml><?xml version="1.0" encoding="utf-8"?>
<ds:datastoreItem xmlns:ds="http://schemas.openxmlformats.org/officeDocument/2006/customXml" ds:itemID="{127223A1-162E-4FF4-8051-43299B3D488D}">
  <ds:schemaRefs>
    <ds:schemaRef ds:uri="http://schemas.openxmlformats.org/officeDocument/2006/bibliography"/>
  </ds:schemaRefs>
</ds:datastoreItem>
</file>

<file path=customXml/itemProps3.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EC8ACFF-BCAF-4463-908E-F1BF04A938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1635</TotalTime>
  <Pages>9</Pages>
  <Words>1913</Words>
  <Characters>10525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Laura Sarif Rivera Sanabria</cp:lastModifiedBy>
  <cp:revision>364</cp:revision>
  <cp:lastPrinted>2025-10-20T02:24:00Z</cp:lastPrinted>
  <dcterms:created xsi:type="dcterms:W3CDTF">2025-10-20T02:23:00Z</dcterms:created>
  <dcterms:modified xsi:type="dcterms:W3CDTF">2025-11-27T23:11:00Z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