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" w:tblpY="1004"/>
        <w:tblW w:w="123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8"/>
        <w:gridCol w:w="6188"/>
      </w:tblGrid>
      <w:tr w:rsidR="000A50A2" w:rsidRPr="000A50A2" w:rsidTr="000A50A2">
        <w:trPr>
          <w:trHeight w:val="14100"/>
        </w:trPr>
        <w:tc>
          <w:tcPr>
            <w:tcW w:w="618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A50A2" w:rsidRPr="000A50A2" w:rsidRDefault="000A50A2" w:rsidP="000A50A2">
            <w:pPr>
              <w:spacing w:before="150" w:after="150" w:line="240" w:lineRule="auto"/>
              <w:outlineLvl w:val="3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IN"/>
              </w:rPr>
              <w:fldChar w:fldCharType="begin"/>
            </w:r>
            <w:r w:rsidRPr="000A50A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IN"/>
              </w:rPr>
              <w:instrText xml:space="preserve"> HYPERLINK "https://reviews.financesonline.com/p/qlik-sense/" </w:instrText>
            </w:r>
            <w:r w:rsidRPr="000A50A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IN"/>
              </w:rPr>
              <w:fldChar w:fldCharType="separate"/>
            </w:r>
            <w:proofErr w:type="spellStart"/>
            <w:r w:rsidRPr="000A50A2">
              <w:rPr>
                <w:rFonts w:ascii="Trebuchet MS" w:eastAsia="Times New Roman" w:hAnsi="Trebuchet MS" w:cs="Times New Roman"/>
                <w:color w:val="428BCA"/>
                <w:sz w:val="27"/>
                <w:szCs w:val="27"/>
                <w:lang w:eastAsia="en-IN"/>
              </w:rPr>
              <w:t>Qlik</w:t>
            </w:r>
            <w:proofErr w:type="spellEnd"/>
            <w:r w:rsidRPr="000A50A2">
              <w:rPr>
                <w:rFonts w:ascii="Trebuchet MS" w:eastAsia="Times New Roman" w:hAnsi="Trebuchet MS" w:cs="Times New Roman"/>
                <w:color w:val="428BCA"/>
                <w:sz w:val="27"/>
                <w:szCs w:val="27"/>
                <w:lang w:eastAsia="en-IN"/>
              </w:rPr>
              <w:t xml:space="preserve"> Sense FEATURES</w:t>
            </w:r>
            <w:r w:rsidRPr="000A50A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IN"/>
              </w:rPr>
              <w:fldChar w:fldCharType="end"/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Drag-and-drop visualizations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Smart Search feature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Fast and reliable connections to multiple data sources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Access to real-time analytics anytime, anywhere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Data storytelling functionality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Self-service simplicity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Shared Object Library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Progressive Creation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Managed Data Connections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Rapid Development Environment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Powerful Open and Standard APIs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Multi-source data integration including big data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Manageability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Enterprise-level security</w:t>
            </w:r>
          </w:p>
          <w:p w:rsidR="000A50A2" w:rsidRPr="000A50A2" w:rsidRDefault="000A50A2" w:rsidP="000A50A2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Scalability</w:t>
            </w:r>
          </w:p>
          <w:p w:rsidR="000A50A2" w:rsidRPr="000A50A2" w:rsidRDefault="000A50A2" w:rsidP="000A50A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Show Less</w:t>
            </w:r>
          </w:p>
        </w:tc>
        <w:tc>
          <w:tcPr>
            <w:tcW w:w="618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A50A2" w:rsidRPr="000A50A2" w:rsidRDefault="000A50A2" w:rsidP="000A50A2">
            <w:pPr>
              <w:spacing w:before="150" w:after="150" w:line="240" w:lineRule="auto"/>
              <w:outlineLvl w:val="3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IN"/>
              </w:rPr>
            </w:pPr>
            <w:hyperlink r:id="rId5" w:history="1">
              <w:r w:rsidRPr="000A50A2">
                <w:rPr>
                  <w:rFonts w:ascii="Trebuchet MS" w:eastAsia="Times New Roman" w:hAnsi="Trebuchet MS" w:cs="Times New Roman"/>
                  <w:color w:val="428BCA"/>
                  <w:sz w:val="27"/>
                  <w:szCs w:val="27"/>
                  <w:lang w:eastAsia="en-IN"/>
                </w:rPr>
                <w:t>Tableau FEATURES</w:t>
              </w:r>
            </w:hyperlink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Patented technology from Stanford University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Toggle view and drag-and-drop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List of native data connectors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Highlight and filter data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Share dashboards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Embed dashboards within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Mobile-ready dashboards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Data notifications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Tableau Reader for data viewing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Dashboard commenting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Create “no-code” data queries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Translate queries to visualizations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Import all ranges and sizes of data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Create interactive dashboards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String insights into a guided story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Metadata management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Automatic updates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Security permissions at any level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Tableau Public for data sharing</w:t>
            </w:r>
          </w:p>
          <w:p w:rsidR="000A50A2" w:rsidRPr="000A50A2" w:rsidRDefault="000A50A2" w:rsidP="000A50A2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 w:rsidRPr="000A50A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Server REST API</w:t>
            </w:r>
          </w:p>
        </w:tc>
      </w:tr>
    </w:tbl>
    <w:p w:rsidR="006F771A" w:rsidRDefault="006F771A" w:rsidP="000A50A2">
      <w:bookmarkStart w:id="0" w:name="_GoBack"/>
      <w:bookmarkEnd w:id="0"/>
    </w:p>
    <w:sectPr w:rsidR="006F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A0287"/>
    <w:multiLevelType w:val="multilevel"/>
    <w:tmpl w:val="537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4E1C"/>
    <w:multiLevelType w:val="multilevel"/>
    <w:tmpl w:val="8DC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32"/>
    <w:rsid w:val="000A50A2"/>
    <w:rsid w:val="006F771A"/>
    <w:rsid w:val="0083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ABD4B-B2BC-47F3-B2B4-B8850753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5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0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50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5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s.financesonline.com/p/tableau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2017-08-09T15:38:00Z</dcterms:created>
  <dcterms:modified xsi:type="dcterms:W3CDTF">2017-08-09T15:40:00Z</dcterms:modified>
</cp:coreProperties>
</file>