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Zeebe Load Test — 500 PI/s Realistic BPMN</w:t>
      </w:r>
    </w:p>
    <w:p>
      <w:pPr>
        <w:jc w:val="center"/>
      </w:pPr>
      <w:r>
        <w:rPr>
          <w:color w:val="606060"/>
          <w:sz w:val="20"/>
        </w:rPr>
        <w:t>Scenario: realistic (bankCustomerComplaintDisputeHandling.bpmn)  |  Optimize: disabled  |  Date: 2026-04-30</w:t>
      </w:r>
    </w:p>
    <w:p/>
    <w:p>
      <w:pPr>
        <w:spacing w:before="240" w:after="80"/>
      </w:pPr>
      <w:r>
        <w:rPr>
          <w:b/>
          <w:color w:val="1F4E79"/>
          <w:sz w:val="28"/>
        </w:rPr>
        <w:t>1. Base Configuration (camunda-platform-values.yaml defaults)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6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2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 Value</w:t>
            </w:r>
          </w:p>
        </w:tc>
        <w:tc>
          <w:tcPr>
            <w:tcW w:type="dxa" w:w="446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 / Notes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Zeebe Broker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clusterSize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Number of broker pods (each is one Zeebe engine instance)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Zeebe Broker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partitionCount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Independent parallel processing streams; more = higher throughput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Zeebe Broker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replicationFactor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Each partition is stored on all 3 brokers for durability (Raft)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Zeebe Broker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cpuThreadCount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Threads per broker for processing BPMN commands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Zeebe Broker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ioThreadCount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Threads per broker for writing records to Elasticsearch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Zeebe Broker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resources.cpu (req/limit)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3000m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3 cores per broker pod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Zeebe Broker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resources.memory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2Gi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Memory per broker pod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Zeebe Broker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flowControl.write.limit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10 000 rec/s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Max records/s before Zeebe throttles itself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Zeebe Broker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consistencyChecks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Disabled in stress runs via camunda-platform-override-values.yaml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Elasticsearch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replicaCount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3 ES nodes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Elasticsearch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heapSize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3g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JVM heap per ES node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Elasticsearch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resources.cpu (req/limit)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7000m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7 cores per ES node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Elasticsearch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resources.memory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8Gi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Memory per ES node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Workers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customer-notification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replica, cap 30, 300ms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Sends notification and correlates message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Workers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extract-data-from-document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replica, cap 30, 300ms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Stores info / gets customer data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Workers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dispute-process-request-proof-from-vendor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replica, cap 60, 300ms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Requests vendor proof, correlates message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Workers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dispute-process-request-get-vendor-info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replica, cap 30, 10ms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Fast lookup — 10ms delay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Workers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refunding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replica, cap 30, 300ms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Processes refund payment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Workers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inform-about-successful-claim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replica, cap 30, 300ms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Informs customer of outcome</w:t>
            </w:r>
          </w:p>
        </w:tc>
      </w:tr>
      <w:tr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Starter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rate (default)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PI/s</w:t>
            </w:r>
          </w:p>
        </w:tc>
        <w:tc>
          <w:tcPr>
            <w:tcW w:type="dxa" w:w="24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Overridden to 500 in all runs via --set starter.rate=500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Starter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processId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bankDisputeHandling</w:t>
            </w:r>
          </w:p>
        </w:tc>
        <w:tc>
          <w:tcPr>
            <w:tcW w:type="dxa" w:w="24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Realistic multi-step BPMN (~100 commands/PI)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8"/>
        </w:rPr>
        <w:t>2. Run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592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58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Base Default</w:t>
            </w:r>
          </w:p>
        </w:tc>
        <w:tc>
          <w:tcPr>
            <w:tcW w:type="dxa" w:w="158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Run 1</w:t>
            </w:r>
          </w:p>
        </w:tc>
        <w:tc>
          <w:tcPr>
            <w:tcW w:type="dxa" w:w="158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Run 2</w:t>
            </w:r>
          </w:p>
        </w:tc>
        <w:tc>
          <w:tcPr>
            <w:tcW w:type="dxa" w:w="158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Run 3</w:t>
            </w:r>
          </w:p>
        </w:tc>
        <w:tc>
          <w:tcPr>
            <w:tcW w:type="dxa" w:w="374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Insight</w:t>
            </w:r>
          </w:p>
        </w:tc>
      </w:tr>
      <w:tr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/>
            <w:r>
              <w:rPr>
                <w:b/>
                <w:color w:val="FFFFFF"/>
                <w:sz w:val="18"/>
              </w:rPr>
              <w:t>ZEEBE BROKER</w:t>
            </w:r>
          </w:p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partitionCount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Doubling partitions (Run 2) was the single biggest improvement — each partition is an independent processing lane</w:t>
            </w:r>
          </w:p>
        </w:tc>
      </w:tr>
      <w:tr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cpuThreadCount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Matched to partition count so each leader has dedicated thread capacity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ioThreadCount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Unchanged — ES exporter is not the bottleneck in any run</w:t>
            </w:r>
          </w:p>
        </w:tc>
      </w:tr>
      <w:tr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resources.cpu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3000m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3000m</w:t>
            </w:r>
          </w:p>
        </w:tc>
        <w:tc>
          <w:tcPr>
            <w:tcW w:type="dxa" w:w="165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6000m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6000m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Doubled CPU budget so the extra CPU threads have actual compute available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resources.memory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2Gi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2Gi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2Gi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2Gi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Not a bottleneck — unchanged</w:t>
            </w:r>
          </w:p>
        </w:tc>
      </w:tr>
      <w:tr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consistencyChecks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165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disabled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disabled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disabled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Disabled in all runs via override file to remove overhead during stress testing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flowControl.write.limit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10 000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10 000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10 000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10 000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Not reached in any run — backpressure triggered before this ceiling</w:t>
            </w:r>
          </w:p>
        </w:tc>
      </w:tr>
      <w:tr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/>
            <w:r>
              <w:rPr>
                <w:b/>
                <w:color w:val="FFFFFF"/>
                <w:sz w:val="18"/>
              </w:rPr>
              <w:t>WORKERS (all types)</w:t>
            </w:r>
          </w:p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</w:tr>
      <w:tr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replicas (per worker type)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5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Scaled in Run 3 — 5 replicas × cap 30 / 300ms = ~500 completions/s per type theoretically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starter.rate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56"/>
            <w:shd w:val="clear" w:color="auto" w:fill="FFF2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Overridden in all runs via additional_load_test_configuration</w:t>
            </w:r>
          </w:p>
        </w:tc>
      </w:tr>
      <w:tr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/>
            <w:r>
              <w:rPr>
                <w:b/>
                <w:color w:val="FFFFFF"/>
                <w:sz w:val="18"/>
              </w:rPr>
              <w:t>OBSERVED RESULTS</w:t>
            </w:r>
          </w:p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  <w:tc>
          <w:tcPr>
            <w:tcW w:type="dxa" w:w="16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/>
        </w:tc>
      </w:tr>
      <w:tr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Peak PI/s (activated)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~0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~86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~58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Run 2 improvement from 3→6 partitions. Run 3 lower — partition change unconfirmed, still in progress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Backpressure limit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15–40 (oscillating)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75–100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50–60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Run 1 never recovered. Run 2 stable. Run 3 settling — load still ramping</w:t>
            </w:r>
          </w:p>
        </w:tc>
      </w:tr>
      <w:tr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Leader elections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Continuous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at startup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Run 1 had repeated elections from chronic overload. Run 2 had one from leader-balancer restarts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Job completion/s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~22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~22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~25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Worker bottleneck — gap between job creation (~328/s) and completion (~22–25/s) unchanged across all runs</w:t>
            </w:r>
          </w:p>
        </w:tc>
      </w:tr>
      <w:tr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PI completions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65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65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65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No end-to-end PI completions in any run — worker backlog prevents instances from progressing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sz w:val="18"/>
              </w:rPr>
              <w:t>ES health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Green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Green</w:t>
            </w:r>
          </w:p>
        </w:tc>
        <w:tc>
          <w:tcPr>
            <w:tcW w:type="dxa" w:w="165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Green</w:t>
            </w:r>
          </w:p>
        </w:tc>
        <w:tc>
          <w:tcPr>
            <w:tcW w:type="dxa" w:w="16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 w:val="0"/>
                <w:sz w:val="18"/>
              </w:rPr>
              <w:t>ES is not the bottleneck in any run — no rejections, heap comfortable, no queue buildup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8"/>
        </w:rPr>
        <w:t>3. Key Findings &amp; Next Steps</w:t>
      </w:r>
    </w:p>
    <w:p>
      <w:pPr>
        <w:spacing w:before="80"/>
      </w:pPr>
      <w:r>
        <w:rPr>
          <w:b/>
          <w:sz w:val="20"/>
        </w:rPr>
        <w:t xml:space="preserve">• ES is not the bottleneck: </w:t>
      </w:r>
      <w:r>
        <w:rPr>
          <w:sz w:val="20"/>
        </w:rPr>
        <w:t>In all three runs the ES cluster stayed green, heap usage stayed below 50%, no thread pool rejections. ES has significant headroom at the throughput levels Zeebe actually achieved.</w:t>
      </w:r>
    </w:p>
    <w:p>
      <w:pPr>
        <w:spacing w:before="80"/>
      </w:pPr>
      <w:r>
        <w:rPr>
          <w:b/>
          <w:sz w:val="20"/>
        </w:rPr>
        <w:t xml:space="preserve">• Zeebe partition count is the primary throughput lever: </w:t>
      </w:r>
      <w:r>
        <w:rPr>
          <w:sz w:val="20"/>
        </w:rPr>
        <w:t>Going from 3 to 6 partitions improved sustained PI/s from ~0 to ~86. Each partition is a serial processing lane — more partitions = linear scale-out. The next step is confirming 6 partitions are active and testing 9 or 12 if needed.</w:t>
      </w:r>
    </w:p>
    <w:p>
      <w:pPr>
        <w:spacing w:before="80"/>
      </w:pPr>
      <w:r>
        <w:rPr>
          <w:b/>
          <w:sz w:val="20"/>
        </w:rPr>
        <w:t xml:space="preserve">• Worker throughput is an unresolved bottleneck: </w:t>
      </w:r>
      <w:r>
        <w:rPr>
          <w:sz w:val="20"/>
        </w:rPr>
        <w:t>Job creation (~328–348/s) consistently outpaces completion (~22–25/s) across all runs. No process instances have completed end-to-end. Workers need further investigation — either capacity settings, replica counts, or the helm --set path for worker scaling needs verification.</w:t>
      </w:r>
    </w:p>
    <w:p>
      <w:pPr>
        <w:spacing w:before="80"/>
      </w:pPr>
      <w:r>
        <w:rPr>
          <w:b/>
          <w:sz w:val="20"/>
        </w:rPr>
        <w:t xml:space="preserve">• Leader elections destabilise the cluster: </w:t>
      </w:r>
      <w:r>
        <w:rPr>
          <w:sz w:val="20"/>
        </w:rPr>
        <w:t>Run 1 had continuous elections from chronic overload. Run 2 had one at startup from the leader-balancer job restarting 5 times. Stable leadership is required for steady-state throughput measurement.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