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b/>
          <w:color w:val="64748B"/>
          <w:sz w:val="20"/>
        </w:rPr>
        <w:t>RÉPUBLIQUE DU COMMERCE &amp; ENTREPRENEURIAT MODERNE</w:t>
        <w:br/>
        <w:t>MANUEL OFFICIEL D'EXPLOITATION OPÉRATIONNELLE</w:t>
      </w:r>
    </w:p>
    <w:p>
      <w:pPr>
        <w:spacing w:before="800" w:after="160"/>
      </w:pPr>
      <w:r>
        <w:rPr>
          <w:rFonts w:ascii="Arial" w:hAnsi="Arial"/>
          <w:b/>
          <w:color w:val="059669"/>
          <w:sz w:val="72"/>
        </w:rPr>
        <w:t>COMMERCIA</w:t>
      </w:r>
    </w:p>
    <w:p>
      <w:pPr>
        <w:spacing w:before="0" w:after="480"/>
      </w:pPr>
      <w:r>
        <w:rPr>
          <w:rFonts w:ascii="Arial" w:hAnsi="Arial"/>
          <w:b/>
          <w:color w:val="1E293B"/>
          <w:sz w:val="40"/>
        </w:rPr>
        <w:t>CAHIER DE FONCTIONNEMENT TOTAL &amp;</w:t>
        <w:br/>
        <w:t>MANUEL D'UTILISATION EXHAUSTIF</w:t>
      </w:r>
    </w:p>
    <w:p>
      <w:pPr>
        <w:spacing w:before="240" w:after="600" w:line="300" w:lineRule="auto"/>
      </w:pPr>
      <w:r>
        <w:rPr>
          <w:color w:val="64748B"/>
          <w:sz w:val="22"/>
        </w:rPr>
        <w:t>Guide pratique complet décrivant chaque module, chaque règle financière, chaque bouton et chaque flux de travail jusqu'au moindre détail.</w:t>
        <w:br/>
        <w:t>Comprend des exemples concrets en FCFA, des études de cas pas-à-pas, la gestion de caisse, des stocks, des crédits clients, des lots de marchandises et le pilotage par Copilote IA.</w:t>
      </w:r>
    </w:p>
    <w:tbl>
      <w:tblPr>
        <w:tblW w:type="auto" w:w="0"/>
        <w:jc w:val="center"/>
        <w:tblLayout w:type="fixed"/>
        <w:tblLook w:firstColumn="1" w:firstRow="1" w:lastColumn="0" w:lastRow="0" w:noHBand="0" w:noVBand="1" w:val="04A0"/>
      </w:tblPr>
      <w:tblGrid>
        <w:gridCol w:w="9936"/>
      </w:tblGrid>
      <w:tr>
        <w:tc>
          <w:tcPr>
            <w:tcW w:type="dxa" w:w="9792"/>
            <w:shd w:fill="ECFDF5"/>
            <w:tcMar>
              <w:top w:w="140" w:type="dxa"/>
              <w:bottom w:w="140" w:type="dxa"/>
              <w:left w:w="200" w:type="dxa"/>
              <w:right w:w="180" w:type="dxa"/>
            </w:tcMar>
            <w:tcBorders>
              <w:left w:val="single" w:sz="36" w:space="0" w:color="059669"/>
              <w:top w:val="none"/>
              <w:right w:val="none"/>
              <w:bottom w:val="none"/>
            </w:tcBorders>
          </w:tcPr>
          <w:p>
            <w:pPr>
              <w:spacing w:before="40" w:after="80"/>
            </w:pPr>
            <w:r>
              <w:rPr>
                <w:rFonts w:ascii="Arial" w:hAnsi="Arial"/>
                <w:b/>
                <w:color w:val="059669"/>
                <w:sz w:val="21"/>
              </w:rPr>
              <w:t>📌 ENGAGEMENT PÉDAGOGIQUE</w:t>
              <w:br/>
            </w:r>
            <w:r>
              <w:rPr>
                <w:rFonts w:ascii="Arial" w:hAnsi="Arial"/>
                <w:color w:val="334155"/>
                <w:sz w:val="19"/>
              </w:rPr>
              <w:t>Ce manuel a été rédigé avec une volonté de clarté absolue : aucun terme technique n'est laissé sans explication simple. Que vous soyez caissier débutant, commerçant de quartier, gérant de magasin, grossiste ou importateur, ce guide vous montre précisément comment sécuriser chaque franc, stopper les fuites d'argent et faire fructifier votre entreprise.</w:t>
            </w:r>
          </w:p>
        </w:tc>
      </w:tr>
    </w:tbl>
    <w:p>
      <w:pPr>
        <w:spacing w:after="120"/>
      </w:pPr>
    </w:p>
    <w:p>
      <w:r>
        <w:br w:type="page"/>
      </w:r>
    </w:p>
    <w:p>
      <w:pPr>
        <w:keepNext/>
        <w:spacing w:before="480" w:after="160"/>
      </w:pPr>
      <w:r>
        <w:rPr>
          <w:rFonts w:ascii="Arial" w:hAnsi="Arial"/>
          <w:b/>
          <w:color w:val="059669"/>
          <w:sz w:val="34"/>
        </w:rPr>
        <w:t>TABLE DES MATIÈRES</w:t>
      </w:r>
    </w:p>
    <w:p>
      <w:pPr>
        <w:spacing w:before="0" w:after="240"/>
      </w:pPr>
      <w:r>
        <w:rPr>
          <w:color w:val="059669"/>
          <w:sz w:val="22"/>
        </w:rPr>
        <w:t>―――――――――――――――――――――――――――――――――――――――――――――――――――――――</w:t>
      </w:r>
    </w:p>
    <w:p>
      <w:pPr>
        <w:spacing w:before="40" w:after="80"/>
      </w:pPr>
      <w:r>
        <w:rPr>
          <w:b/>
          <w:color w:val="059669"/>
        </w:rPr>
        <w:t xml:space="preserve">CHAPITRE 1 : </w:t>
      </w:r>
      <w:r>
        <w:rPr>
          <w:color w:val="1E293B"/>
        </w:rPr>
        <w:t>Introduction, Vision et Fondamentaux Financiers</w:t>
      </w:r>
    </w:p>
    <w:p>
      <w:pPr>
        <w:spacing w:before="40" w:after="80"/>
      </w:pPr>
      <w:r>
        <w:rPr>
          <w:b/>
          <w:color w:val="059669"/>
        </w:rPr>
        <w:t xml:space="preserve">CHAPITRE 2 : </w:t>
      </w:r>
      <w:r>
        <w:rPr>
          <w:color w:val="1E293B"/>
        </w:rPr>
        <w:t>Inscription, Configuration Initiale (Onboarding en 5 Étapes)</w:t>
      </w:r>
    </w:p>
    <w:p>
      <w:pPr>
        <w:spacing w:before="40" w:after="80"/>
      </w:pPr>
      <w:r>
        <w:rPr>
          <w:b/>
          <w:color w:val="059669"/>
        </w:rPr>
        <w:t xml:space="preserve">CHAPITRE 3 : </w:t>
      </w:r>
      <w:r>
        <w:rPr>
          <w:color w:val="1E293B"/>
        </w:rPr>
        <w:t>Le Tableau de Bord (Dashboard) : Le Cockpit Décisionnel</w:t>
      </w:r>
    </w:p>
    <w:p>
      <w:pPr>
        <w:spacing w:before="40" w:after="80"/>
      </w:pPr>
      <w:r>
        <w:rPr>
          <w:b/>
          <w:color w:val="059669"/>
        </w:rPr>
        <w:t xml:space="preserve">CHAPITRE 4 : </w:t>
      </w:r>
      <w:r>
        <w:rPr>
          <w:color w:val="1E293B"/>
        </w:rPr>
        <w:t>Le Module Ventes &amp; Point de Vente au Comptoir</w:t>
      </w:r>
    </w:p>
    <w:p>
      <w:pPr>
        <w:spacing w:before="40" w:after="80"/>
      </w:pPr>
      <w:r>
        <w:rPr>
          <w:b/>
          <w:color w:val="059669"/>
        </w:rPr>
        <w:t xml:space="preserve">CHAPITRE 5 : </w:t>
      </w:r>
      <w:r>
        <w:rPr>
          <w:color w:val="1E293B"/>
        </w:rPr>
        <w:t>La Caisse Journalière : Contrôle Physique &amp; Clôture Rigoureuse</w:t>
      </w:r>
    </w:p>
    <w:p>
      <w:pPr>
        <w:spacing w:before="40" w:after="80"/>
      </w:pPr>
      <w:r>
        <w:rPr>
          <w:b/>
          <w:color w:val="059669"/>
        </w:rPr>
        <w:t xml:space="preserve">CHAPITRE 6 : </w:t>
      </w:r>
      <w:r>
        <w:rPr>
          <w:color w:val="1E293B"/>
        </w:rPr>
        <w:t>Gestion des Dépenses &amp; Maîtrise des Charges d'Exploitation</w:t>
      </w:r>
    </w:p>
    <w:p>
      <w:pPr>
        <w:spacing w:before="40" w:after="80"/>
      </w:pPr>
      <w:r>
        <w:rPr>
          <w:b/>
          <w:color w:val="059669"/>
        </w:rPr>
        <w:t xml:space="preserve">CHAPITRE 7 : </w:t>
      </w:r>
      <w:r>
        <w:rPr>
          <w:color w:val="1E293B"/>
        </w:rPr>
        <w:t>Gestion des Produits, des Stocks et Réapprovisionnements</w:t>
      </w:r>
    </w:p>
    <w:p>
      <w:pPr>
        <w:spacing w:before="40" w:after="80"/>
      </w:pPr>
      <w:r>
        <w:rPr>
          <w:b/>
          <w:color w:val="059669"/>
        </w:rPr>
        <w:t xml:space="preserve">CHAPITRE 8 : </w:t>
      </w:r>
      <w:r>
        <w:rPr>
          <w:color w:val="1E293B"/>
        </w:rPr>
        <w:t>Carnet de Crédits Clients &amp; Recouvrement des Impayés</w:t>
      </w:r>
    </w:p>
    <w:p>
      <w:pPr>
        <w:spacing w:before="40" w:after="80"/>
      </w:pPr>
      <w:r>
        <w:rPr>
          <w:b/>
          <w:color w:val="059669"/>
        </w:rPr>
        <w:t xml:space="preserve">CHAPITRE 9 : </w:t>
      </w:r>
      <w:r>
        <w:rPr>
          <w:color w:val="1E293B"/>
        </w:rPr>
        <w:t>Espace Pro : Gestion des Lots Commerciaux (Ballots, Friperie, Conteneurs)</w:t>
      </w:r>
    </w:p>
    <w:p>
      <w:pPr>
        <w:spacing w:before="40" w:after="80"/>
      </w:pPr>
      <w:r>
        <w:rPr>
          <w:b/>
          <w:color w:val="059669"/>
        </w:rPr>
        <w:t xml:space="preserve">CHAPITRE 10 : </w:t>
      </w:r>
      <w:r>
        <w:rPr>
          <w:color w:val="1E293B"/>
        </w:rPr>
        <w:t>Espace Pro : Croissance Marketing, Canaux Publicitaires &amp; CAC</w:t>
      </w:r>
    </w:p>
    <w:p>
      <w:pPr>
        <w:spacing w:before="40" w:after="80"/>
      </w:pPr>
      <w:r>
        <w:rPr>
          <w:b/>
          <w:color w:val="059669"/>
        </w:rPr>
        <w:t xml:space="preserve">CHAPITRE 11 : </w:t>
      </w:r>
      <w:r>
        <w:rPr>
          <w:color w:val="1E293B"/>
        </w:rPr>
        <w:t>Espace Pro : Trésorerie Prévisionnelle &amp; Anticipation des Pénuries</w:t>
      </w:r>
    </w:p>
    <w:p>
      <w:pPr>
        <w:spacing w:before="40" w:after="80"/>
      </w:pPr>
      <w:r>
        <w:rPr>
          <w:b/>
          <w:color w:val="059669"/>
        </w:rPr>
        <w:t xml:space="preserve">CHAPITRE 12 : </w:t>
      </w:r>
      <w:r>
        <w:rPr>
          <w:color w:val="1E293B"/>
        </w:rPr>
        <w:t>Espace Pro : Gestion des Livraisons, Colis et Paiements à la Livraison</w:t>
      </w:r>
    </w:p>
    <w:p>
      <w:pPr>
        <w:spacing w:before="40" w:after="80"/>
      </w:pPr>
      <w:r>
        <w:rPr>
          <w:b/>
          <w:color w:val="059669"/>
        </w:rPr>
        <w:t xml:space="preserve">CHAPITRE 13 : </w:t>
      </w:r>
      <w:r>
        <w:rPr>
          <w:color w:val="1E293B"/>
        </w:rPr>
        <w:t>Le Copilote IA COMMERCIA : Votre Conseiller Financier 24h/24</w:t>
      </w:r>
    </w:p>
    <w:p>
      <w:pPr>
        <w:spacing w:before="40" w:after="80"/>
      </w:pPr>
      <w:r>
        <w:rPr>
          <w:b/>
          <w:color w:val="059669"/>
        </w:rPr>
        <w:t xml:space="preserve">CHAPITRE 14 : </w:t>
      </w:r>
      <w:r>
        <w:rPr>
          <w:color w:val="1E293B"/>
        </w:rPr>
        <w:t>Architecture Multi-Boutiques, Gestion d'Équipe, Sécurité &amp; Abonnements</w:t>
      </w:r>
    </w:p>
    <w:p>
      <w:pPr>
        <w:spacing w:before="40" w:after="80"/>
      </w:pPr>
      <w:r>
        <w:rPr>
          <w:b/>
          <w:color w:val="059669"/>
        </w:rPr>
        <w:t xml:space="preserve">ANNEXE : </w:t>
      </w:r>
      <w:r>
        <w:rPr>
          <w:color w:val="1E293B"/>
        </w:rPr>
        <w:t>Glossaire du Commerçant Moderne : Comprendre les Termes de A à Z</w:t>
      </w:r>
    </w:p>
    <w:p>
      <w:r>
        <w:br w:type="page"/>
      </w:r>
    </w:p>
    <w:p>
      <w:pPr>
        <w:keepNext/>
        <w:spacing w:before="480" w:after="160"/>
      </w:pPr>
      <w:r>
        <w:rPr>
          <w:rFonts w:ascii="Arial" w:hAnsi="Arial"/>
          <w:b/>
          <w:color w:val="059669"/>
          <w:sz w:val="34"/>
        </w:rPr>
        <w:t>CHAPITRE 1 : INTRODUCTION, VISION ET FONDAMENTAUX FINANCIERS</w:t>
      </w:r>
    </w:p>
    <w:p>
      <w:pPr>
        <w:spacing w:before="0" w:after="240"/>
      </w:pPr>
      <w:r>
        <w:rPr>
          <w:color w:val="059669"/>
          <w:sz w:val="22"/>
        </w:rPr>
        <w:t>―――――――――――――――――――――――――――――――――――――――――――――――――――――――</w:t>
      </w:r>
    </w:p>
    <w:p>
      <w:pPr>
        <w:keepNext/>
        <w:spacing w:before="320" w:after="120"/>
      </w:pPr>
      <w:r>
        <w:rPr>
          <w:rFonts w:ascii="Arial" w:hAnsi="Arial"/>
          <w:b/>
          <w:color w:val="1E293B"/>
          <w:sz w:val="26"/>
        </w:rPr>
        <w:t>1.1 Qu'est-ce que COMMERCIA ?</w:t>
      </w:r>
    </w:p>
    <w:p>
      <w:pPr>
        <w:spacing w:before="40" w:after="120" w:line="276" w:lineRule="auto"/>
      </w:pPr>
      <w:r>
        <w:rPr>
          <w:color w:val="1E293B"/>
        </w:rPr>
        <w:t>COMMERCIA est une application web et mobile de gestion commerciale et financière conçue spécifiquement pour répondre aux réalités économiques des commerçants, boutiques, prestataires et entrepreneurs du continent africain. Elle fonctionne avec les devises locales (FCFA XAF, FCFA XOF, Franc Guinéen GNF, Franc Congolais CDF, Euro € et Dollar $) et intègre nativement les moyens de paiement du quotidien : Espèces (Cash direct) et Mobile Money (Orange Money, MTN MoMo, Wave, Moov).</w:t>
      </w:r>
    </w:p>
    <w:p>
      <w:pPr>
        <w:keepNext/>
        <w:spacing w:before="320" w:after="120"/>
      </w:pPr>
      <w:r>
        <w:rPr>
          <w:rFonts w:ascii="Arial" w:hAnsi="Arial"/>
          <w:b/>
          <w:color w:val="1E293B"/>
          <w:sz w:val="26"/>
        </w:rPr>
        <w:t>1.2 Le Piège Mortel du Commerce Traditionnel : Chiffre d'Affaires vs Bénéfice Réel</w:t>
      </w:r>
    </w:p>
    <w:p>
      <w:pPr>
        <w:spacing w:before="40" w:after="120" w:line="276" w:lineRule="auto"/>
      </w:pPr>
      <w:r>
        <w:rPr>
          <w:color w:val="1E293B"/>
        </w:rPr>
        <w:t>La cause n°1 de fermeture des commerces après seulement 1 ou 2 ans d'existence est la confusion mortelle entre le Chiffre d'Affaires (l'argent encaissé) et le Bénéfice Net (ce qui reste réellement dans la poche du commerçant).</w:t>
      </w:r>
    </w:p>
    <w:p>
      <w:pPr>
        <w:pStyle w:val="ListBullet"/>
        <w:spacing w:before="20" w:after="60" w:line="276" w:lineRule="auto"/>
      </w:pPr>
      <w:r>
        <w:rPr>
          <w:b/>
          <w:color w:val="1E293B"/>
        </w:rPr>
        <w:t>C'est la totalité des sommes perçues par les ventes. Cet argent N'APPARTIENT PAS au commerçant. Une immense partie doit servir à payer les fournisseurs, le loyer, l'électricité, les emballages et les impôts.</w:t>
      </w:r>
      <w:r>
        <w:rPr>
          <w:color w:val="1E293B"/>
        </w:rPr>
        <w:t xml:space="preserve">Le Chiffre d'Affaires (CA) : </w:t>
      </w:r>
    </w:p>
    <w:p>
      <w:pPr>
        <w:pStyle w:val="ListBullet"/>
        <w:spacing w:before="20" w:after="60" w:line="276" w:lineRule="auto"/>
      </w:pPr>
      <w:r>
        <w:rPr>
          <w:b/>
          <w:color w:val="1E293B"/>
        </w:rPr>
        <w:t>C'est l'argent obligatoire pour racheter la marchandise vendue. Si vous dépensez cet argent pour votre vie personnelle, vos rayons se vident irrémédiablement.</w:t>
      </w:r>
      <w:r>
        <w:rPr>
          <w:color w:val="1E293B"/>
        </w:rPr>
        <w:t xml:space="preserve">Le Coût de Revient (Prix d'achat + Frais annexes) : </w:t>
      </w:r>
    </w:p>
    <w:p>
      <w:pPr>
        <w:pStyle w:val="ListBullet"/>
        <w:spacing w:before="20" w:after="60" w:line="276" w:lineRule="auto"/>
      </w:pPr>
      <w:r>
        <w:rPr>
          <w:b/>
          <w:color w:val="1E293B"/>
        </w:rPr>
        <w:t>C'est la seule et unique part qui constitue votre véritable gain personnel, calculée après avoir payé TOUTES les charges.</w:t>
      </w:r>
      <w:r>
        <w:rPr>
          <w:color w:val="1E293B"/>
        </w:rPr>
        <w:t xml:space="preserve">Le Bénéfice Net (La Marge Nette) : </w:t>
      </w:r>
    </w:p>
    <w:tbl>
      <w:tblPr>
        <w:tblW w:type="auto" w:w="0"/>
        <w:jc w:val="center"/>
        <w:tblLayout w:type="fixed"/>
        <w:tblLook w:firstColumn="1" w:firstRow="1" w:lastColumn="0" w:lastRow="0" w:noHBand="0" w:noVBand="1" w:val="04A0"/>
      </w:tblPr>
      <w:tblGrid>
        <w:gridCol w:w="9936"/>
      </w:tblGrid>
      <w:tr>
        <w:tc>
          <w:tcPr>
            <w:tcW w:type="dxa" w:w="9792"/>
            <w:shd w:fill="F0FDF4"/>
            <w:tcMar>
              <w:top w:w="140" w:type="dxa"/>
              <w:bottom w:w="140" w:type="dxa"/>
              <w:left w:w="200" w:type="dxa"/>
              <w:right w:w="180" w:type="dxa"/>
            </w:tcMar>
            <w:tcBorders>
              <w:left w:val="single" w:sz="36" w:space="0" w:color="059669"/>
              <w:top w:val="none"/>
              <w:right w:val="none"/>
              <w:bottom w:val="none"/>
            </w:tcBorders>
          </w:tcPr>
          <w:p>
            <w:pPr>
              <w:spacing w:before="40" w:after="80"/>
            </w:pPr>
            <w:r>
              <w:rPr>
                <w:rFonts w:ascii="Arial" w:hAnsi="Arial"/>
                <w:b/>
                <w:color w:val="059669"/>
                <w:sz w:val="21"/>
              </w:rPr>
              <w:t>📌 ÉTUDE DE CAS : L'ILLUSION DANGEREUSE DE LA CAISSE PLEINE</w:t>
              <w:br/>
            </w:r>
            <w:r>
              <w:rPr>
                <w:rFonts w:ascii="Arial" w:hAnsi="Arial"/>
                <w:color w:val="334155"/>
                <w:sz w:val="19"/>
              </w:rPr>
              <w:t>Moussa tient une boutique d'alimentation. Aujourd'hui, il a encaissé 100 000 FCFA dans son tiroir.</w:t>
              <w:br/>
              <w:t>Heureux de voir 100 000 FCFA en espèces, Moussa retire 30 000 FCFA pour faire plaisir à sa famille.</w:t>
              <w:br/>
              <w:t>QUE S'EST-IL RÉELLEMENT PASSÉ ?</w:t>
              <w:br/>
              <w:t>• Les marchandises vendues avaient coûté 85 000 FCFA à Moussa chez son grossiste.</w:t>
              <w:br/>
              <w:t>• La part proportionnelle du loyer et de l'électricité de la journée est de 5 000 FCFA.</w:t>
              <w:br/>
              <w:t>• Le vrai bénéfice de Moussa n'était que de : 100 000 - 85 000 - 5 000 = 10 000 FCFA !</w:t>
              <w:br/>
              <w:t>En prenant 30 000 FCFA, Moussa a en réalité mangé 20 000 FCFA du capital fournisseur.</w:t>
              <w:br/>
              <w:t>COMMERCIA empêche cette erreur fatale en calculant pour vous votre vraie marge à la seconde près !</w:t>
            </w:r>
          </w:p>
        </w:tc>
      </w:tr>
    </w:tbl>
    <w:p>
      <w:pPr>
        <w:spacing w:after="120"/>
      </w:pPr>
    </w:p>
    <w:p>
      <w:pPr>
        <w:keepNext/>
        <w:spacing w:before="320" w:after="120"/>
      </w:pPr>
      <w:r>
        <w:rPr>
          <w:rFonts w:ascii="Arial" w:hAnsi="Arial"/>
          <w:b/>
          <w:color w:val="1E293B"/>
          <w:sz w:val="26"/>
        </w:rPr>
        <w:t>1.3 Les 3 Modes de Gestion Proposés par COMMERCIA</w:t>
      </w:r>
    </w:p>
    <w:p>
      <w:pPr>
        <w:spacing w:before="40" w:after="120" w:line="276" w:lineRule="auto"/>
      </w:pPr>
      <w:r>
        <w:rPr>
          <w:color w:val="1E293B"/>
        </w:rPr>
        <w:t>L'application s'adapte au niveau d'organisation de chaque entreprise :</w:t>
      </w:r>
    </w:p>
    <w:tbl>
      <w:tblPr>
        <w:tblW w:type="auto" w:w="0"/>
        <w:jc w:val="center"/>
        <w:tblLayout w:type="fixed"/>
        <w:tblLook w:firstColumn="1" w:firstRow="1" w:lastColumn="0" w:lastRow="0" w:noHBand="0" w:noVBand="1" w:val="04A0"/>
      </w:tblPr>
      <w:tblGrid>
        <w:gridCol w:w="3312"/>
        <w:gridCol w:w="3312"/>
        <w:gridCol w:w="3312"/>
      </w:tblGrid>
      <w:tr>
        <w:tc>
          <w:tcPr>
            <w:tcW w:type="dxa" w:w="2880"/>
            <w:shd w:fill="059669"/>
            <w:tcMar>
              <w:top w:w="100" w:type="dxa"/>
              <w:bottom w:w="100" w:type="dxa"/>
              <w:left w:w="120" w:type="dxa"/>
              <w:right w:w="120" w:type="dxa"/>
            </w:tcMar>
          </w:tcPr>
          <w:p>
            <w:pPr>
              <w:spacing w:before="40" w:after="40"/>
            </w:pPr>
            <w:r>
              <w:rPr>
                <w:rFonts w:ascii="Arial" w:hAnsi="Arial"/>
                <w:b/>
                <w:color w:val="FFFFFF"/>
                <w:sz w:val="19"/>
              </w:rPr>
              <w:t>Mode de Gestion</w:t>
            </w:r>
          </w:p>
        </w:tc>
        <w:tc>
          <w:tcPr>
            <w:tcW w:type="dxa" w:w="3312"/>
            <w:shd w:fill="059669"/>
            <w:tcMar>
              <w:top w:w="100" w:type="dxa"/>
              <w:bottom w:w="100" w:type="dxa"/>
              <w:left w:w="120" w:type="dxa"/>
              <w:right w:w="120" w:type="dxa"/>
            </w:tcMar>
          </w:tcPr>
          <w:p>
            <w:pPr>
              <w:spacing w:before="40" w:after="40"/>
            </w:pPr>
            <w:r>
              <w:rPr>
                <w:rFonts w:ascii="Arial" w:hAnsi="Arial"/>
                <w:b/>
                <w:color w:val="FFFFFF"/>
                <w:sz w:val="19"/>
              </w:rPr>
              <w:t>Fonctionnalités Incluses</w:t>
            </w:r>
          </w:p>
        </w:tc>
        <w:tc>
          <w:tcPr>
            <w:tcW w:type="dxa" w:w="3600"/>
            <w:shd w:fill="059669"/>
            <w:tcMar>
              <w:top w:w="100" w:type="dxa"/>
              <w:bottom w:w="100" w:type="dxa"/>
              <w:left w:w="120" w:type="dxa"/>
              <w:right w:w="120" w:type="dxa"/>
            </w:tcMar>
          </w:tcPr>
          <w:p>
            <w:pPr>
              <w:spacing w:before="40" w:after="40"/>
            </w:pPr>
            <w:r>
              <w:rPr>
                <w:rFonts w:ascii="Arial" w:hAnsi="Arial"/>
                <w:b/>
                <w:color w:val="FFFFFF"/>
                <w:sz w:val="19"/>
              </w:rPr>
              <w:t>Public Recommandé</w:t>
            </w:r>
          </w:p>
        </w:tc>
      </w:tr>
      <w:tr>
        <w:tc>
          <w:tcPr>
            <w:tcW w:type="dxa" w:w="2880"/>
            <w:shd w:fill="FFFFFF"/>
            <w:tcMar>
              <w:top w:w="80" w:type="dxa"/>
              <w:bottom w:w="80" w:type="dxa"/>
              <w:left w:w="120" w:type="dxa"/>
              <w:right w:w="120" w:type="dxa"/>
            </w:tcMar>
          </w:tcPr>
          <w:p>
            <w:pPr>
              <w:spacing w:before="40" w:after="40"/>
            </w:pPr>
            <w:r>
              <w:rPr>
                <w:rFonts w:ascii="Arial" w:hAnsi="Arial"/>
                <w:color w:val="1E293B"/>
                <w:sz w:val="18"/>
              </w:rPr>
              <w:t>Mode A : Gestion Simplifiée</w:t>
            </w:r>
          </w:p>
        </w:tc>
        <w:tc>
          <w:tcPr>
            <w:tcW w:type="dxa" w:w="3312"/>
            <w:shd w:fill="FFFFFF"/>
            <w:tcMar>
              <w:top w:w="80" w:type="dxa"/>
              <w:bottom w:w="80" w:type="dxa"/>
              <w:left w:w="120" w:type="dxa"/>
              <w:right w:w="120" w:type="dxa"/>
            </w:tcMar>
          </w:tcPr>
          <w:p>
            <w:pPr>
              <w:spacing w:before="40" w:after="40"/>
            </w:pPr>
            <w:r>
              <w:rPr>
                <w:rFonts w:ascii="Arial" w:hAnsi="Arial"/>
                <w:color w:val="1E293B"/>
                <w:sz w:val="18"/>
              </w:rPr>
              <w:t>Ventes + Dépenses + Marge estimée</w:t>
            </w:r>
          </w:p>
        </w:tc>
        <w:tc>
          <w:tcPr>
            <w:tcW w:type="dxa" w:w="3600"/>
            <w:shd w:fill="FFFFFF"/>
            <w:tcMar>
              <w:top w:w="80" w:type="dxa"/>
              <w:bottom w:w="80" w:type="dxa"/>
              <w:left w:w="120" w:type="dxa"/>
              <w:right w:w="120" w:type="dxa"/>
            </w:tcMar>
          </w:tcPr>
          <w:p>
            <w:pPr>
              <w:spacing w:before="40" w:after="40"/>
            </w:pPr>
            <w:r>
              <w:rPr>
                <w:rFonts w:ascii="Arial" w:hAnsi="Arial"/>
                <w:color w:val="1E293B"/>
                <w:sz w:val="18"/>
              </w:rPr>
              <w:t>Ultra-rapide, sans inventaire lourd. Idéal pour salons de coiffure, snacks, services.</w:t>
            </w:r>
          </w:p>
        </w:tc>
      </w:tr>
      <w:tr>
        <w:tc>
          <w:tcPr>
            <w:tcW w:type="dxa" w:w="2880"/>
            <w:shd w:fill="F8FAFC"/>
            <w:tcMar>
              <w:top w:w="80" w:type="dxa"/>
              <w:bottom w:w="80" w:type="dxa"/>
              <w:left w:w="120" w:type="dxa"/>
              <w:right w:w="120" w:type="dxa"/>
            </w:tcMar>
          </w:tcPr>
          <w:p>
            <w:pPr>
              <w:spacing w:before="40" w:after="40"/>
            </w:pPr>
            <w:r>
              <w:rPr>
                <w:rFonts w:ascii="Arial" w:hAnsi="Arial"/>
                <w:color w:val="1E293B"/>
                <w:sz w:val="18"/>
              </w:rPr>
              <w:t>Mode B : Gestion avec Stock</w:t>
            </w:r>
          </w:p>
        </w:tc>
        <w:tc>
          <w:tcPr>
            <w:tcW w:type="dxa" w:w="3312"/>
            <w:shd w:fill="F8FAFC"/>
            <w:tcMar>
              <w:top w:w="80" w:type="dxa"/>
              <w:bottom w:w="80" w:type="dxa"/>
              <w:left w:w="120" w:type="dxa"/>
              <w:right w:w="120" w:type="dxa"/>
            </w:tcMar>
          </w:tcPr>
          <w:p>
            <w:pPr>
              <w:spacing w:before="40" w:after="40"/>
            </w:pPr>
            <w:r>
              <w:rPr>
                <w:rFonts w:ascii="Arial" w:hAnsi="Arial"/>
                <w:color w:val="1E293B"/>
                <w:sz w:val="18"/>
              </w:rPr>
              <w:t>Articles + Coûts d'achat + Stocks + Alertes</w:t>
            </w:r>
          </w:p>
        </w:tc>
        <w:tc>
          <w:tcPr>
            <w:tcW w:type="dxa" w:w="3600"/>
            <w:shd w:fill="F8FAFC"/>
            <w:tcMar>
              <w:top w:w="80" w:type="dxa"/>
              <w:bottom w:w="80" w:type="dxa"/>
              <w:left w:w="120" w:type="dxa"/>
              <w:right w:w="120" w:type="dxa"/>
            </w:tcMar>
          </w:tcPr>
          <w:p>
            <w:pPr>
              <w:spacing w:before="40" w:after="40"/>
            </w:pPr>
            <w:r>
              <w:rPr>
                <w:rFonts w:ascii="Arial" w:hAnsi="Arial"/>
                <w:color w:val="1E293B"/>
                <w:sz w:val="18"/>
              </w:rPr>
              <w:t>Recommandé pour boutiques, quincailleries, épiceries, prêt-à-porter.</w:t>
            </w:r>
          </w:p>
        </w:tc>
      </w:tr>
      <w:tr>
        <w:tc>
          <w:tcPr>
            <w:tcW w:type="dxa" w:w="2880"/>
            <w:shd w:fill="FFFFFF"/>
            <w:tcMar>
              <w:top w:w="80" w:type="dxa"/>
              <w:bottom w:w="80" w:type="dxa"/>
              <w:left w:w="120" w:type="dxa"/>
              <w:right w:w="120" w:type="dxa"/>
            </w:tcMar>
          </w:tcPr>
          <w:p>
            <w:pPr>
              <w:spacing w:before="40" w:after="40"/>
            </w:pPr>
            <w:r>
              <w:rPr>
                <w:rFonts w:ascii="Arial" w:hAnsi="Arial"/>
                <w:color w:val="1E293B"/>
                <w:sz w:val="18"/>
              </w:rPr>
              <w:t>Mode C : Gestion Complète</w:t>
            </w:r>
          </w:p>
        </w:tc>
        <w:tc>
          <w:tcPr>
            <w:tcW w:type="dxa" w:w="3312"/>
            <w:shd w:fill="FFFFFF"/>
            <w:tcMar>
              <w:top w:w="80" w:type="dxa"/>
              <w:bottom w:w="80" w:type="dxa"/>
              <w:left w:w="120" w:type="dxa"/>
              <w:right w:w="120" w:type="dxa"/>
            </w:tcMar>
          </w:tcPr>
          <w:p>
            <w:pPr>
              <w:spacing w:before="40" w:after="40"/>
            </w:pPr>
            <w:r>
              <w:rPr>
                <w:rFonts w:ascii="Arial" w:hAnsi="Arial"/>
                <w:color w:val="1E293B"/>
                <w:sz w:val="18"/>
              </w:rPr>
              <w:t>Ventes + Caisse + Stocks + Carnet de Crédits + Rapports</w:t>
            </w:r>
          </w:p>
        </w:tc>
        <w:tc>
          <w:tcPr>
            <w:tcW w:type="dxa" w:w="3600"/>
            <w:shd w:fill="FFFFFF"/>
            <w:tcMar>
              <w:top w:w="80" w:type="dxa"/>
              <w:bottom w:w="80" w:type="dxa"/>
              <w:left w:w="120" w:type="dxa"/>
              <w:right w:w="120" w:type="dxa"/>
            </w:tcMar>
          </w:tcPr>
          <w:p>
            <w:pPr>
              <w:spacing w:before="40" w:after="40"/>
            </w:pPr>
            <w:r>
              <w:rPr>
                <w:rFonts w:ascii="Arial" w:hAnsi="Arial"/>
                <w:color w:val="1E293B"/>
                <w:sz w:val="18"/>
              </w:rPr>
              <w:t>Le cockpit intégral 360° pour entrepreneurs organisés et PME avec vente à terme.</w:t>
            </w:r>
          </w:p>
        </w:tc>
      </w:tr>
    </w:tbl>
    <w:p>
      <w:pPr>
        <w:spacing w:after="160"/>
      </w:pPr>
    </w:p>
    <w:p>
      <w:pPr>
        <w:keepNext/>
        <w:spacing w:before="480" w:after="160"/>
      </w:pPr>
      <w:r>
        <w:rPr>
          <w:rFonts w:ascii="Arial" w:hAnsi="Arial"/>
          <w:b/>
          <w:color w:val="059669"/>
          <w:sz w:val="34"/>
        </w:rPr>
        <w:t>CHAPITRE 2 : CONFIGURATION INITIALE &amp; ONBOARDING EN 5 ÉTAPES</w:t>
      </w:r>
    </w:p>
    <w:p>
      <w:pPr>
        <w:spacing w:before="0" w:after="240"/>
      </w:pPr>
      <w:r>
        <w:rPr>
          <w:color w:val="059669"/>
          <w:sz w:val="22"/>
        </w:rPr>
        <w:t>―――――――――――――――――――――――――――――――――――――――――――――――――――――――</w:t>
      </w:r>
    </w:p>
    <w:p>
      <w:pPr>
        <w:spacing w:before="40" w:after="120" w:line="276" w:lineRule="auto"/>
      </w:pPr>
      <w:r>
        <w:rPr>
          <w:color w:val="1E293B"/>
        </w:rPr>
        <w:t>Lors de la première ouverture de COMMERCIA, un assistant interactif pas-à-pas configure votre environnement en 5 étapes simples :</w:t>
      </w:r>
    </w:p>
    <w:p>
      <w:pPr>
        <w:keepNext/>
        <w:spacing w:before="200" w:after="80"/>
      </w:pPr>
      <w:r>
        <w:rPr>
          <w:rFonts w:ascii="Arial" w:hAnsi="Arial"/>
          <w:b/>
          <w:color w:val="2563EB"/>
          <w:sz w:val="22"/>
        </w:rPr>
        <w:t>Étape 1 : Identité de l'Entreprise</w:t>
      </w:r>
    </w:p>
    <w:p>
      <w:pPr>
        <w:pStyle w:val="ListBullet"/>
        <w:spacing w:before="20" w:after="60" w:line="276" w:lineRule="auto"/>
      </w:pPr>
      <w:r>
        <w:rPr>
          <w:color w:val="1E293B"/>
        </w:rPr>
        <w:t>Nom commercial de la boutique ou de l'activité.</w:t>
      </w:r>
    </w:p>
    <w:p>
      <w:pPr>
        <w:pStyle w:val="ListBullet"/>
        <w:spacing w:before="20" w:after="60" w:line="276" w:lineRule="auto"/>
      </w:pPr>
      <w:r>
        <w:rPr>
          <w:color w:val="1E293B"/>
        </w:rPr>
        <w:t>Devise principale : Par défaut FCFA (CEMAC XAF ou UEMOA XOF), GNF, CDF, EUR ou USD.</w:t>
      </w:r>
    </w:p>
    <w:p>
      <w:pPr>
        <w:pStyle w:val="ListBullet"/>
        <w:spacing w:before="20" w:after="60" w:line="276" w:lineRule="auto"/>
      </w:pPr>
      <w:r>
        <w:rPr>
          <w:color w:val="1E293B"/>
        </w:rPr>
        <w:t>Numéro de téléphone et ville d'exploitation.</w:t>
      </w:r>
    </w:p>
    <w:p>
      <w:pPr>
        <w:keepNext/>
        <w:spacing w:before="200" w:after="80"/>
      </w:pPr>
      <w:r>
        <w:rPr>
          <w:rFonts w:ascii="Arial" w:hAnsi="Arial"/>
          <w:b/>
          <w:color w:val="2563EB"/>
          <w:sz w:val="22"/>
        </w:rPr>
        <w:t>Étape 2 : Secteur d'Activité</w:t>
      </w:r>
    </w:p>
    <w:p>
      <w:pPr>
        <w:spacing w:before="40" w:after="120" w:line="276" w:lineRule="auto"/>
      </w:pPr>
      <w:r>
        <w:rPr>
          <w:color w:val="1E293B"/>
        </w:rPr>
        <w:t>COMMERCIA personnalise vos catégories de charges selon votre métier : Boutique/Supérette, Mode &amp; Ballots friperie, Vente en ligne / WhatsApp, Restaurant / Bar, Salon de coiffure &amp; Beauté, Atelier &amp; Quincaillerie, ou Services / Agence.</w:t>
      </w:r>
    </w:p>
    <w:p>
      <w:pPr>
        <w:keepNext/>
        <w:spacing w:before="200" w:after="80"/>
      </w:pPr>
      <w:r>
        <w:rPr>
          <w:rFonts w:ascii="Arial" w:hAnsi="Arial"/>
          <w:b/>
          <w:color w:val="2563EB"/>
          <w:sz w:val="22"/>
        </w:rPr>
        <w:t>Étape 3 : Mode de Gestion (A, B ou C)</w:t>
      </w:r>
    </w:p>
    <w:p>
      <w:pPr>
        <w:spacing w:before="40" w:after="120" w:line="276" w:lineRule="auto"/>
      </w:pPr>
      <w:r>
        <w:rPr>
          <w:color w:val="1E293B"/>
        </w:rPr>
        <w:t>Activez ou désactivez en 1 clic les modules Stock et Carnet de crédits selon votre préférence.</w:t>
      </w:r>
    </w:p>
    <w:p>
      <w:pPr>
        <w:keepNext/>
        <w:spacing w:before="200" w:after="80"/>
      </w:pPr>
      <w:r>
        <w:rPr>
          <w:rFonts w:ascii="Arial" w:hAnsi="Arial"/>
          <w:b/>
          <w:color w:val="2563EB"/>
          <w:sz w:val="22"/>
        </w:rPr>
        <w:t>Étape 4 : Volume de Ventes Journalier Estimé</w:t>
      </w:r>
    </w:p>
    <w:p>
      <w:pPr>
        <w:spacing w:before="40" w:after="120" w:line="276" w:lineRule="auto"/>
      </w:pPr>
      <w:r>
        <w:rPr>
          <w:color w:val="1E293B"/>
        </w:rPr>
        <w:t>Choisissez votre tranche de chiffre d'affaires prévisionnel (&lt;25 000 FCFA, 25 000 à 100 000 FCFA, 100 000 à 500 000 FCFA, ou &gt;500 000 FCFA/jour). Cela permet au système de calibrer vos seuils d'alerte de dépenses anormales.</w:t>
      </w:r>
    </w:p>
    <w:p>
      <w:pPr>
        <w:keepNext/>
        <w:spacing w:before="200" w:after="80"/>
      </w:pPr>
      <w:r>
        <w:rPr>
          <w:rFonts w:ascii="Arial" w:hAnsi="Arial"/>
          <w:b/>
          <w:color w:val="2563EB"/>
          <w:sz w:val="22"/>
        </w:rPr>
        <w:t>Étape 5 : Formule d'Abonnement</w:t>
      </w:r>
    </w:p>
    <w:p>
      <w:pPr>
        <w:pStyle w:val="ListBullet"/>
        <w:spacing w:before="20" w:after="60" w:line="276" w:lineRule="auto"/>
      </w:pPr>
      <w:r>
        <w:rPr>
          <w:b/>
          <w:color w:val="1E293B"/>
        </w:rPr>
        <w:t>Jusqu'à 15 ventes par jour, saisie de caisse et dépenses incluses.</w:t>
      </w:r>
      <w:r>
        <w:rPr>
          <w:color w:val="1E293B"/>
        </w:rPr>
        <w:t xml:space="preserve">Gratuit à vie : </w:t>
      </w:r>
    </w:p>
    <w:p>
      <w:pPr>
        <w:pStyle w:val="ListBullet"/>
        <w:spacing w:before="20" w:after="60" w:line="276" w:lineRule="auto"/>
      </w:pPr>
      <w:r>
        <w:rPr>
          <w:b/>
          <w:color w:val="1E293B"/>
        </w:rPr>
        <w:t>Ventes illimitées, stocks en temps réel, carnet de crédits, lots commerciaux, alertes WhatsApp et Copilote IA.</w:t>
      </w:r>
      <w:r>
        <w:rPr>
          <w:color w:val="1E293B"/>
        </w:rPr>
        <w:t xml:space="preserve">Plan Pro (4 500 FCFA/mois) : </w:t>
      </w:r>
    </w:p>
    <w:p>
      <w:pPr>
        <w:pStyle w:val="ListBullet"/>
        <w:spacing w:before="20" w:after="60" w:line="276" w:lineRule="auto"/>
      </w:pPr>
      <w:r>
        <w:rPr>
          <w:b/>
          <w:color w:val="1E293B"/>
        </w:rPr>
        <w:t>Multi-boutiques (jusqu'à 5 magasins), 10 comptes caissiers/gérants avec droits cloisonnés.</w:t>
      </w:r>
      <w:r>
        <w:rPr>
          <w:color w:val="1E293B"/>
        </w:rPr>
        <w:t xml:space="preserve">Plan Business (12 000 FCFA/mois) : </w:t>
      </w:r>
    </w:p>
    <w:p>
      <w:pPr>
        <w:keepNext/>
        <w:spacing w:before="480" w:after="160"/>
      </w:pPr>
      <w:r>
        <w:rPr>
          <w:rFonts w:ascii="Arial" w:hAnsi="Arial"/>
          <w:b/>
          <w:color w:val="059669"/>
          <w:sz w:val="34"/>
        </w:rPr>
        <w:t>CHAPITRE 3 : LE TABLEAU DE BORD (DASHBOARD) — LE COCKPIT DÉCISIONNEL</w:t>
      </w:r>
    </w:p>
    <w:p>
      <w:pPr>
        <w:spacing w:before="0" w:after="240"/>
      </w:pPr>
      <w:r>
        <w:rPr>
          <w:color w:val="059669"/>
          <w:sz w:val="22"/>
        </w:rPr>
        <w:t>―――――――――――――――――――――――――――――――――――――――――――――――――――――――</w:t>
      </w:r>
    </w:p>
    <w:p>
      <w:pPr>
        <w:spacing w:before="40" w:after="120" w:line="276" w:lineRule="auto"/>
      </w:pPr>
      <w:r>
        <w:rPr>
          <w:color w:val="1E293B"/>
        </w:rPr>
        <w:t>Le Tableau de Bord est la première page qui s'affiche à la connexion. Il résume la santé financière globale de l'entreprise en temps réel.</w:t>
      </w:r>
    </w:p>
    <w:p>
      <w:pPr>
        <w:keepNext/>
        <w:spacing w:before="320" w:after="120"/>
      </w:pPr>
      <w:r>
        <w:rPr>
          <w:rFonts w:ascii="Arial" w:hAnsi="Arial"/>
          <w:b/>
          <w:color w:val="1E293B"/>
          <w:sz w:val="26"/>
        </w:rPr>
        <w:t>3.1 Les 5 Indicateurs Cardinaux (KPIs)</w:t>
      </w:r>
    </w:p>
    <w:tbl>
      <w:tblPr>
        <w:tblW w:type="auto" w:w="0"/>
        <w:jc w:val="center"/>
        <w:tblLayout w:type="fixed"/>
        <w:tblLook w:firstColumn="1" w:firstRow="1" w:lastColumn="0" w:lastRow="0" w:noHBand="0" w:noVBand="1" w:val="04A0"/>
      </w:tblPr>
      <w:tblGrid>
        <w:gridCol w:w="4968"/>
        <w:gridCol w:w="4968"/>
      </w:tblGrid>
      <w:tr>
        <w:tc>
          <w:tcPr>
            <w:tcW w:type="dxa" w:w="3312"/>
            <w:shd w:fill="059669"/>
            <w:tcMar>
              <w:top w:w="100" w:type="dxa"/>
              <w:bottom w:w="100" w:type="dxa"/>
              <w:left w:w="120" w:type="dxa"/>
              <w:right w:w="120" w:type="dxa"/>
            </w:tcMar>
          </w:tcPr>
          <w:p>
            <w:pPr>
              <w:spacing w:before="40" w:after="40"/>
            </w:pPr>
            <w:r>
              <w:rPr>
                <w:rFonts w:ascii="Arial" w:hAnsi="Arial"/>
                <w:b/>
                <w:color w:val="FFFFFF"/>
                <w:sz w:val="19"/>
              </w:rPr>
              <w:t>Indicateur</w:t>
            </w:r>
          </w:p>
        </w:tc>
        <w:tc>
          <w:tcPr>
            <w:tcW w:type="dxa" w:w="6480"/>
            <w:shd w:fill="059669"/>
            <w:tcMar>
              <w:top w:w="100" w:type="dxa"/>
              <w:bottom w:w="100" w:type="dxa"/>
              <w:left w:w="120" w:type="dxa"/>
              <w:right w:w="120" w:type="dxa"/>
            </w:tcMar>
          </w:tcPr>
          <w:p>
            <w:pPr>
              <w:spacing w:before="40" w:after="40"/>
            </w:pPr>
            <w:r>
              <w:rPr>
                <w:rFonts w:ascii="Arial" w:hAnsi="Arial"/>
                <w:b/>
                <w:color w:val="FFFFFF"/>
                <w:sz w:val="19"/>
              </w:rPr>
              <w:t>Signification &amp; Rôle Décisionnel</w:t>
            </w:r>
          </w:p>
        </w:tc>
      </w:tr>
      <w:tr>
        <w:tc>
          <w:tcPr>
            <w:tcW w:type="dxa" w:w="3312"/>
            <w:shd w:fill="FFFFFF"/>
            <w:tcMar>
              <w:top w:w="80" w:type="dxa"/>
              <w:bottom w:w="80" w:type="dxa"/>
              <w:left w:w="120" w:type="dxa"/>
              <w:right w:w="120" w:type="dxa"/>
            </w:tcMar>
          </w:tcPr>
          <w:p>
            <w:pPr>
              <w:spacing w:before="40" w:after="40"/>
            </w:pPr>
            <w:r>
              <w:rPr>
                <w:rFonts w:ascii="Arial" w:hAnsi="Arial"/>
                <w:color w:val="1E293B"/>
                <w:sz w:val="18"/>
              </w:rPr>
              <w:t>1. Chiffre d'Affaires du Jour</w:t>
            </w:r>
          </w:p>
        </w:tc>
        <w:tc>
          <w:tcPr>
            <w:tcW w:type="dxa" w:w="6480"/>
            <w:shd w:fill="FFFFFF"/>
            <w:tcMar>
              <w:top w:w="80" w:type="dxa"/>
              <w:bottom w:w="80" w:type="dxa"/>
              <w:left w:w="120" w:type="dxa"/>
              <w:right w:w="120" w:type="dxa"/>
            </w:tcMar>
          </w:tcPr>
          <w:p>
            <w:pPr>
              <w:spacing w:before="40" w:after="40"/>
            </w:pPr>
            <w:r>
              <w:rPr>
                <w:rFonts w:ascii="Arial" w:hAnsi="Arial"/>
                <w:color w:val="1E293B"/>
                <w:sz w:val="18"/>
              </w:rPr>
              <w:t>Total des ventes réalisées aujourd'hui (espèces, mobile money et crédits accordés). Permet de savoir si la journée a été dynamique.</w:t>
            </w:r>
          </w:p>
        </w:tc>
      </w:tr>
      <w:tr>
        <w:tc>
          <w:tcPr>
            <w:tcW w:type="dxa" w:w="3312"/>
            <w:shd w:fill="F8FAFC"/>
            <w:tcMar>
              <w:top w:w="80" w:type="dxa"/>
              <w:bottom w:w="80" w:type="dxa"/>
              <w:left w:w="120" w:type="dxa"/>
              <w:right w:w="120" w:type="dxa"/>
            </w:tcMar>
          </w:tcPr>
          <w:p>
            <w:pPr>
              <w:spacing w:before="40" w:after="40"/>
            </w:pPr>
            <w:r>
              <w:rPr>
                <w:rFonts w:ascii="Arial" w:hAnsi="Arial"/>
                <w:color w:val="1E293B"/>
                <w:sz w:val="18"/>
              </w:rPr>
              <w:t>2. Marge Nette Réelle</w:t>
            </w:r>
          </w:p>
        </w:tc>
        <w:tc>
          <w:tcPr>
            <w:tcW w:type="dxa" w:w="6480"/>
            <w:shd w:fill="F8FAFC"/>
            <w:tcMar>
              <w:top w:w="80" w:type="dxa"/>
              <w:bottom w:w="80" w:type="dxa"/>
              <w:left w:w="120" w:type="dxa"/>
              <w:right w:w="120" w:type="dxa"/>
            </w:tcMar>
          </w:tcPr>
          <w:p>
            <w:pPr>
              <w:spacing w:before="40" w:after="40"/>
            </w:pPr>
            <w:r>
              <w:rPr>
                <w:rFonts w:ascii="Arial" w:hAnsi="Arial"/>
                <w:color w:val="1E293B"/>
                <w:sz w:val="18"/>
              </w:rPr>
              <w:t>Le véritable bénéfice net généré après déduction du coût des marchandises vendues et des dépenses enregistrées.</w:t>
            </w:r>
          </w:p>
        </w:tc>
      </w:tr>
      <w:tr>
        <w:tc>
          <w:tcPr>
            <w:tcW w:type="dxa" w:w="3312"/>
            <w:shd w:fill="FFFFFF"/>
            <w:tcMar>
              <w:top w:w="80" w:type="dxa"/>
              <w:bottom w:w="80" w:type="dxa"/>
              <w:left w:w="120" w:type="dxa"/>
              <w:right w:w="120" w:type="dxa"/>
            </w:tcMar>
          </w:tcPr>
          <w:p>
            <w:pPr>
              <w:spacing w:before="40" w:after="40"/>
            </w:pPr>
            <w:r>
              <w:rPr>
                <w:rFonts w:ascii="Arial" w:hAnsi="Arial"/>
                <w:color w:val="1E293B"/>
                <w:sz w:val="18"/>
              </w:rPr>
              <w:t>3. Dépenses Engagées</w:t>
            </w:r>
          </w:p>
        </w:tc>
        <w:tc>
          <w:tcPr>
            <w:tcW w:type="dxa" w:w="6480"/>
            <w:shd w:fill="FFFFFF"/>
            <w:tcMar>
              <w:top w:w="80" w:type="dxa"/>
              <w:bottom w:w="80" w:type="dxa"/>
              <w:left w:w="120" w:type="dxa"/>
              <w:right w:w="120" w:type="dxa"/>
            </w:tcMar>
          </w:tcPr>
          <w:p>
            <w:pPr>
              <w:spacing w:before="40" w:after="40"/>
            </w:pPr>
            <w:r>
              <w:rPr>
                <w:rFonts w:ascii="Arial" w:hAnsi="Arial"/>
                <w:color w:val="1E293B"/>
                <w:sz w:val="18"/>
              </w:rPr>
              <w:t>Total des sorties d'argent opérées sur la période (achats de fournitures, loyer, factures, retraits).</w:t>
            </w:r>
          </w:p>
        </w:tc>
      </w:tr>
      <w:tr>
        <w:tc>
          <w:tcPr>
            <w:tcW w:type="dxa" w:w="3312"/>
            <w:shd w:fill="F8FAFC"/>
            <w:tcMar>
              <w:top w:w="80" w:type="dxa"/>
              <w:bottom w:w="80" w:type="dxa"/>
              <w:left w:w="120" w:type="dxa"/>
              <w:right w:w="120" w:type="dxa"/>
            </w:tcMar>
          </w:tcPr>
          <w:p>
            <w:pPr>
              <w:spacing w:before="40" w:after="40"/>
            </w:pPr>
            <w:r>
              <w:rPr>
                <w:rFonts w:ascii="Arial" w:hAnsi="Arial"/>
                <w:color w:val="1E293B"/>
                <w:sz w:val="18"/>
              </w:rPr>
              <w:t>4. Trésorerie Disponible</w:t>
            </w:r>
          </w:p>
        </w:tc>
        <w:tc>
          <w:tcPr>
            <w:tcW w:type="dxa" w:w="6480"/>
            <w:shd w:fill="F8FAFC"/>
            <w:tcMar>
              <w:top w:w="80" w:type="dxa"/>
              <w:bottom w:w="80" w:type="dxa"/>
              <w:left w:w="120" w:type="dxa"/>
              <w:right w:w="120" w:type="dxa"/>
            </w:tcMar>
          </w:tcPr>
          <w:p>
            <w:pPr>
              <w:spacing w:before="40" w:after="40"/>
            </w:pPr>
            <w:r>
              <w:rPr>
                <w:rFonts w:ascii="Arial" w:hAnsi="Arial"/>
                <w:color w:val="1E293B"/>
                <w:sz w:val="18"/>
              </w:rPr>
              <w:t>L'argent liquide immédiatement disponible en caisse et sur vos comptes Mobile Money.</w:t>
            </w:r>
          </w:p>
        </w:tc>
      </w:tr>
      <w:tr>
        <w:tc>
          <w:tcPr>
            <w:tcW w:type="dxa" w:w="3312"/>
            <w:shd w:fill="FFFFFF"/>
            <w:tcMar>
              <w:top w:w="80" w:type="dxa"/>
              <w:bottom w:w="80" w:type="dxa"/>
              <w:left w:w="120" w:type="dxa"/>
              <w:right w:w="120" w:type="dxa"/>
            </w:tcMar>
          </w:tcPr>
          <w:p>
            <w:pPr>
              <w:spacing w:before="40" w:after="40"/>
            </w:pPr>
            <w:r>
              <w:rPr>
                <w:rFonts w:ascii="Arial" w:hAnsi="Arial"/>
                <w:color w:val="1E293B"/>
                <w:sz w:val="18"/>
              </w:rPr>
              <w:t>5. Créances Clients en Souffrance</w:t>
            </w:r>
          </w:p>
        </w:tc>
        <w:tc>
          <w:tcPr>
            <w:tcW w:type="dxa" w:w="6480"/>
            <w:shd w:fill="FFFFFF"/>
            <w:tcMar>
              <w:top w:w="80" w:type="dxa"/>
              <w:bottom w:w="80" w:type="dxa"/>
              <w:left w:w="120" w:type="dxa"/>
              <w:right w:w="120" w:type="dxa"/>
            </w:tcMar>
          </w:tcPr>
          <w:p>
            <w:pPr>
              <w:spacing w:before="40" w:after="40"/>
            </w:pPr>
            <w:r>
              <w:rPr>
                <w:rFonts w:ascii="Arial" w:hAnsi="Arial"/>
                <w:color w:val="1E293B"/>
                <w:sz w:val="18"/>
              </w:rPr>
              <w:t>L'argent de vos ventes qui dort dehors chez vos clients à crédit et qui doit être recouvré d'urgence.</w:t>
            </w:r>
          </w:p>
        </w:tc>
      </w:tr>
    </w:tbl>
    <w:p>
      <w:pPr>
        <w:spacing w:after="160"/>
      </w:pPr>
    </w:p>
    <w:p>
      <w:pPr>
        <w:keepNext/>
        <w:spacing w:before="320" w:after="120"/>
      </w:pPr>
      <w:r>
        <w:rPr>
          <w:rFonts w:ascii="Arial" w:hAnsi="Arial"/>
          <w:b/>
          <w:color w:val="1E293B"/>
          <w:sz w:val="26"/>
        </w:rPr>
        <w:t>3.2 Le Bandeau d'Alertes Proactives</w:t>
      </w:r>
    </w:p>
    <w:p>
      <w:pPr>
        <w:pStyle w:val="ListBullet"/>
        <w:spacing w:before="20" w:after="60" w:line="276" w:lineRule="auto"/>
      </w:pPr>
      <w:r>
        <w:rPr>
          <w:b/>
          <w:color w:val="1E293B"/>
        </w:rPr>
        <w:t>Articles dont la quantité en stock est tombée sous le seuil d'alerte.</w:t>
      </w:r>
      <w:r>
        <w:rPr>
          <w:color w:val="1E293B"/>
        </w:rPr>
        <w:t xml:space="preserve">Alerte Rouge Rupture : </w:t>
      </w:r>
    </w:p>
    <w:p>
      <w:pPr>
        <w:pStyle w:val="ListBullet"/>
        <w:spacing w:before="20" w:after="60" w:line="276" w:lineRule="auto"/>
      </w:pPr>
      <w:r>
        <w:rPr>
          <w:b/>
          <w:color w:val="1E293B"/>
        </w:rPr>
        <w:t>Clients dont la date limite de remboursement de dette est dépassée.</w:t>
      </w:r>
      <w:r>
        <w:rPr>
          <w:color w:val="1E293B"/>
        </w:rPr>
        <w:t xml:space="preserve">Alerte Orange Impayés : </w:t>
      </w:r>
    </w:p>
    <w:p>
      <w:pPr>
        <w:pStyle w:val="ListBullet"/>
        <w:spacing w:before="20" w:after="60" w:line="276" w:lineRule="auto"/>
      </w:pPr>
      <w:r>
        <w:rPr>
          <w:b/>
          <w:color w:val="1E293B"/>
        </w:rPr>
        <w:t>Rappel que la caisse de la journée n'a pas encore été ouverte.</w:t>
      </w:r>
      <w:r>
        <w:rPr>
          <w:color w:val="1E293B"/>
        </w:rPr>
        <w:t xml:space="preserve">Alerte Jaune Caisse : </w:t>
      </w:r>
    </w:p>
    <w:p>
      <w:pPr>
        <w:keepNext/>
        <w:spacing w:before="480" w:after="160"/>
      </w:pPr>
      <w:r>
        <w:rPr>
          <w:rFonts w:ascii="Arial" w:hAnsi="Arial"/>
          <w:b/>
          <w:color w:val="059669"/>
          <w:sz w:val="34"/>
        </w:rPr>
        <w:t>CHAPITRE 4 : LE MODULE VENTES &amp; ENCAISSEMENT AU COMPTOIR</w:t>
      </w:r>
    </w:p>
    <w:p>
      <w:pPr>
        <w:spacing w:before="0" w:after="240"/>
      </w:pPr>
      <w:r>
        <w:rPr>
          <w:color w:val="059669"/>
          <w:sz w:val="22"/>
        </w:rPr>
        <w:t>―――――――――――――――――――――――――――――――――――――――――――――――――――――――</w:t>
      </w:r>
    </w:p>
    <w:p>
      <w:pPr>
        <w:spacing w:before="40" w:after="120" w:line="276" w:lineRule="auto"/>
      </w:pPr>
      <w:r>
        <w:rPr>
          <w:color w:val="1E293B"/>
        </w:rPr>
        <w:t>Le module Ventes permet d'enregistrer une transaction en moins de 15 secondes, sur téléphone, tablette ou ordinateur.</w:t>
      </w:r>
    </w:p>
    <w:p>
      <w:pPr>
        <w:keepNext/>
        <w:spacing w:before="320" w:after="120"/>
      </w:pPr>
      <w:r>
        <w:rPr>
          <w:rFonts w:ascii="Arial" w:hAnsi="Arial"/>
          <w:b/>
          <w:color w:val="1E293B"/>
          <w:sz w:val="26"/>
        </w:rPr>
        <w:t>4.1 Déroulement d'une Vente Pas-à-Pas</w:t>
      </w:r>
    </w:p>
    <w:p>
      <w:pPr>
        <w:pStyle w:val="ListBullet"/>
        <w:spacing w:before="20" w:after="60" w:line="276" w:lineRule="auto"/>
      </w:pPr>
      <w:r>
        <w:rPr>
          <w:b/>
          <w:color w:val="1E293B"/>
        </w:rPr>
        <w:t>Recherchez le produit dans le catalogue ou utilisez le bouton 'Vente Libre'.</w:t>
      </w:r>
      <w:r>
        <w:rPr>
          <w:color w:val="1E293B"/>
        </w:rPr>
        <w:t xml:space="preserve">Étape 1 : Sélection des articles : </w:t>
      </w:r>
    </w:p>
    <w:p>
      <w:pPr>
        <w:pStyle w:val="ListBullet"/>
        <w:spacing w:before="20" w:after="60" w:line="276" w:lineRule="auto"/>
      </w:pPr>
      <w:r>
        <w:rPr>
          <w:b/>
          <w:color w:val="1E293B"/>
        </w:rPr>
        <w:t>Ajustez la quantité et appliquez si besoin une remise commerciale en FCFA.</w:t>
      </w:r>
      <w:r>
        <w:rPr>
          <w:color w:val="1E293B"/>
        </w:rPr>
        <w:t xml:space="preserve">Étape 2 : Quantité et Rabais : </w:t>
      </w:r>
    </w:p>
    <w:p>
      <w:pPr>
        <w:pStyle w:val="ListBullet"/>
        <w:spacing w:before="20" w:after="60" w:line="276" w:lineRule="auto"/>
      </w:pPr>
      <w:r>
        <w:rPr>
          <w:b/>
          <w:color w:val="1E293B"/>
        </w:rPr>
        <w:t>Associez la vente à un client de votre carnet (obligatoire si la vente est à crédit).</w:t>
      </w:r>
      <w:r>
        <w:rPr>
          <w:color w:val="1E293B"/>
        </w:rPr>
        <w:t xml:space="preserve">Étape 3 : Attribution Client (Optionnel) : </w:t>
      </w:r>
    </w:p>
    <w:p>
      <w:pPr>
        <w:pStyle w:val="ListBullet"/>
        <w:spacing w:before="20" w:after="60" w:line="276" w:lineRule="auto"/>
      </w:pPr>
      <w:r>
        <w:rPr>
          <w:b/>
          <w:color w:val="1E293B"/>
        </w:rPr>
        <w:t>Espèces (Cash), Mobile Money (Orange Money/MTN MoMo/Wave), Virement Bancaire, ou Vente à Crédit.</w:t>
      </w:r>
      <w:r>
        <w:rPr>
          <w:color w:val="1E293B"/>
        </w:rPr>
        <w:t xml:space="preserve">Étape 4 : Choix du Mode d'Encaissement : </w:t>
      </w:r>
    </w:p>
    <w:p>
      <w:pPr>
        <w:pStyle w:val="ListBullet"/>
        <w:spacing w:before="20" w:after="60" w:line="276" w:lineRule="auto"/>
      </w:pPr>
      <w:r>
        <w:rPr>
          <w:b/>
          <w:color w:val="1E293B"/>
        </w:rPr>
        <w:t>Le stock est déduit, la caisse créditée et le ticket de caisse peut être imprimé ou envoyé sur WhatsApp.</w:t>
      </w:r>
      <w:r>
        <w:rPr>
          <w:color w:val="1E293B"/>
        </w:rPr>
        <w:t xml:space="preserve">Étape 5 : Validation &amp; Reçu : </w:t>
      </w:r>
    </w:p>
    <w:tbl>
      <w:tblPr>
        <w:tblW w:type="auto" w:w="0"/>
        <w:jc w:val="center"/>
        <w:tblLayout w:type="fixed"/>
        <w:tblLook w:firstColumn="1" w:firstRow="1" w:lastColumn="0" w:lastRow="0" w:noHBand="0" w:noVBand="1" w:val="04A0"/>
      </w:tblPr>
      <w:tblGrid>
        <w:gridCol w:w="9936"/>
      </w:tblGrid>
      <w:tr>
        <w:tc>
          <w:tcPr>
            <w:tcW w:type="dxa" w:w="9792"/>
            <w:shd w:fill="F0FDF4"/>
            <w:tcMar>
              <w:top w:w="140" w:type="dxa"/>
              <w:bottom w:w="140" w:type="dxa"/>
              <w:left w:w="200" w:type="dxa"/>
              <w:right w:w="180" w:type="dxa"/>
            </w:tcMar>
            <w:tcBorders>
              <w:left w:val="single" w:sz="36" w:space="0" w:color="059669"/>
              <w:top w:val="none"/>
              <w:right w:val="none"/>
              <w:bottom w:val="none"/>
            </w:tcBorders>
          </w:tcPr>
          <w:p>
            <w:pPr>
              <w:spacing w:before="40" w:after="80"/>
            </w:pPr>
            <w:r>
              <w:rPr>
                <w:rFonts w:ascii="Arial" w:hAnsi="Arial"/>
                <w:b/>
                <w:color w:val="059669"/>
                <w:sz w:val="21"/>
              </w:rPr>
              <w:t>📌 EXEMPLE COMPLET : VENTE AVEC REMISE, ACOMPTE ET CRÉDIT</w:t>
              <w:br/>
            </w:r>
            <w:r>
              <w:rPr>
                <w:rFonts w:ascii="Arial" w:hAnsi="Arial"/>
                <w:color w:val="334155"/>
                <w:sz w:val="19"/>
              </w:rPr>
              <w:t>Vous vendez 2 paires de chaussures de sport à 15 000 FCFA l'unité (Total 30 000 FCFA).</w:t>
              <w:br/>
              <w:t>• Le client demande une réduction : Vous saisissez une remise de 2 000 FCFA. Nouveau total = 28 000 FCFA.</w:t>
              <w:br/>
              <w:t>• Le client dispose de 10 000 FCFA en cash et promet de payer les 18 000 FCFA restants vendredi prochain.</w:t>
              <w:br/>
              <w:t>ACTION COMMERCIA :</w:t>
              <w:br/>
              <w:t>1. Vous sélectionnez le client 'Paul Demba'.</w:t>
              <w:br/>
              <w:t>2. Dans 'Montant Encaissé', vous tapez 10 000 FCFA en espèces.</w:t>
              <w:br/>
              <w:t>3. L'application calcule immédiatement un reste dû de 18 000 FCFA.</w:t>
              <w:br/>
              <w:t>4. En validant, 10 000 FCFA entrent automatiquement dans votre caisse journalière, 2 paires sont déduites de votre stock, et une créance de 18 000 FCFA est créée sur la fiche de Paul Demba !</w:t>
            </w:r>
          </w:p>
        </w:tc>
      </w:tr>
    </w:tbl>
    <w:p>
      <w:pPr>
        <w:spacing w:after="120"/>
      </w:pPr>
    </w:p>
    <w:p>
      <w:pPr>
        <w:keepNext/>
        <w:spacing w:before="480" w:after="160"/>
      </w:pPr>
      <w:r>
        <w:rPr>
          <w:rFonts w:ascii="Arial" w:hAnsi="Arial"/>
          <w:b/>
          <w:color w:val="059669"/>
          <w:sz w:val="34"/>
        </w:rPr>
        <w:t>CHAPITRE 5 : LA CAISSE JOURNALIÈRE — CONTRÔLE PHYSIQUE &amp; CLÔTURE</w:t>
      </w:r>
    </w:p>
    <w:p>
      <w:pPr>
        <w:spacing w:before="0" w:after="240"/>
      </w:pPr>
      <w:r>
        <w:rPr>
          <w:color w:val="059669"/>
          <w:sz w:val="22"/>
        </w:rPr>
        <w:t>―――――――――――――――――――――――――――――――――――――――――――――――――――――――</w:t>
      </w:r>
    </w:p>
    <w:p>
      <w:pPr>
        <w:spacing w:before="40" w:after="120" w:line="276" w:lineRule="auto"/>
      </w:pPr>
      <w:r>
        <w:rPr>
          <w:color w:val="1E293B"/>
        </w:rPr>
        <w:t>La caisse journalière est le garde-fou qui empêche les disparitions d'argent. Elle transforme un tiroir-caisse vulnérable en un système de contrôle comptable rigoureux.</w:t>
      </w:r>
    </w:p>
    <w:p>
      <w:pPr>
        <w:keepNext/>
        <w:spacing w:before="320" w:after="120"/>
      </w:pPr>
      <w:r>
        <w:rPr>
          <w:rFonts w:ascii="Arial" w:hAnsi="Arial"/>
          <w:b/>
          <w:color w:val="1E293B"/>
          <w:sz w:val="26"/>
        </w:rPr>
        <w:t>5.1 Le Cycle Quotidien de la Caisse</w:t>
      </w:r>
    </w:p>
    <w:tbl>
      <w:tblPr>
        <w:tblW w:type="auto" w:w="0"/>
        <w:jc w:val="center"/>
        <w:tblLayout w:type="fixed"/>
        <w:tblLook w:firstColumn="1" w:firstRow="1" w:lastColumn="0" w:lastRow="0" w:noHBand="0" w:noVBand="1" w:val="04A0"/>
      </w:tblPr>
      <w:tblGrid>
        <w:gridCol w:w="4968"/>
        <w:gridCol w:w="4968"/>
      </w:tblGrid>
      <w:tr>
        <w:tc>
          <w:tcPr>
            <w:tcW w:type="dxa" w:w="2880"/>
            <w:shd w:fill="059669"/>
            <w:tcMar>
              <w:top w:w="100" w:type="dxa"/>
              <w:bottom w:w="100" w:type="dxa"/>
              <w:left w:w="120" w:type="dxa"/>
              <w:right w:w="120" w:type="dxa"/>
            </w:tcMar>
          </w:tcPr>
          <w:p>
            <w:pPr>
              <w:spacing w:before="40" w:after="40"/>
            </w:pPr>
            <w:r>
              <w:rPr>
                <w:rFonts w:ascii="Arial" w:hAnsi="Arial"/>
                <w:b/>
                <w:color w:val="FFFFFF"/>
                <w:sz w:val="19"/>
              </w:rPr>
              <w:t>Moment</w:t>
            </w:r>
          </w:p>
        </w:tc>
        <w:tc>
          <w:tcPr>
            <w:tcW w:type="dxa" w:w="6912"/>
            <w:shd w:fill="059669"/>
            <w:tcMar>
              <w:top w:w="100" w:type="dxa"/>
              <w:bottom w:w="100" w:type="dxa"/>
              <w:left w:w="120" w:type="dxa"/>
              <w:right w:w="120" w:type="dxa"/>
            </w:tcMar>
          </w:tcPr>
          <w:p>
            <w:pPr>
              <w:spacing w:before="40" w:after="40"/>
            </w:pPr>
            <w:r>
              <w:rPr>
                <w:rFonts w:ascii="Arial" w:hAnsi="Arial"/>
                <w:b/>
                <w:color w:val="FFFFFF"/>
                <w:sz w:val="19"/>
              </w:rPr>
              <w:t>Opérations Réalisées &amp; Impact</w:t>
            </w:r>
          </w:p>
        </w:tc>
      </w:tr>
      <w:tr>
        <w:tc>
          <w:tcPr>
            <w:tcW w:type="dxa" w:w="2880"/>
            <w:shd w:fill="FFFFFF"/>
            <w:tcMar>
              <w:top w:w="80" w:type="dxa"/>
              <w:bottom w:w="80" w:type="dxa"/>
              <w:left w:w="120" w:type="dxa"/>
              <w:right w:w="120" w:type="dxa"/>
            </w:tcMar>
          </w:tcPr>
          <w:p>
            <w:pPr>
              <w:spacing w:before="40" w:after="40"/>
            </w:pPr>
            <w:r>
              <w:rPr>
                <w:rFonts w:ascii="Arial" w:hAnsi="Arial"/>
                <w:color w:val="1E293B"/>
                <w:sz w:val="18"/>
              </w:rPr>
              <w:t>1. Le Matin (Ouverture)</w:t>
            </w:r>
          </w:p>
        </w:tc>
        <w:tc>
          <w:tcPr>
            <w:tcW w:type="dxa" w:w="6912"/>
            <w:shd w:fill="FFFFFF"/>
            <w:tcMar>
              <w:top w:w="80" w:type="dxa"/>
              <w:bottom w:w="80" w:type="dxa"/>
              <w:left w:w="120" w:type="dxa"/>
              <w:right w:w="120" w:type="dxa"/>
            </w:tcMar>
          </w:tcPr>
          <w:p>
            <w:pPr>
              <w:spacing w:before="40" w:after="40"/>
            </w:pPr>
            <w:r>
              <w:rPr>
                <w:rFonts w:ascii="Arial" w:hAnsi="Arial"/>
                <w:color w:val="1E293B"/>
                <w:sz w:val="18"/>
              </w:rPr>
              <w:t>Le caissier compte la monnaie présente dans le tiroir et saisit le Fond Initial (ex: 10 000 FCFA). La session est déclarée 'OUVERTE'.</w:t>
            </w:r>
          </w:p>
        </w:tc>
      </w:tr>
      <w:tr>
        <w:tc>
          <w:tcPr>
            <w:tcW w:type="dxa" w:w="2880"/>
            <w:shd w:fill="F8FAFC"/>
            <w:tcMar>
              <w:top w:w="80" w:type="dxa"/>
              <w:bottom w:w="80" w:type="dxa"/>
              <w:left w:w="120" w:type="dxa"/>
              <w:right w:w="120" w:type="dxa"/>
            </w:tcMar>
          </w:tcPr>
          <w:p>
            <w:pPr>
              <w:spacing w:before="40" w:after="40"/>
            </w:pPr>
            <w:r>
              <w:rPr>
                <w:rFonts w:ascii="Arial" w:hAnsi="Arial"/>
                <w:color w:val="1E293B"/>
                <w:sz w:val="18"/>
              </w:rPr>
              <w:t>2. La Journée (Flux continus)</w:t>
            </w:r>
          </w:p>
        </w:tc>
        <w:tc>
          <w:tcPr>
            <w:tcW w:type="dxa" w:w="6912"/>
            <w:shd w:fill="F8FAFC"/>
            <w:tcMar>
              <w:top w:w="80" w:type="dxa"/>
              <w:bottom w:w="80" w:type="dxa"/>
              <w:left w:w="120" w:type="dxa"/>
              <w:right w:w="120" w:type="dxa"/>
            </w:tcMar>
          </w:tcPr>
          <w:p>
            <w:pPr>
              <w:spacing w:before="40" w:after="40"/>
            </w:pPr>
            <w:r>
              <w:rPr>
                <w:rFonts w:ascii="Arial" w:hAnsi="Arial"/>
                <w:color w:val="1E293B"/>
                <w:sz w:val="18"/>
              </w:rPr>
              <w:t>Chaque vente en liquide ajoute automatiquement des entrées. Chaque dépense payée en cash déduit des sorties. Tout retrait personnel du gérant est saisi avec le bouton '- Sortie de fonds'.</w:t>
            </w:r>
          </w:p>
        </w:tc>
      </w:tr>
      <w:tr>
        <w:tc>
          <w:tcPr>
            <w:tcW w:type="dxa" w:w="2880"/>
            <w:shd w:fill="FFFFFF"/>
            <w:tcMar>
              <w:top w:w="80" w:type="dxa"/>
              <w:bottom w:w="80" w:type="dxa"/>
              <w:left w:w="120" w:type="dxa"/>
              <w:right w:w="120" w:type="dxa"/>
            </w:tcMar>
          </w:tcPr>
          <w:p>
            <w:pPr>
              <w:spacing w:before="40" w:after="40"/>
            </w:pPr>
            <w:r>
              <w:rPr>
                <w:rFonts w:ascii="Arial" w:hAnsi="Arial"/>
                <w:color w:val="1E293B"/>
                <w:sz w:val="18"/>
              </w:rPr>
              <w:t>3. Le Soir (Clôture &amp; Contrôle)</w:t>
            </w:r>
          </w:p>
        </w:tc>
        <w:tc>
          <w:tcPr>
            <w:tcW w:type="dxa" w:w="6912"/>
            <w:shd w:fill="FFFFFF"/>
            <w:tcMar>
              <w:top w:w="80" w:type="dxa"/>
              <w:bottom w:w="80" w:type="dxa"/>
              <w:left w:w="120" w:type="dxa"/>
              <w:right w:w="120" w:type="dxa"/>
            </w:tcMar>
          </w:tcPr>
          <w:p>
            <w:pPr>
              <w:spacing w:before="40" w:after="40"/>
            </w:pPr>
            <w:r>
              <w:rPr>
                <w:rFonts w:ascii="Arial" w:hAnsi="Arial"/>
                <w:color w:val="1E293B"/>
                <w:sz w:val="18"/>
              </w:rPr>
              <w:t>Le caissier compte physiquement chaque billet et pièce dans le tiroir et saisit le 'Montant réel compté'. L'application compare avec le 'Solde théorique'.</w:t>
            </w:r>
          </w:p>
        </w:tc>
      </w:tr>
    </w:tbl>
    <w:p>
      <w:pPr>
        <w:spacing w:after="160"/>
      </w:pPr>
    </w:p>
    <w:p>
      <w:pPr>
        <w:keepNext/>
        <w:spacing w:before="320" w:after="120"/>
      </w:pPr>
      <w:r>
        <w:rPr>
          <w:rFonts w:ascii="Arial" w:hAnsi="Arial"/>
          <w:b/>
          <w:color w:val="1E293B"/>
          <w:sz w:val="26"/>
        </w:rPr>
        <w:t>5.2 La Formule Mathématique de la Caisse</w:t>
      </w:r>
    </w:p>
    <w:p>
      <w:pPr>
        <w:spacing w:before="40" w:after="120" w:line="276" w:lineRule="auto"/>
      </w:pPr>
      <w:r>
        <w:rPr>
          <w:b/>
          <w:color w:val="1E293B"/>
        </w:rPr>
        <w:t xml:space="preserve">Formule : </w:t>
      </w:r>
      <w:r>
        <w:rPr>
          <w:color w:val="1E293B"/>
        </w:rPr>
        <w:t>Solde Théorique = Fond Initial + Ventes Cash + Dépôts - Dépenses Cash - Retraits</w:t>
      </w:r>
    </w:p>
    <w:p>
      <w:pPr>
        <w:keepNext/>
        <w:spacing w:before="320" w:after="120"/>
      </w:pPr>
      <w:r>
        <w:rPr>
          <w:rFonts w:ascii="Arial" w:hAnsi="Arial"/>
          <w:b/>
          <w:color w:val="1E293B"/>
          <w:sz w:val="26"/>
        </w:rPr>
        <w:t>5.3 Traitement des Écarts de Caisse</w:t>
      </w:r>
    </w:p>
    <w:p>
      <w:pPr>
        <w:pStyle w:val="ListBullet"/>
        <w:spacing w:before="20" w:after="60" w:line="276" w:lineRule="auto"/>
      </w:pPr>
      <w:r>
        <w:rPr>
          <w:b/>
          <w:color w:val="1E293B"/>
        </w:rPr>
        <w:t>Caisse parfaite. Tous les flux ont été fidèlement enregistrés.</w:t>
      </w:r>
      <w:r>
        <w:rPr>
          <w:color w:val="1E293B"/>
        </w:rPr>
        <w:t xml:space="preserve">Écart = 0 FCFA : </w:t>
      </w:r>
    </w:p>
    <w:p>
      <w:pPr>
        <w:pStyle w:val="ListBullet"/>
        <w:spacing w:before="20" w:after="60" w:line="276" w:lineRule="auto"/>
      </w:pPr>
      <w:r>
        <w:rPr>
          <w:b/>
          <w:color w:val="1E293B"/>
        </w:rPr>
        <w:t>Déficit de caisse. Il manque de l'argent physique (erreur de monnaie, vol ou dépense oubliée).</w:t>
      </w:r>
      <w:r>
        <w:rPr>
          <w:color w:val="1E293B"/>
        </w:rPr>
        <w:t xml:space="preserve">Écart Négatif (ex: -1 500 FCFA) : </w:t>
      </w:r>
    </w:p>
    <w:p>
      <w:pPr>
        <w:pStyle w:val="ListBullet"/>
        <w:spacing w:before="20" w:after="60" w:line="276" w:lineRule="auto"/>
      </w:pPr>
      <w:r>
        <w:rPr>
          <w:b/>
          <w:color w:val="1E293B"/>
        </w:rPr>
        <w:t>Excédent de caisse. Il y a plus d'argent que prévu (vente oubliée d'être enregistrée).</w:t>
      </w:r>
      <w:r>
        <w:rPr>
          <w:color w:val="1E293B"/>
        </w:rPr>
        <w:t xml:space="preserve">Écart Positif (ex: +2 000 FCFA) : </w:t>
      </w:r>
    </w:p>
    <w:tbl>
      <w:tblPr>
        <w:tblW w:type="auto" w:w="0"/>
        <w:jc w:val="center"/>
        <w:tblLayout w:type="fixed"/>
        <w:tblLook w:firstColumn="1" w:firstRow="1" w:lastColumn="0" w:lastRow="0" w:noHBand="0" w:noVBand="1" w:val="04A0"/>
      </w:tblPr>
      <w:tblGrid>
        <w:gridCol w:w="9936"/>
      </w:tblGrid>
      <w:tr>
        <w:tc>
          <w:tcPr>
            <w:tcW w:type="dxa" w:w="9792"/>
            <w:shd w:fill="F0FDF4"/>
            <w:tcMar>
              <w:top w:w="140" w:type="dxa"/>
              <w:bottom w:w="140" w:type="dxa"/>
              <w:left w:w="200" w:type="dxa"/>
              <w:right w:w="180" w:type="dxa"/>
            </w:tcMar>
            <w:tcBorders>
              <w:left w:val="single" w:sz="36" w:space="0" w:color="059669"/>
              <w:top w:val="none"/>
              <w:right w:val="none"/>
              <w:bottom w:val="none"/>
            </w:tcBorders>
          </w:tcPr>
          <w:p>
            <w:pPr>
              <w:spacing w:before="40" w:after="80"/>
            </w:pPr>
            <w:r>
              <w:rPr>
                <w:rFonts w:ascii="Arial" w:hAnsi="Arial"/>
                <w:b/>
                <w:color w:val="059669"/>
                <w:sz w:val="21"/>
              </w:rPr>
              <w:t>📌 SÉCURITÉ ET TRAÇABILITÉ STRICTE</w:t>
              <w:br/>
            </w:r>
            <w:r>
              <w:rPr>
                <w:rFonts w:ascii="Arial" w:hAnsi="Arial"/>
                <w:color w:val="334155"/>
                <w:sz w:val="19"/>
              </w:rPr>
              <w:t>RÈGLE COMMERCIA ANTI-FRAUDE :</w:t>
              <w:br/>
              <w:t>Si l'écart entre le comptage physique et le montant théorique dépasse 100 FCFA, le système refuse la clôture tant qu'un motif explicatif n'a pas été renseigné par l'utilisateur (ex: 'Erreur de rendu sur client de 14h' ou 'Achat d'eau minérale 500 FCFA non saisi'). Ce motif est gravé de manière inaltérable dans les journaux d'audit de l'entreprise !</w:t>
            </w:r>
          </w:p>
        </w:tc>
      </w:tr>
    </w:tbl>
    <w:p>
      <w:pPr>
        <w:spacing w:after="120"/>
      </w:pPr>
    </w:p>
    <w:p>
      <w:pPr>
        <w:keepNext/>
        <w:spacing w:before="480" w:after="160"/>
      </w:pPr>
      <w:r>
        <w:rPr>
          <w:rFonts w:ascii="Arial" w:hAnsi="Arial"/>
          <w:b/>
          <w:color w:val="059669"/>
          <w:sz w:val="34"/>
        </w:rPr>
        <w:t>CHAPITRE 6 : GESTION DES DÉPENSES &amp; CHARGES D'EXPLOITATION</w:t>
      </w:r>
    </w:p>
    <w:p>
      <w:pPr>
        <w:spacing w:before="0" w:after="240"/>
      </w:pPr>
      <w:r>
        <w:rPr>
          <w:color w:val="059669"/>
          <w:sz w:val="22"/>
        </w:rPr>
        <w:t>―――――――――――――――――――――――――――――――――――――――――――――――――――――――</w:t>
      </w:r>
    </w:p>
    <w:p>
      <w:pPr>
        <w:spacing w:before="40" w:after="120" w:line="276" w:lineRule="auto"/>
      </w:pPr>
      <w:r>
        <w:rPr>
          <w:color w:val="1E293B"/>
        </w:rPr>
        <w:t>La rentabilité d'un commerce dépend de la maîtrise de ses coûts. Le module Dépenses surveille chaque centime dépensé.</w:t>
      </w:r>
    </w:p>
    <w:p>
      <w:pPr>
        <w:keepNext/>
        <w:spacing w:before="320" w:after="120"/>
      </w:pPr>
      <w:r>
        <w:rPr>
          <w:rFonts w:ascii="Arial" w:hAnsi="Arial"/>
          <w:b/>
          <w:color w:val="1E293B"/>
          <w:sz w:val="26"/>
        </w:rPr>
        <w:t>6.1 Catégories Standards</w:t>
      </w:r>
    </w:p>
    <w:p>
      <w:pPr>
        <w:pStyle w:val="ListBullet"/>
        <w:spacing w:before="20" w:after="60" w:line="276" w:lineRule="auto"/>
      </w:pPr>
      <w:r>
        <w:rPr>
          <w:b/>
          <w:color w:val="1E293B"/>
        </w:rPr>
        <w:t>Achat direct de stock auprès des grossistes.</w:t>
      </w:r>
      <w:r>
        <w:rPr>
          <w:color w:val="1E293B"/>
        </w:rPr>
        <w:t xml:space="preserve">Marchandises : </w:t>
      </w:r>
    </w:p>
    <w:p>
      <w:pPr>
        <w:pStyle w:val="ListBullet"/>
        <w:spacing w:before="20" w:after="60" w:line="276" w:lineRule="auto"/>
      </w:pPr>
      <w:r>
        <w:rPr>
          <w:b/>
          <w:color w:val="1E293B"/>
        </w:rPr>
        <w:t>Bail commercial de la boutique, gardiennage.</w:t>
      </w:r>
      <w:r>
        <w:rPr>
          <w:color w:val="1E293B"/>
        </w:rPr>
        <w:t xml:space="preserve">Loyer &amp; Charges fixes : </w:t>
      </w:r>
    </w:p>
    <w:p>
      <w:pPr>
        <w:pStyle w:val="ListBullet"/>
        <w:spacing w:before="20" w:after="60" w:line="276" w:lineRule="auto"/>
      </w:pPr>
      <w:r>
        <w:rPr>
          <w:b/>
          <w:color w:val="1E293B"/>
        </w:rPr>
        <w:t>Factures d'énergie, recharge de compteur prépayé.</w:t>
      </w:r>
      <w:r>
        <w:rPr>
          <w:color w:val="1E293B"/>
        </w:rPr>
        <w:t xml:space="preserve">Électricité &amp; Eau : </w:t>
      </w:r>
    </w:p>
    <w:p>
      <w:pPr>
        <w:pStyle w:val="ListBullet"/>
        <w:spacing w:before="20" w:after="60" w:line="276" w:lineRule="auto"/>
      </w:pPr>
      <w:r>
        <w:rPr>
          <w:b/>
          <w:color w:val="1E293B"/>
        </w:rPr>
        <w:t>Déplacement au marché, taxi-moto, carburant pour livraison.</w:t>
      </w:r>
      <w:r>
        <w:rPr>
          <w:color w:val="1E293B"/>
        </w:rPr>
        <w:t xml:space="preserve">Transport &amp; Ravitaillement : </w:t>
      </w:r>
    </w:p>
    <w:p>
      <w:pPr>
        <w:pStyle w:val="ListBullet"/>
        <w:spacing w:before="20" w:after="60" w:line="276" w:lineRule="auto"/>
      </w:pPr>
      <w:r>
        <w:rPr>
          <w:b/>
          <w:color w:val="1E293B"/>
        </w:rPr>
        <w:t>Sacs en plastique, cartons, ruban adhésif, étiquettes.</w:t>
      </w:r>
      <w:r>
        <w:rPr>
          <w:color w:val="1E293B"/>
        </w:rPr>
        <w:t xml:space="preserve">Emballages &amp; Packaging : </w:t>
      </w:r>
    </w:p>
    <w:p>
      <w:pPr>
        <w:pStyle w:val="ListBullet"/>
        <w:spacing w:before="20" w:after="60" w:line="276" w:lineRule="auto"/>
      </w:pPr>
      <w:r>
        <w:rPr>
          <w:b/>
          <w:color w:val="1E293B"/>
        </w:rPr>
        <w:t>Rémunération du personnel et commissions sur vente.</w:t>
      </w:r>
      <w:r>
        <w:rPr>
          <w:color w:val="1E293B"/>
        </w:rPr>
        <w:t xml:space="preserve">Salaires &amp; Primes : </w:t>
      </w:r>
    </w:p>
    <w:p>
      <w:pPr>
        <w:pStyle w:val="ListBullet"/>
        <w:spacing w:before="20" w:after="60" w:line="276" w:lineRule="auto"/>
      </w:pPr>
      <w:r>
        <w:rPr>
          <w:b/>
          <w:color w:val="1E293B"/>
        </w:rPr>
        <w:t>Campagnes Facebook Ads, affiches, influenceurs.</w:t>
      </w:r>
      <w:r>
        <w:rPr>
          <w:color w:val="1E293B"/>
        </w:rPr>
        <w:t xml:space="preserve">Marketing &amp; Publicité : </w:t>
      </w:r>
    </w:p>
    <w:p>
      <w:pPr>
        <w:pStyle w:val="ListBullet"/>
        <w:spacing w:before="20" w:after="60" w:line="276" w:lineRule="auto"/>
      </w:pPr>
      <w:r>
        <w:rPr>
          <w:b/>
          <w:color w:val="1E293B"/>
        </w:rPr>
        <w:t>Petites réparations, entretien, eau minérale.</w:t>
      </w:r>
      <w:r>
        <w:rPr>
          <w:color w:val="1E293B"/>
        </w:rPr>
        <w:t xml:space="preserve">Divers / Imprévus : </w:t>
      </w:r>
    </w:p>
    <w:p>
      <w:pPr>
        <w:keepNext/>
        <w:spacing w:before="480" w:after="160"/>
      </w:pPr>
      <w:r>
        <w:rPr>
          <w:rFonts w:ascii="Arial" w:hAnsi="Arial"/>
          <w:b/>
          <w:color w:val="059669"/>
          <w:sz w:val="34"/>
        </w:rPr>
        <w:t>CHAPITRE 7 : GESTION DES ARTICLES, DES STOCKS ET DES RÉAPPROVISIONNEMENTS</w:t>
      </w:r>
    </w:p>
    <w:p>
      <w:pPr>
        <w:spacing w:before="0" w:after="240"/>
      </w:pPr>
      <w:r>
        <w:rPr>
          <w:color w:val="059669"/>
          <w:sz w:val="22"/>
        </w:rPr>
        <w:t>―――――――――――――――――――――――――――――――――――――――――――――――――――――――</w:t>
      </w:r>
    </w:p>
    <w:p>
      <w:pPr>
        <w:spacing w:before="40" w:after="120" w:line="276" w:lineRule="auto"/>
      </w:pPr>
      <w:r>
        <w:rPr>
          <w:color w:val="1E293B"/>
        </w:rPr>
        <w:t>Le module Articles offre une visibilité totale sur vos étagères.</w:t>
      </w:r>
    </w:p>
    <w:p>
      <w:pPr>
        <w:keepNext/>
        <w:spacing w:before="320" w:after="120"/>
      </w:pPr>
      <w:r>
        <w:rPr>
          <w:rFonts w:ascii="Arial" w:hAnsi="Arial"/>
          <w:b/>
          <w:color w:val="1E293B"/>
          <w:sz w:val="26"/>
        </w:rPr>
        <w:t>7.1 Fiche Produit</w:t>
      </w:r>
    </w:p>
    <w:p>
      <w:pPr>
        <w:pStyle w:val="ListBullet"/>
        <w:spacing w:before="20" w:after="60" w:line="276" w:lineRule="auto"/>
      </w:pPr>
      <w:r>
        <w:rPr>
          <w:b/>
          <w:color w:val="1E293B"/>
        </w:rPr>
        <w:t>Identifiant unique et désignation claire.</w:t>
      </w:r>
      <w:r>
        <w:rPr>
          <w:color w:val="1E293B"/>
        </w:rPr>
        <w:t xml:space="preserve">Référence &amp; Nom : </w:t>
      </w:r>
    </w:p>
    <w:p>
      <w:pPr>
        <w:pStyle w:val="ListBullet"/>
        <w:spacing w:before="20" w:after="60" w:line="276" w:lineRule="auto"/>
      </w:pPr>
      <w:r>
        <w:rPr>
          <w:b/>
          <w:color w:val="1E293B"/>
        </w:rPr>
        <w:t>Prix d'achat unitaire + frais annexes.</w:t>
      </w:r>
      <w:r>
        <w:rPr>
          <w:color w:val="1E293B"/>
        </w:rPr>
        <w:t xml:space="preserve">Coût de revient : </w:t>
      </w:r>
    </w:p>
    <w:p>
      <w:pPr>
        <w:pStyle w:val="ListBullet"/>
        <w:spacing w:before="20" w:after="60" w:line="276" w:lineRule="auto"/>
      </w:pPr>
      <w:r>
        <w:rPr>
          <w:b/>
          <w:color w:val="1E293B"/>
        </w:rPr>
        <w:t>Prix standard pratiqué au comptoir.</w:t>
      </w:r>
      <w:r>
        <w:rPr>
          <w:color w:val="1E293B"/>
        </w:rPr>
        <w:t xml:space="preserve">Prix de vente : </w:t>
      </w:r>
    </w:p>
    <w:p>
      <w:pPr>
        <w:pStyle w:val="ListBullet"/>
        <w:spacing w:before="20" w:after="60" w:line="276" w:lineRule="auto"/>
      </w:pPr>
      <w:r>
        <w:rPr>
          <w:b/>
          <w:color w:val="1E293B"/>
        </w:rPr>
        <w:t>Niveau critique déclenchant un signal de réapprovisionnement.</w:t>
      </w:r>
      <w:r>
        <w:rPr>
          <w:color w:val="1E293B"/>
        </w:rPr>
        <w:t xml:space="preserve">Seuil d'alerte : </w:t>
      </w:r>
    </w:p>
    <w:p>
      <w:pPr>
        <w:keepNext/>
        <w:spacing w:before="320" w:after="120"/>
      </w:pPr>
      <w:r>
        <w:rPr>
          <w:rFonts w:ascii="Arial" w:hAnsi="Arial"/>
          <w:b/>
          <w:color w:val="1E293B"/>
          <w:sz w:val="26"/>
        </w:rPr>
        <w:t>7.2 Le PMP (Prix Moyen Pondéré)</w:t>
      </w:r>
    </w:p>
    <w:p>
      <w:pPr>
        <w:spacing w:before="40" w:after="120" w:line="276" w:lineRule="auto"/>
      </w:pPr>
      <w:r>
        <w:rPr>
          <w:b/>
          <w:color w:val="1E293B"/>
        </w:rPr>
        <w:t xml:space="preserve">Exemple : </w:t>
      </w:r>
      <w:r>
        <w:rPr>
          <w:color w:val="1E293B"/>
        </w:rPr>
        <w:t>PMP = [(10 x 3 000) + (10 x 4 000)] / 20 = 70 000 / 20 = 3 500 FCFA</w:t>
      </w:r>
    </w:p>
    <w:p>
      <w:pPr>
        <w:keepNext/>
        <w:spacing w:before="480" w:after="160"/>
      </w:pPr>
      <w:r>
        <w:rPr>
          <w:rFonts w:ascii="Arial" w:hAnsi="Arial"/>
          <w:b/>
          <w:color w:val="059669"/>
          <w:sz w:val="34"/>
        </w:rPr>
        <w:t>CHAPITRE 8 : CARNET DE CRÉDITS CLIENTS &amp; RECOUVREMENT DES IMPAYÉS</w:t>
      </w:r>
    </w:p>
    <w:p>
      <w:pPr>
        <w:spacing w:before="0" w:after="240"/>
      </w:pPr>
      <w:r>
        <w:rPr>
          <w:color w:val="059669"/>
          <w:sz w:val="22"/>
        </w:rPr>
        <w:t>―――――――――――――――――――――――――――――――――――――――――――――――――――――――</w:t>
      </w:r>
    </w:p>
    <w:p>
      <w:pPr>
        <w:spacing w:before="40" w:after="120" w:line="276" w:lineRule="auto"/>
      </w:pPr>
      <w:r>
        <w:rPr>
          <w:color w:val="1E293B"/>
        </w:rPr>
        <w:t>Digitalisez votre carnet de crédits pour éliminer les impayés et sécuriser votre trésorerie.</w:t>
      </w:r>
    </w:p>
    <w:p>
      <w:pPr>
        <w:keepNext/>
        <w:spacing w:before="320" w:after="120"/>
      </w:pPr>
      <w:r>
        <w:rPr>
          <w:rFonts w:ascii="Arial" w:hAnsi="Arial"/>
          <w:b/>
          <w:color w:val="1E293B"/>
          <w:sz w:val="26"/>
        </w:rPr>
        <w:t>8.1 Fiche Créance</w:t>
      </w:r>
    </w:p>
    <w:p>
      <w:pPr>
        <w:pStyle w:val="ListBullet"/>
        <w:spacing w:before="20" w:after="60" w:line="276" w:lineRule="auto"/>
      </w:pPr>
      <w:r>
        <w:rPr>
          <w:color w:val="1E293B"/>
        </w:rPr>
        <w:t>Total acheté, solde restant dû, date d'échéance et historique des règlements.</w:t>
      </w:r>
    </w:p>
    <w:p>
      <w:pPr>
        <w:keepNext/>
        <w:spacing w:before="320" w:after="120"/>
      </w:pPr>
      <w:r>
        <w:rPr>
          <w:rFonts w:ascii="Arial" w:hAnsi="Arial"/>
          <w:b/>
          <w:color w:val="1E293B"/>
          <w:sz w:val="26"/>
        </w:rPr>
        <w:t>8.2 Relance WhatsApp en 1 Clic</w:t>
      </w:r>
    </w:p>
    <w:p>
      <w:pPr>
        <w:spacing w:before="40" w:after="120" w:line="276" w:lineRule="auto"/>
      </w:pPr>
      <w:r>
        <w:rPr>
          <w:color w:val="1E293B"/>
        </w:rPr>
        <w:t>Générez un message cordial et pré-rédigé en 1 clic pour rappeler la date limite au client.</w:t>
      </w:r>
    </w:p>
    <w:tbl>
      <w:tblPr>
        <w:tblW w:type="auto" w:w="0"/>
        <w:jc w:val="center"/>
        <w:tblLayout w:type="fixed"/>
        <w:tblLook w:firstColumn="1" w:firstRow="1" w:lastColumn="0" w:lastRow="0" w:noHBand="0" w:noVBand="1" w:val="04A0"/>
      </w:tblPr>
      <w:tblGrid>
        <w:gridCol w:w="9936"/>
      </w:tblGrid>
      <w:tr>
        <w:tc>
          <w:tcPr>
            <w:tcW w:type="dxa" w:w="9792"/>
            <w:shd w:fill="F0FDF4"/>
            <w:tcMar>
              <w:top w:w="140" w:type="dxa"/>
              <w:bottom w:w="140" w:type="dxa"/>
              <w:left w:w="200" w:type="dxa"/>
              <w:right w:w="180" w:type="dxa"/>
            </w:tcMar>
            <w:tcBorders>
              <w:left w:val="single" w:sz="36" w:space="0" w:color="059669"/>
              <w:top w:val="none"/>
              <w:right w:val="none"/>
              <w:bottom w:val="none"/>
            </w:tcBorders>
          </w:tcPr>
          <w:p>
            <w:pPr>
              <w:spacing w:before="40" w:after="80"/>
            </w:pPr>
            <w:r>
              <w:rPr>
                <w:rFonts w:ascii="Arial" w:hAnsi="Arial"/>
                <w:b/>
                <w:color w:val="059669"/>
                <w:sz w:val="21"/>
              </w:rPr>
              <w:t>📌 EXEMPLE DE RELANCE AUTOMATIQUE</w:t>
              <w:br/>
            </w:r>
            <w:r>
              <w:rPr>
                <w:rFonts w:ascii="Arial" w:hAnsi="Arial"/>
                <w:color w:val="334155"/>
                <w:sz w:val="19"/>
              </w:rPr>
              <w:t>« Bonjour M. Ibrahim, nous vous rappelons cordialement que votre solde chez Espace Chic est de 15 000 FCFA (échéance au 25 Octobre). Merci de bien vouloir passer régler ou faire un dépôt Mobile Money au 690XXXXXX. Excellente journée ! »</w:t>
            </w:r>
          </w:p>
        </w:tc>
      </w:tr>
    </w:tbl>
    <w:p>
      <w:pPr>
        <w:spacing w:after="120"/>
      </w:pPr>
    </w:p>
    <w:p>
      <w:pPr>
        <w:keepNext/>
        <w:spacing w:before="480" w:after="160"/>
      </w:pPr>
      <w:r>
        <w:rPr>
          <w:rFonts w:ascii="Arial" w:hAnsi="Arial"/>
          <w:b/>
          <w:color w:val="059669"/>
          <w:sz w:val="34"/>
        </w:rPr>
        <w:t>CHAPITRE 9 : MODULE PRO — GESTION DES LOTS COMMERCIAUX</w:t>
      </w:r>
    </w:p>
    <w:p>
      <w:pPr>
        <w:spacing w:before="0" w:after="240"/>
      </w:pPr>
      <w:r>
        <w:rPr>
          <w:color w:val="059669"/>
          <w:sz w:val="22"/>
        </w:rPr>
        <w:t>―――――――――――――――――――――――――――――――――――――――――――――――――――――――</w:t>
      </w:r>
    </w:p>
    <w:p>
      <w:pPr>
        <w:spacing w:before="40" w:after="120" w:line="276" w:lineRule="auto"/>
      </w:pPr>
      <w:r>
        <w:rPr>
          <w:color w:val="1E293B"/>
        </w:rPr>
        <w:t>Module spécialisé pour importateurs, grossistes et friperie qui achètent des ballots ou conteneurs.</w:t>
      </w:r>
    </w:p>
    <w:p>
      <w:pPr>
        <w:keepNext/>
        <w:spacing w:before="320" w:after="120"/>
      </w:pPr>
      <w:r>
        <w:rPr>
          <w:rFonts w:ascii="Arial" w:hAnsi="Arial"/>
          <w:b/>
          <w:color w:val="1E293B"/>
          <w:sz w:val="26"/>
        </w:rPr>
        <w:t>9.1 Coût Global Débarqué (Landed Cost)</w:t>
      </w:r>
    </w:p>
    <w:p>
      <w:pPr>
        <w:pStyle w:val="ListBullet"/>
        <w:spacing w:before="20" w:after="60" w:line="276" w:lineRule="auto"/>
      </w:pPr>
      <w:r>
        <w:rPr>
          <w:color w:val="1E293B"/>
        </w:rPr>
        <w:t>Prix d'achat initial, fret, douane, manutention, transport et pressing.</w:t>
      </w:r>
    </w:p>
    <w:p>
      <w:pPr>
        <w:keepNext/>
        <w:spacing w:before="320" w:after="120"/>
      </w:pPr>
      <w:r>
        <w:rPr>
          <w:rFonts w:ascii="Arial" w:hAnsi="Arial"/>
          <w:b/>
          <w:color w:val="1E293B"/>
          <w:sz w:val="26"/>
        </w:rPr>
        <w:t>9.2 Seuil de Rentabilité (Point Mort)</w:t>
      </w:r>
    </w:p>
    <w:p>
      <w:pPr>
        <w:spacing w:before="40" w:after="120" w:line="276" w:lineRule="auto"/>
      </w:pPr>
      <w:r>
        <w:rPr>
          <w:color w:val="1E293B"/>
        </w:rPr>
        <w:t>Dès que les ventes cumulées couvrent le coût total du lot, chaque vente suivante est du pur bénéfice net.</w:t>
      </w:r>
    </w:p>
    <w:p>
      <w:pPr>
        <w:keepNext/>
        <w:spacing w:before="480" w:after="160"/>
      </w:pPr>
      <w:r>
        <w:rPr>
          <w:rFonts w:ascii="Arial" w:hAnsi="Arial"/>
          <w:b/>
          <w:color w:val="059669"/>
          <w:sz w:val="34"/>
        </w:rPr>
        <w:t>CHAPITRE 10 : MODULE PRO — CROISSANCE, CANAUX &amp; CAC</w:t>
      </w:r>
    </w:p>
    <w:p>
      <w:pPr>
        <w:spacing w:before="0" w:after="240"/>
      </w:pPr>
      <w:r>
        <w:rPr>
          <w:color w:val="059669"/>
          <w:sz w:val="22"/>
        </w:rPr>
        <w:t>―――――――――――――――――――――――――――――――――――――――――――――――――――――――</w:t>
      </w:r>
    </w:p>
    <w:p>
      <w:pPr>
        <w:spacing w:before="40" w:after="120" w:line="276" w:lineRule="auto"/>
      </w:pPr>
      <w:r>
        <w:rPr>
          <w:b/>
          <w:color w:val="1E293B"/>
        </w:rPr>
        <w:t xml:space="preserve">Formule du CAC : </w:t>
      </w:r>
      <w:r>
        <w:rPr>
          <w:color w:val="1E293B"/>
        </w:rPr>
        <w:t>CAC = Dépenses Publicitaires du Canal / Nombre de Nouveaux Clients Acquis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160"/>
            <w:shd w:fill="059669"/>
            <w:tcMar>
              <w:top w:w="100" w:type="dxa"/>
              <w:bottom w:w="100" w:type="dxa"/>
              <w:left w:w="120" w:type="dxa"/>
              <w:right w:w="120" w:type="dxa"/>
            </w:tcMar>
          </w:tcPr>
          <w:p>
            <w:pPr>
              <w:spacing w:before="40" w:after="40"/>
            </w:pPr>
            <w:r>
              <w:rPr>
                <w:rFonts w:ascii="Arial" w:hAnsi="Arial"/>
                <w:b/>
                <w:color w:val="FFFFFF"/>
                <w:sz w:val="19"/>
              </w:rPr>
              <w:t>Canal Marketing</w:t>
            </w:r>
          </w:p>
        </w:tc>
        <w:tc>
          <w:tcPr>
            <w:tcW w:type="dxa" w:w="1872"/>
            <w:shd w:fill="059669"/>
            <w:tcMar>
              <w:top w:w="100" w:type="dxa"/>
              <w:bottom w:w="100" w:type="dxa"/>
              <w:left w:w="120" w:type="dxa"/>
              <w:right w:w="120" w:type="dxa"/>
            </w:tcMar>
          </w:tcPr>
          <w:p>
            <w:pPr>
              <w:spacing w:before="40" w:after="40"/>
            </w:pPr>
            <w:r>
              <w:rPr>
                <w:rFonts w:ascii="Arial" w:hAnsi="Arial"/>
                <w:b/>
                <w:color w:val="FFFFFF"/>
                <w:sz w:val="19"/>
              </w:rPr>
              <w:t>Budget Dépensé</w:t>
            </w:r>
          </w:p>
        </w:tc>
        <w:tc>
          <w:tcPr>
            <w:tcW w:type="dxa" w:w="1872"/>
            <w:shd w:fill="059669"/>
            <w:tcMar>
              <w:top w:w="100" w:type="dxa"/>
              <w:bottom w:w="100" w:type="dxa"/>
              <w:left w:w="120" w:type="dxa"/>
              <w:right w:w="120" w:type="dxa"/>
            </w:tcMar>
          </w:tcPr>
          <w:p>
            <w:pPr>
              <w:spacing w:before="40" w:after="40"/>
            </w:pPr>
            <w:r>
              <w:rPr>
                <w:rFonts w:ascii="Arial" w:hAnsi="Arial"/>
                <w:b/>
                <w:color w:val="FFFFFF"/>
                <w:sz w:val="19"/>
              </w:rPr>
              <w:t>Nouveaux Clients</w:t>
            </w:r>
          </w:p>
        </w:tc>
        <w:tc>
          <w:tcPr>
            <w:tcW w:type="dxa" w:w="1872"/>
            <w:shd w:fill="059669"/>
            <w:tcMar>
              <w:top w:w="100" w:type="dxa"/>
              <w:bottom w:w="100" w:type="dxa"/>
              <w:left w:w="120" w:type="dxa"/>
              <w:right w:w="120" w:type="dxa"/>
            </w:tcMar>
          </w:tcPr>
          <w:p>
            <w:pPr>
              <w:spacing w:before="40" w:after="40"/>
            </w:pPr>
            <w:r>
              <w:rPr>
                <w:rFonts w:ascii="Arial" w:hAnsi="Arial"/>
                <w:b/>
                <w:color w:val="FFFFFF"/>
                <w:sz w:val="19"/>
              </w:rPr>
              <w:t>CAC Réel</w:t>
            </w:r>
          </w:p>
        </w:tc>
        <w:tc>
          <w:tcPr>
            <w:tcW w:type="dxa" w:w="2016"/>
            <w:shd w:fill="059669"/>
            <w:tcMar>
              <w:top w:w="100" w:type="dxa"/>
              <w:bottom w:w="100" w:type="dxa"/>
              <w:left w:w="120" w:type="dxa"/>
              <w:right w:w="120" w:type="dxa"/>
            </w:tcMar>
          </w:tcPr>
          <w:p>
            <w:pPr>
              <w:spacing w:before="40" w:after="40"/>
            </w:pPr>
            <w:r>
              <w:rPr>
                <w:rFonts w:ascii="Arial" w:hAnsi="Arial"/>
                <w:b/>
                <w:color w:val="FFFFFF"/>
                <w:sz w:val="19"/>
              </w:rPr>
              <w:t>Décision</w:t>
            </w:r>
          </w:p>
        </w:tc>
      </w:tr>
      <w:tr>
        <w:tc>
          <w:tcPr>
            <w:tcW w:type="dxa" w:w="2160"/>
            <w:shd w:fill="FFFFFF"/>
            <w:tcMar>
              <w:top w:w="80" w:type="dxa"/>
              <w:bottom w:w="80" w:type="dxa"/>
              <w:left w:w="120" w:type="dxa"/>
              <w:right w:w="120" w:type="dxa"/>
            </w:tcMar>
          </w:tcPr>
          <w:p>
            <w:pPr>
              <w:spacing w:before="40" w:after="40"/>
            </w:pPr>
            <w:r>
              <w:rPr>
                <w:rFonts w:ascii="Arial" w:hAnsi="Arial"/>
                <w:color w:val="1E293B"/>
                <w:sz w:val="18"/>
              </w:rPr>
              <w:t>Facebook Ads</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30 000 FCFA investis</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10 clients acquis</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3 000 FCFA / client</w:t>
            </w:r>
          </w:p>
        </w:tc>
        <w:tc>
          <w:tcPr>
            <w:tcW w:type="dxa" w:w="2016"/>
            <w:shd w:fill="FFFFFF"/>
            <w:tcMar>
              <w:top w:w="80" w:type="dxa"/>
              <w:bottom w:w="80" w:type="dxa"/>
              <w:left w:w="120" w:type="dxa"/>
              <w:right w:w="120" w:type="dxa"/>
            </w:tcMar>
          </w:tcPr>
          <w:p>
            <w:pPr>
              <w:spacing w:before="40" w:after="40"/>
            </w:pPr>
            <w:r>
              <w:rPr>
                <w:rFonts w:ascii="Arial" w:hAnsi="Arial"/>
                <w:color w:val="1E293B"/>
                <w:sz w:val="18"/>
              </w:rPr>
              <w:t>Rentable si panier &gt; 15 000 FCFA</w:t>
            </w:r>
          </w:p>
        </w:tc>
      </w:tr>
      <w:tr>
        <w:tc>
          <w:tcPr>
            <w:tcW w:type="dxa" w:w="2160"/>
            <w:shd w:fill="F8FAFC"/>
            <w:tcMar>
              <w:top w:w="80" w:type="dxa"/>
              <w:bottom w:w="80" w:type="dxa"/>
              <w:left w:w="120" w:type="dxa"/>
              <w:right w:w="120" w:type="dxa"/>
            </w:tcMar>
          </w:tcPr>
          <w:p>
            <w:pPr>
              <w:spacing w:before="40" w:after="40"/>
            </w:pPr>
            <w:r>
              <w:rPr>
                <w:rFonts w:ascii="Arial" w:hAnsi="Arial"/>
                <w:color w:val="1E293B"/>
                <w:sz w:val="18"/>
              </w:rPr>
              <w:t>Statuts WhatsApp</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5 000 FCFA (connexion)</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25 clients réguliers</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200 FCFA / client</w:t>
            </w:r>
          </w:p>
        </w:tc>
        <w:tc>
          <w:tcPr>
            <w:tcW w:type="dxa" w:w="2016"/>
            <w:shd w:fill="F8FAFC"/>
            <w:tcMar>
              <w:top w:w="80" w:type="dxa"/>
              <w:bottom w:w="80" w:type="dxa"/>
              <w:left w:w="120" w:type="dxa"/>
              <w:right w:w="120" w:type="dxa"/>
            </w:tcMar>
          </w:tcPr>
          <w:p>
            <w:pPr>
              <w:spacing w:before="40" w:after="40"/>
            </w:pPr>
            <w:r>
              <w:rPr>
                <w:rFonts w:ascii="Arial" w:hAnsi="Arial"/>
                <w:color w:val="1E293B"/>
                <w:sz w:val="18"/>
              </w:rPr>
              <w:t>EXCELLENT ROI (Priorité n°1)</w:t>
            </w:r>
          </w:p>
        </w:tc>
      </w:tr>
      <w:tr>
        <w:tc>
          <w:tcPr>
            <w:tcW w:type="dxa" w:w="2160"/>
            <w:shd w:fill="FFFFFF"/>
            <w:tcMar>
              <w:top w:w="80" w:type="dxa"/>
              <w:bottom w:w="80" w:type="dxa"/>
              <w:left w:w="120" w:type="dxa"/>
              <w:right w:w="120" w:type="dxa"/>
            </w:tcMar>
          </w:tcPr>
          <w:p>
            <w:pPr>
              <w:spacing w:before="40" w:after="40"/>
            </w:pPr>
            <w:r>
              <w:rPr>
                <w:rFonts w:ascii="Arial" w:hAnsi="Arial"/>
                <w:color w:val="1E293B"/>
                <w:sz w:val="18"/>
              </w:rPr>
              <w:t>Flyers papier</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25 000 FCFA (impression)</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2 clients venus</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12 500 FCFA / client</w:t>
            </w:r>
          </w:p>
        </w:tc>
        <w:tc>
          <w:tcPr>
            <w:tcW w:type="dxa" w:w="2016"/>
            <w:shd w:fill="FFFFFF"/>
            <w:tcMar>
              <w:top w:w="80" w:type="dxa"/>
              <w:bottom w:w="80" w:type="dxa"/>
              <w:left w:w="120" w:type="dxa"/>
              <w:right w:w="120" w:type="dxa"/>
            </w:tcMar>
          </w:tcPr>
          <w:p>
            <w:pPr>
              <w:spacing w:before="40" w:after="40"/>
            </w:pPr>
            <w:r>
              <w:rPr>
                <w:rFonts w:ascii="Arial" w:hAnsi="Arial"/>
                <w:color w:val="1E293B"/>
                <w:sz w:val="18"/>
              </w:rPr>
              <w:t>NON RENTABLE (À stopper)</w:t>
            </w:r>
          </w:p>
        </w:tc>
      </w:tr>
    </w:tbl>
    <w:p>
      <w:pPr>
        <w:spacing w:after="160"/>
      </w:pPr>
    </w:p>
    <w:p>
      <w:pPr>
        <w:keepNext/>
        <w:spacing w:before="480" w:after="160"/>
      </w:pPr>
      <w:r>
        <w:rPr>
          <w:rFonts w:ascii="Arial" w:hAnsi="Arial"/>
          <w:b/>
          <w:color w:val="059669"/>
          <w:sz w:val="34"/>
        </w:rPr>
        <w:t>CHAPITRE 11 : MODULE PRO — TRÉSORERIE PRÉVISIONNELLE &amp; SCÉNARIOS</w:t>
      </w:r>
    </w:p>
    <w:p>
      <w:pPr>
        <w:spacing w:before="0" w:after="240"/>
      </w:pPr>
      <w:r>
        <w:rPr>
          <w:color w:val="059669"/>
          <w:sz w:val="22"/>
        </w:rPr>
        <w:t>―――――――――――――――――――――――――――――――――――――――――――――――――――――――</w:t>
      </w:r>
    </w:p>
    <w:p>
      <w:pPr>
        <w:spacing w:before="40" w:after="120" w:line="276" w:lineRule="auto"/>
      </w:pPr>
      <w:r>
        <w:rPr>
          <w:color w:val="1E293B"/>
        </w:rPr>
        <w:t>Projection de solde à 30, 60 et 90 jours pour anticiper les tensions de liquidités et sécuriser les échéances.</w:t>
      </w:r>
    </w:p>
    <w:p>
      <w:pPr>
        <w:keepNext/>
        <w:spacing w:before="480" w:after="160"/>
      </w:pPr>
      <w:r>
        <w:rPr>
          <w:rFonts w:ascii="Arial" w:hAnsi="Arial"/>
          <w:b/>
          <w:color w:val="059669"/>
          <w:sz w:val="34"/>
        </w:rPr>
        <w:t>CHAPITRE 12 : MODULE PRO — GESTION DES LIVRAISONS &amp; COLIS</w:t>
      </w:r>
    </w:p>
    <w:p>
      <w:pPr>
        <w:spacing w:before="0" w:after="240"/>
      </w:pPr>
      <w:r>
        <w:rPr>
          <w:color w:val="059669"/>
          <w:sz w:val="22"/>
        </w:rPr>
        <w:t>―――――――――――――――――――――――――――――――――――――――――――――――――――――――</w:t>
      </w:r>
    </w:p>
    <w:p>
      <w:pPr>
        <w:spacing w:before="40" w:after="120" w:line="276" w:lineRule="auto"/>
      </w:pPr>
      <w:r>
        <w:rPr>
          <w:color w:val="1E293B"/>
        </w:rPr>
        <w:t>Attribution aux coursiers, suivi en temps réel et sécurisation du Paiement à la Livraison (Cash on Delivery).</w:t>
      </w:r>
    </w:p>
    <w:p>
      <w:pPr>
        <w:keepNext/>
        <w:spacing w:before="480" w:after="160"/>
      </w:pPr>
      <w:r>
        <w:rPr>
          <w:rFonts w:ascii="Arial" w:hAnsi="Arial"/>
          <w:b/>
          <w:color w:val="059669"/>
          <w:sz w:val="34"/>
        </w:rPr>
        <w:t>CHAPITRE 13 : LE COPILOTE IA COMMERCIA — VOTRE ANALYSTE 24H/24</w:t>
      </w:r>
    </w:p>
    <w:p>
      <w:pPr>
        <w:spacing w:before="0" w:after="240"/>
      </w:pPr>
      <w:r>
        <w:rPr>
          <w:color w:val="059669"/>
          <w:sz w:val="22"/>
        </w:rPr>
        <w:t>―――――――――――――――――――――――――――――――――――――――――――――――――――――――</w:t>
      </w:r>
    </w:p>
    <w:p>
      <w:pPr>
        <w:spacing w:before="40" w:after="120" w:line="276" w:lineRule="auto"/>
      </w:pPr>
      <w:r>
        <w:rPr>
          <w:color w:val="1E293B"/>
        </w:rPr>
        <w:t>Assistant intelligent qui détecte les produits dormants, les marges trop faibles et répond à vos questions en français.</w:t>
      </w:r>
    </w:p>
    <w:p>
      <w:pPr>
        <w:keepNext/>
        <w:spacing w:before="480" w:after="160"/>
      </w:pPr>
      <w:r>
        <w:rPr>
          <w:rFonts w:ascii="Arial" w:hAnsi="Arial"/>
          <w:b/>
          <w:color w:val="059669"/>
          <w:sz w:val="34"/>
        </w:rPr>
        <w:t>CHAPITRE 14 : ARCHITECTURE MULTI-BOUTIQUES, ÉQUIPE &amp; ABONNEMENTS</w:t>
      </w:r>
    </w:p>
    <w:p>
      <w:pPr>
        <w:spacing w:before="0" w:after="240"/>
      </w:pPr>
      <w:r>
        <w:rPr>
          <w:color w:val="059669"/>
          <w:sz w:val="22"/>
        </w:rPr>
        <w:t>―――――――――――――――――――――――――――――――――――――――――――――――――――――――</w:t>
      </w:r>
    </w:p>
    <w:p>
      <w:pPr>
        <w:spacing w:before="40" w:after="120" w:line="276" w:lineRule="auto"/>
      </w:pPr>
      <w:r>
        <w:rPr>
          <w:color w:val="1E293B"/>
        </w:rPr>
        <w:t>Rôles cloisonnés (Propriétaire, Gérant, Caissier) et journal d'audit inaltérable. Paiement des abonnements par Mobile Money.</w:t>
      </w:r>
    </w:p>
    <w:p>
      <w:pPr>
        <w:keepNext/>
        <w:spacing w:before="480" w:after="160"/>
      </w:pPr>
      <w:r>
        <w:rPr>
          <w:rFonts w:ascii="Arial" w:hAnsi="Arial"/>
          <w:b/>
          <w:color w:val="059669"/>
          <w:sz w:val="34"/>
        </w:rPr>
        <w:t>ANNEXE : GLOSSAIRE DU COMMERÇANT MODERNE</w:t>
      </w:r>
    </w:p>
    <w:p>
      <w:pPr>
        <w:spacing w:before="0" w:after="240"/>
      </w:pPr>
      <w:r>
        <w:rPr>
          <w:color w:val="059669"/>
          <w:sz w:val="22"/>
        </w:rPr>
        <w:t>―――――――――――――――――――――――――――――――――――――――――――――――――――――――</w:t>
      </w:r>
    </w:p>
    <w:tbl>
      <w:tblPr>
        <w:tblW w:type="auto" w:w="0"/>
        <w:jc w:val="center"/>
        <w:tblLayout w:type="fixed"/>
        <w:tblLook w:firstColumn="1" w:firstRow="1" w:lastColumn="0" w:lastRow="0" w:noHBand="0" w:noVBand="1" w:val="04A0"/>
      </w:tblPr>
      <w:tblGrid>
        <w:gridCol w:w="4968"/>
        <w:gridCol w:w="4968"/>
      </w:tblGrid>
      <w:tr>
        <w:tc>
          <w:tcPr>
            <w:tcW w:type="dxa" w:w="3168"/>
            <w:shd w:fill="059669"/>
            <w:tcMar>
              <w:top w:w="100" w:type="dxa"/>
              <w:bottom w:w="100" w:type="dxa"/>
              <w:left w:w="120" w:type="dxa"/>
              <w:right w:w="120" w:type="dxa"/>
            </w:tcMar>
          </w:tcPr>
          <w:p>
            <w:pPr>
              <w:spacing w:before="40" w:after="40"/>
            </w:pPr>
            <w:r>
              <w:rPr>
                <w:rFonts w:ascii="Arial" w:hAnsi="Arial"/>
                <w:b/>
                <w:color w:val="FFFFFF"/>
                <w:sz w:val="19"/>
              </w:rPr>
              <w:t>Terme Financier</w:t>
            </w:r>
          </w:p>
        </w:tc>
        <w:tc>
          <w:tcPr>
            <w:tcW w:type="dxa" w:w="6624"/>
            <w:shd w:fill="059669"/>
            <w:tcMar>
              <w:top w:w="100" w:type="dxa"/>
              <w:bottom w:w="100" w:type="dxa"/>
              <w:left w:w="120" w:type="dxa"/>
              <w:right w:w="120" w:type="dxa"/>
            </w:tcMar>
          </w:tcPr>
          <w:p>
            <w:pPr>
              <w:spacing w:before="40" w:after="40"/>
            </w:pPr>
            <w:r>
              <w:rPr>
                <w:rFonts w:ascii="Arial" w:hAnsi="Arial"/>
                <w:b/>
                <w:color w:val="FFFFFF"/>
                <w:sz w:val="19"/>
              </w:rPr>
              <w:t>Définition Simple &amp; Claire pour le Commerçant</w:t>
            </w:r>
          </w:p>
        </w:tc>
      </w:tr>
      <w:tr>
        <w:tc>
          <w:tcPr>
            <w:tcW w:type="dxa" w:w="3168"/>
            <w:shd w:fill="FFFFFF"/>
            <w:tcMar>
              <w:top w:w="80" w:type="dxa"/>
              <w:bottom w:w="80" w:type="dxa"/>
              <w:left w:w="120" w:type="dxa"/>
              <w:right w:w="120" w:type="dxa"/>
            </w:tcMar>
          </w:tcPr>
          <w:p>
            <w:pPr>
              <w:spacing w:before="40" w:after="40"/>
            </w:pPr>
            <w:r>
              <w:rPr>
                <w:rFonts w:ascii="Arial" w:hAnsi="Arial"/>
                <w:color w:val="1E293B"/>
                <w:sz w:val="18"/>
              </w:rPr>
              <w:t>Chiffre d'Affaires (CA)</w:t>
            </w:r>
          </w:p>
        </w:tc>
        <w:tc>
          <w:tcPr>
            <w:tcW w:type="dxa" w:w="6624"/>
            <w:shd w:fill="FFFFFF"/>
            <w:tcMar>
              <w:top w:w="80" w:type="dxa"/>
              <w:bottom w:w="80" w:type="dxa"/>
              <w:left w:w="120" w:type="dxa"/>
              <w:right w:w="120" w:type="dxa"/>
            </w:tcMar>
          </w:tcPr>
          <w:p>
            <w:pPr>
              <w:spacing w:before="40" w:after="40"/>
            </w:pPr>
            <w:r>
              <w:rPr>
                <w:rFonts w:ascii="Arial" w:hAnsi="Arial"/>
                <w:color w:val="1E293B"/>
                <w:sz w:val="18"/>
              </w:rPr>
              <w:t>Montant total de toutes les ventes réalisées, sans déduire aucune dépense ni achat.</w:t>
            </w:r>
          </w:p>
        </w:tc>
      </w:tr>
      <w:tr>
        <w:tc>
          <w:tcPr>
            <w:tcW w:type="dxa" w:w="3168"/>
            <w:shd w:fill="F8FAFC"/>
            <w:tcMar>
              <w:top w:w="80" w:type="dxa"/>
              <w:bottom w:w="80" w:type="dxa"/>
              <w:left w:w="120" w:type="dxa"/>
              <w:right w:w="120" w:type="dxa"/>
            </w:tcMar>
          </w:tcPr>
          <w:p>
            <w:pPr>
              <w:spacing w:before="40" w:after="40"/>
            </w:pPr>
            <w:r>
              <w:rPr>
                <w:rFonts w:ascii="Arial" w:hAnsi="Arial"/>
                <w:color w:val="1E293B"/>
                <w:sz w:val="18"/>
              </w:rPr>
              <w:t>Marge Brute</w:t>
            </w:r>
          </w:p>
        </w:tc>
        <w:tc>
          <w:tcPr>
            <w:tcW w:type="dxa" w:w="6624"/>
            <w:shd w:fill="F8FAFC"/>
            <w:tcMar>
              <w:top w:w="80" w:type="dxa"/>
              <w:bottom w:w="80" w:type="dxa"/>
              <w:left w:w="120" w:type="dxa"/>
              <w:right w:w="120" w:type="dxa"/>
            </w:tcMar>
          </w:tcPr>
          <w:p>
            <w:pPr>
              <w:spacing w:before="40" w:after="40"/>
            </w:pPr>
            <w:r>
              <w:rPr>
                <w:rFonts w:ascii="Arial" w:hAnsi="Arial"/>
                <w:color w:val="1E293B"/>
                <w:sz w:val="18"/>
              </w:rPr>
              <w:t>Chiffre d'Affaires moins le coût d'achat des marchandises vendues.</w:t>
            </w:r>
          </w:p>
        </w:tc>
      </w:tr>
      <w:tr>
        <w:tc>
          <w:tcPr>
            <w:tcW w:type="dxa" w:w="3168"/>
            <w:shd w:fill="FFFFFF"/>
            <w:tcMar>
              <w:top w:w="80" w:type="dxa"/>
              <w:bottom w:w="80" w:type="dxa"/>
              <w:left w:w="120" w:type="dxa"/>
              <w:right w:w="120" w:type="dxa"/>
            </w:tcMar>
          </w:tcPr>
          <w:p>
            <w:pPr>
              <w:spacing w:before="40" w:after="40"/>
            </w:pPr>
            <w:r>
              <w:rPr>
                <w:rFonts w:ascii="Arial" w:hAnsi="Arial"/>
                <w:color w:val="1E293B"/>
                <w:sz w:val="18"/>
              </w:rPr>
              <w:t>Marge Nette (Bénéfice Net)</w:t>
            </w:r>
          </w:p>
        </w:tc>
        <w:tc>
          <w:tcPr>
            <w:tcW w:type="dxa" w:w="6624"/>
            <w:shd w:fill="FFFFFF"/>
            <w:tcMar>
              <w:top w:w="80" w:type="dxa"/>
              <w:bottom w:w="80" w:type="dxa"/>
              <w:left w:w="120" w:type="dxa"/>
              <w:right w:w="120" w:type="dxa"/>
            </w:tcMar>
          </w:tcPr>
          <w:p>
            <w:pPr>
              <w:spacing w:before="40" w:after="40"/>
            </w:pPr>
            <w:r>
              <w:rPr>
                <w:rFonts w:ascii="Arial" w:hAnsi="Arial"/>
                <w:color w:val="1E293B"/>
                <w:sz w:val="18"/>
              </w:rPr>
              <w:t>Ce qui reste réellement après avoir payé le coût d'achat ET toutes les dépenses de fonctionnement.</w:t>
            </w:r>
          </w:p>
        </w:tc>
      </w:tr>
      <w:tr>
        <w:tc>
          <w:tcPr>
            <w:tcW w:type="dxa" w:w="3168"/>
            <w:shd w:fill="F8FAFC"/>
            <w:tcMar>
              <w:top w:w="80" w:type="dxa"/>
              <w:bottom w:w="80" w:type="dxa"/>
              <w:left w:w="120" w:type="dxa"/>
              <w:right w:w="120" w:type="dxa"/>
            </w:tcMar>
          </w:tcPr>
          <w:p>
            <w:pPr>
              <w:spacing w:before="40" w:after="40"/>
            </w:pPr>
            <w:r>
              <w:rPr>
                <w:rFonts w:ascii="Arial" w:hAnsi="Arial"/>
                <w:color w:val="1E293B"/>
                <w:sz w:val="18"/>
              </w:rPr>
              <w:t>Fond de Caisse</w:t>
            </w:r>
          </w:p>
        </w:tc>
        <w:tc>
          <w:tcPr>
            <w:tcW w:type="dxa" w:w="6624"/>
            <w:shd w:fill="F8FAFC"/>
            <w:tcMar>
              <w:top w:w="80" w:type="dxa"/>
              <w:bottom w:w="80" w:type="dxa"/>
              <w:left w:w="120" w:type="dxa"/>
              <w:right w:w="120" w:type="dxa"/>
            </w:tcMar>
          </w:tcPr>
          <w:p>
            <w:pPr>
              <w:spacing w:before="40" w:after="40"/>
            </w:pPr>
            <w:r>
              <w:rPr>
                <w:rFonts w:ascii="Arial" w:hAnsi="Arial"/>
                <w:color w:val="1E293B"/>
                <w:sz w:val="18"/>
              </w:rPr>
              <w:t>Petite monnaie placée dans le tiroir au début de la journée pour pouvoir rendre la monnaie aux clients.</w:t>
            </w:r>
          </w:p>
        </w:tc>
      </w:tr>
      <w:tr>
        <w:tc>
          <w:tcPr>
            <w:tcW w:type="dxa" w:w="3168"/>
            <w:shd w:fill="FFFFFF"/>
            <w:tcMar>
              <w:top w:w="80" w:type="dxa"/>
              <w:bottom w:w="80" w:type="dxa"/>
              <w:left w:w="120" w:type="dxa"/>
              <w:right w:w="120" w:type="dxa"/>
            </w:tcMar>
          </w:tcPr>
          <w:p>
            <w:pPr>
              <w:spacing w:before="40" w:after="40"/>
            </w:pPr>
            <w:r>
              <w:rPr>
                <w:rFonts w:ascii="Arial" w:hAnsi="Arial"/>
                <w:color w:val="1E293B"/>
                <w:sz w:val="18"/>
              </w:rPr>
              <w:t>Écart de Caisse</w:t>
            </w:r>
          </w:p>
        </w:tc>
        <w:tc>
          <w:tcPr>
            <w:tcW w:type="dxa" w:w="6624"/>
            <w:shd w:fill="FFFFFF"/>
            <w:tcMar>
              <w:top w:w="80" w:type="dxa"/>
              <w:bottom w:w="80" w:type="dxa"/>
              <w:left w:w="120" w:type="dxa"/>
              <w:right w:w="120" w:type="dxa"/>
            </w:tcMar>
          </w:tcPr>
          <w:p>
            <w:pPr>
              <w:spacing w:before="40" w:after="40"/>
            </w:pPr>
            <w:r>
              <w:rPr>
                <w:rFonts w:ascii="Arial" w:hAnsi="Arial"/>
                <w:color w:val="1E293B"/>
                <w:sz w:val="18"/>
              </w:rPr>
              <w:t>Différence constatée au soir entre l'argent compté dans le tiroir et ce que le système attendait.</w:t>
            </w:r>
          </w:p>
        </w:tc>
      </w:tr>
      <w:tr>
        <w:tc>
          <w:tcPr>
            <w:tcW w:type="dxa" w:w="3168"/>
            <w:shd w:fill="F8FAFC"/>
            <w:tcMar>
              <w:top w:w="80" w:type="dxa"/>
              <w:bottom w:w="80" w:type="dxa"/>
              <w:left w:w="120" w:type="dxa"/>
              <w:right w:w="120" w:type="dxa"/>
            </w:tcMar>
          </w:tcPr>
          <w:p>
            <w:pPr>
              <w:spacing w:before="40" w:after="40"/>
            </w:pPr>
            <w:r>
              <w:rPr>
                <w:rFonts w:ascii="Arial" w:hAnsi="Arial"/>
                <w:color w:val="1E293B"/>
                <w:sz w:val="18"/>
              </w:rPr>
              <w:t>Point Mort (Seuil de rentabilité)</w:t>
            </w:r>
          </w:p>
        </w:tc>
        <w:tc>
          <w:tcPr>
            <w:tcW w:type="dxa" w:w="6624"/>
            <w:shd w:fill="F8FAFC"/>
            <w:tcMar>
              <w:top w:w="80" w:type="dxa"/>
              <w:bottom w:w="80" w:type="dxa"/>
              <w:left w:w="120" w:type="dxa"/>
              <w:right w:w="120" w:type="dxa"/>
            </w:tcMar>
          </w:tcPr>
          <w:p>
            <w:pPr>
              <w:spacing w:before="40" w:after="40"/>
            </w:pPr>
            <w:r>
              <w:rPr>
                <w:rFonts w:ascii="Arial" w:hAnsi="Arial"/>
                <w:color w:val="1E293B"/>
                <w:sz w:val="18"/>
              </w:rPr>
              <w:t>Le niveau de ventes exact à partir duquel l'activité couvre tous ses frais et commence à gagner de l'argent.</w:t>
            </w:r>
          </w:p>
        </w:tc>
      </w:tr>
      <w:tr>
        <w:tc>
          <w:tcPr>
            <w:tcW w:type="dxa" w:w="3168"/>
            <w:shd w:fill="FFFFFF"/>
            <w:tcMar>
              <w:top w:w="80" w:type="dxa"/>
              <w:bottom w:w="80" w:type="dxa"/>
              <w:left w:w="120" w:type="dxa"/>
              <w:right w:w="120" w:type="dxa"/>
            </w:tcMar>
          </w:tcPr>
          <w:p>
            <w:pPr>
              <w:spacing w:before="40" w:after="40"/>
            </w:pPr>
            <w:r>
              <w:rPr>
                <w:rFonts w:ascii="Arial" w:hAnsi="Arial"/>
                <w:color w:val="1E293B"/>
                <w:sz w:val="18"/>
              </w:rPr>
              <w:t>Créance Client</w:t>
            </w:r>
          </w:p>
        </w:tc>
        <w:tc>
          <w:tcPr>
            <w:tcW w:type="dxa" w:w="6624"/>
            <w:shd w:fill="FFFFFF"/>
            <w:tcMar>
              <w:top w:w="80" w:type="dxa"/>
              <w:bottom w:w="80" w:type="dxa"/>
              <w:left w:w="120" w:type="dxa"/>
              <w:right w:w="120" w:type="dxa"/>
            </w:tcMar>
          </w:tcPr>
          <w:p>
            <w:pPr>
              <w:spacing w:before="40" w:after="40"/>
            </w:pPr>
            <w:r>
              <w:rPr>
                <w:rFonts w:ascii="Arial" w:hAnsi="Arial"/>
                <w:color w:val="1E293B"/>
                <w:sz w:val="18"/>
              </w:rPr>
              <w:t>Somme due par un client qui a acheté à crédit et qui doit vous rembourser plus tard.</w:t>
            </w:r>
          </w:p>
        </w:tc>
      </w:tr>
      <w:tr>
        <w:tc>
          <w:tcPr>
            <w:tcW w:type="dxa" w:w="3168"/>
            <w:shd w:fill="F8FAFC"/>
            <w:tcMar>
              <w:top w:w="80" w:type="dxa"/>
              <w:bottom w:w="80" w:type="dxa"/>
              <w:left w:w="120" w:type="dxa"/>
              <w:right w:w="120" w:type="dxa"/>
            </w:tcMar>
          </w:tcPr>
          <w:p>
            <w:pPr>
              <w:spacing w:before="40" w:after="40"/>
            </w:pPr>
            <w:r>
              <w:rPr>
                <w:rFonts w:ascii="Arial" w:hAnsi="Arial"/>
                <w:color w:val="1E293B"/>
                <w:sz w:val="18"/>
              </w:rPr>
              <w:t>PMP (Prix Moyen Pondéré)</w:t>
            </w:r>
          </w:p>
        </w:tc>
        <w:tc>
          <w:tcPr>
            <w:tcW w:type="dxa" w:w="6624"/>
            <w:shd w:fill="F8FAFC"/>
            <w:tcMar>
              <w:top w:w="80" w:type="dxa"/>
              <w:bottom w:w="80" w:type="dxa"/>
              <w:left w:w="120" w:type="dxa"/>
              <w:right w:w="120" w:type="dxa"/>
            </w:tcMar>
          </w:tcPr>
          <w:p>
            <w:pPr>
              <w:spacing w:before="40" w:after="40"/>
            </w:pPr>
            <w:r>
              <w:rPr>
                <w:rFonts w:ascii="Arial" w:hAnsi="Arial"/>
                <w:color w:val="1E293B"/>
                <w:sz w:val="18"/>
              </w:rPr>
              <w:t>Méthode de calcul officielle de la valeur moyenne de votre stock lors d'achats successifs à des prix différents.</w:t>
            </w:r>
          </w:p>
        </w:tc>
      </w:tr>
    </w:tbl>
    <w:p>
      <w:pPr>
        <w:spacing w:after="16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