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uloDoc"/>
      </w:pPr>
      <w:r>
        <w:t xml:space="preserve">Da colônia agrícola à cidade mineral: urbanização, migração e mancha urbana em Canaã dos Carajás (PA), 1982–2026</w:t>
      </w:r>
    </w:p>
    <w:p>
      <w:pPr>
        <w:pStyle w:val="Destaque"/>
      </w:pPr>
      <w:r>
        <w:rPr>
          <w:b/>
          <w:bCs/>
        </w:rPr>
        <w:t xml:space="preserve">Daniel Pessini Sobreira</w:t>
      </w:r>
    </w:p>
    <w:p>
      <w:pPr>
        <w:pStyle w:val="Corpo"/>
      </w:pPr>
      <w:r>
        <w:t xml:space="preserve">Versão de trabalho — 10 de setembro de 2026.</w:t>
      </w:r>
    </w:p>
    <w:p>
      <w:pPr>
        <w:pStyle w:val="Titulo1"/>
      </w:pPr>
      <w:r>
        <w:t xml:space="preserve">Resumo</w:t>
      </w:r>
    </w:p>
    <w:p>
      <w:pPr>
        <w:pStyle w:val="Corpo"/>
      </w:pPr>
      <w:r>
        <w:t xml:space="preserve">Canaã dos Carajás (PA) passou de núcleo de assentamento dirigido (CEDERE II, 1982) a município (1994) e, com as minas de cobre do Sossego (2004) e de ferro do S11D (2016), a um dos municípios de crescimento populacional mais rápido do Brasil. Este artigo mede esse processo com três fontes combinadas com método único: uma série anual da área construída da sede entre 1984 e 2026, classificada em imagens Landsat e Sentinel-2 e validada com imagens CBERS de alta resolução; os microdados da amostra dos Censos Demográficos de 1991, 2000, 2010 e 2022, harmonizados e submetidos a controle de revelação; e os agregados do Universo por setor censitário de 2010 e 2022. A sede cresceu de 46 ha em 1990 para cerca de 2.300 ha (área ajustada pela acurácia) em 2022 e 3.200 ha em 2026, com o maior ritmo entre o Sossego e o S11D; a área cresceu mais que a população nos anos 2000 (elasticidade 1,24) e menos nos anos 2010 (0,83). Seis em cada dez moradores não naturais chegaram a partir de 2013. Os migrantes de data fixa de 2022 são mais escolarizados, mais formalizados e mais presentes na cadeia produtiva da mineração (36 % dos ocupados, contra 29 % dos não migrantes), com renda média igual, e vivem em domicílios alugados em proporção duas vezes e meia maior. A infraestrutura domiciliar convergiu entre 2000 e 2022, mas o gradiente centro-periferia persiste nos setores de urbanização recente. A comparação com Parauapebas e com os municípios do Sudeste Paraense mostra que Canaã se descola dos comparáveis a partir de 2010. Discute-se o descompasso entre o ciclo das obras, que faz a cidade crescer, e o ciclo dos royalties, que chega depois.</w:t>
      </w:r>
    </w:p>
    <w:p>
      <w:pPr>
        <w:pStyle w:val="Corpo"/>
      </w:pPr>
      <w:r>
        <w:rPr>
          <w:b/>
          <w:bCs/>
        </w:rPr>
        <w:t xml:space="preserve">Palavras-chave:</w:t>
      </w:r>
      <w:r>
        <w:t xml:space="preserve"> urbanização; mineração; migração de data fixa; mancha urbana; Carajás; sensoriamento remoto.</w:t>
      </w:r>
    </w:p>
    <w:p>
      <w:pPr>
        <w:pStyle w:val="Titulo1"/>
      </w:pPr>
      <w:r>
        <w:t xml:space="preserve">Abstract</w:t>
      </w:r>
    </w:p>
    <w:p>
      <w:pPr>
        <w:pStyle w:val="Corpo"/>
      </w:pPr>
      <w:r>
        <w:t xml:space="preserve">Canaã dos Carajás (Pará, Brazil) went from a directed settlement nucleus (CEDERE II, 1982) to a municipality (1994) and, with the Sossego copper mine (2004) and the S11D iron mine (2016), to one of the fastest-growing municipalities in Brazil. This paper measures that process by combining three sources under a single method: an annual series of the built-up area of the urban seat from 1984 to 2026, classified from Landsat and Sentinel-2 imagery and validated against high-resolution CBERS scenes; harmonised sample microdata from the 1991, 2000, 2010 and 2022 Population Censuses, subject to statistical disclosure control; and census-tract aggregates for 2010 and 2022. The seat grew from 46 ha in 1990 to about 2,300 ha (accuracy-adjusted) in 2022 and 3,200 ha in 2026, fastest between Sossego and S11D; built-up area grew faster than population in the 2000s (elasticity 1.24) and slower in the 2010s (0.83). Six in ten residents born elsewhere arrived from 2013 onwards. Fixed-period migrants in 2022 are more educated, more formalised and more present in the mining production chain (36 % of the employed, against 29 % of non-migrants), earn the same on average, and rent their dwellings two and a half times as often. Household infrastructure converged between 2000 and 2022, but a centre-periphery gradient persists in recently urbanised tracts. Compared with Parauapebas and with the municipalities of Southeast Pará, Canaã decouples from its peers after 2010. We discuss the mismatch between the construction cycle, which drives urban growth, and the royalty cycle, which arrives later.</w:t>
      </w:r>
    </w:p>
    <w:p>
      <w:pPr>
        <w:pStyle w:val="Corpo"/>
      </w:pPr>
      <w:r>
        <w:rPr>
          <w:b/>
          <w:bCs/>
        </w:rPr>
        <w:t xml:space="preserve">Keywords:</w:t>
      </w:r>
      <w:r>
        <w:t xml:space="preserve"> urbanisation; mining; fixed-period migration; urban footprint; Carajás; remote sensing.</w:t>
      </w:r>
    </w:p>
    <w:p>
      <w:pPr>
        <w:pStyle w:val="Titulo1"/>
      </w:pPr>
      <w:r>
        <w:t xml:space="preserve">1 Introdução</w:t>
      </w:r>
    </w:p>
    <w:p>
      <w:pPr>
        <w:pStyle w:val="Corpo"/>
      </w:pPr>
      <w:r>
        <w:t xml:space="preserve">Poucas cidades brasileiras cresceram tanto, em tão pouco tempo, quanto Canaã dos Carajás. O município que o Censo 2000 registrou com 10.922 habitantes, dois terços deles rurais, chegou ao Censo 2022 com 77.079, nove em cada dez urbanos, e a estimativa oficial para 2026 é de 92.311. Entre um censo e outro a economia local mudou de natureza: da pecuária leiteira dos colonos assentados pelo Grupo Executivo das Terras do Araguaia-Tocantins (GETAT) nos anos 1980 para a mineração de cobre, a partir de 2004, e de ferro, a partir de 2016, no maior complexo mineral do país. A literatura chama Canaã de "cidade ímã" e de "laboratório da urbanização na periferia global" (CARDOSO ET AL., 2017; SANCHES ET AL., 2025). O que falta a essa literatura, como se mostra na seção 2, é medida: quanto a cidade cresceu ano a ano, quem chegou e quando, em que a mão de obra migrante se inseriu, e como a expansão do tecido urbano se relaciona com a população e com a renda mineral.</w:t>
      </w:r>
    </w:p>
    <w:p>
      <w:pPr>
        <w:pStyle w:val="Corpo"/>
      </w:pPr>
      <w:r>
        <w:t xml:space="preserve">Este artigo responde a essas perguntas com três corpos de evidência produzidos sob um único desenho analítico. O primeiro é uma série anual da área construída da sede de Canaã entre 1984 e 2026, classificada em composições de imagens Landsat (30 m) e Sentinel-2 (10 m) com Random Forest treinado por era de sensor, pós-processada com regras de persistência temporal e validada em três épocas com imagens CBERS de 2 a 5 m de resolução, na forma recomendada por Olofsson et al. (2014). O segundo é o conjunto dos microdados da amostra dos Censos Demográficos de 1991, 2000, 2010 e 2022, harmonizados num esquema único e estimados com bootstrap de domicílios, com aplicação de regras de controle de revelação que respeitam o termo de acesso controlado do Censo 2022. O terceiro são os agregados do Universo por setor censitário de 2010 e 2022, cruzados com a própria série de mancha para localizar cada setor no tempo da expansão urbana. A esses três corpos somam-se a série populacional oficial, as receitas da Compensação Financeira pela Exploração de Recursos Minerais (CFEM) e um painel municipal 2000–2022 que permite comparar Canaã com Parauapebas e com os demais municípios do Sudeste Paraense.</w:t>
      </w:r>
    </w:p>
    <w:p>
      <w:pPr>
        <w:pStyle w:val="Corpo"/>
      </w:pPr>
      <w:r>
        <w:t xml:space="preserve">O artigo se organiza em sete seções. A seção 2 revisa a produção acadêmica sobre Canaã e identifica as lacunas que o estudo preenche. A seção 3 apresenta a área de estudo e a trajetória do assentamento à cidade mineral, com os marcos que estruturam toda a análise. A seção 4 descreve fontes, harmonização, estimação, controle de revelação e o pipeline de sensoriamento remoto, e declara as limitações. A seção 5 traz os resultados em nove blocos: população, mancha urbana, densidade e forma, coortes e origens dos migrantes, seletividade, inserção ocupacional e cadeia da mineração, condições domiciliares, desigualdade intraurbana e comparação regional. A seção 6 discute os achados à luz da literatura sobre cidades mineradoras e a seção 7 conclui.</w:t>
      </w:r>
    </w:p>
    <w:p>
      <w:pPr>
        <w:pStyle w:val="Titulo1"/>
      </w:pPr>
      <w:r>
        <w:t xml:space="preserve">2 Revisão de literatura</w:t>
      </w:r>
    </w:p>
    <w:p>
      <w:pPr>
        <w:pStyle w:val="Corpo"/>
      </w:pPr>
      <w:r>
        <w:t xml:space="preserve">O levantamento bibliográfico deste projeto consultou OpenAlex, Crossref, Semantic Scholar, a Biblioteca Digital Brasileira de Teses e Dissertações e o Catálogo de Teses da CAPES com termos de núcleo ("Canaã dos Carajás" e variantes) e de contexto (S11D, Sossego, Parauapebas, Programa Grande Carajás, company towns, GETAT). Dos 753 candidatos únicos, 150 foram selecionados por tratarem da sociedade, do território, da economia, do ambiente, da saúde ou das instituições de Canaã e da região; 132 foram verificados em fonte primária e compõem a base citada aqui. A produção é recente e concentrada: dos 101 trabalhos sobre Canaã, 53 são de 2021 em diante, e a curva acompanha o licenciamento e a operação do S11D, não o Sossego. Quase metade são dissertações e teses, sobretudo da UFPA, da Unifesspa, do Instituto Tecnológico Vale e de programas de Economia e Geografia do Sudeste. Os eixos mais cobertos são urbanização e produção do espaço, economia mineral e royalties, planejamento e conflitos agrários; migração, moradia e trabalho são os menos estudados.</w:t>
      </w:r>
    </w:p>
    <w:p>
      <w:pPr>
        <w:pStyle w:val="Corpo"/>
      </w:pPr>
      <w:r>
        <w:rPr>
          <w:b/>
          <w:bCs/>
        </w:rPr>
        <w:t xml:space="preserve">Colonização e formação do município.</w:t>
      </w:r>
      <w:r>
        <w:t xml:space="preserve"> O ponto de partida é o assentamento dirigido do GETAT nos Centros de Desenvolvimento Regional (CEDEREs) entre 1982 e 1985, lido como parte da modernização da fronteira e da formação de novas lideranças locais (SILVA, 2006). Cabral et al. (2011) e Carmo (2023) reconstroem a vida dos colonos e a passagem da pecuária leiteira ao cobre; a emancipação de 1994 aparece como narrativa de história local (NASCIMENTO NETO, 2021). Nenhum desses trabalhos estima a população do núcleo antes de 2000, e os números que circulam para 1996 e 2005 vêm de fontes secundárias.</w:t>
      </w:r>
    </w:p>
    <w:p>
      <w:pPr>
        <w:pStyle w:val="Corpo"/>
      </w:pPr>
      <w:r>
        <w:rPr>
          <w:b/>
          <w:bCs/>
        </w:rPr>
        <w:t xml:space="preserve">Urbanização e produção do espaço.</w:t>
      </w:r>
      <w:r>
        <w:t xml:space="preserve"> Duas linhagens dominam. A primeira, lefebvriana, lê Canaã como laboratório da urbanização na periferia global e a região como urbanização extensiva, em que o crescimento urbano mediado por grupos locais sob impulsos globais exclui quem mais depende da cidade (CARDOSO ET AL., 2017; MELO; CARDOSO, 2016; MELO, 2020; SANTOS, 2021). A segunda, da geografia regional, trata do uso do território e da produção do espaço urbano financiada pela CFEM (MEDEIROS, 2016; SILVA, 2016; ALMEIDA, 2017; CARMO, 2023), e Castriota (2024) descreve o autoritarismo neoextrativista na cidade, no campo e na floresta. Trabalhos recentes descem à escala intraurbana: condomínios fechados e fragmentação (CORRÊA, 2026), áreas verdes (NASCIMENTO, 2024), ilha de calor (MONTEIRO; GALLARDO, 2025). Para o contexto regional, Parauapebas é o núcleo planejado que se tornou o município de maior crescimento do Pará (FURTADO; PONTE, 2014; GODINHO, 2021; SOUZA, 2024; EMILIO; JOÃO, 2025), e a urbanização induzida por grandes projetos e company towns dá o termo de comparação (RODRIGUES, 2001; JUAREZ, 2021; MACCHIAVELLO FERRADAS ET AL., 2022; TREVISAN ET AL., 2025). Nenhum desses estudos mede a expansão da mancha urbana ano a ano nem a relaciona com a população: os trabalhos de uso e cobertura da terra (AMARAL, 2021; FURTADO ET AL., 2023; CHAGAS ET AL., 2024) tratam o urbano como uma classe entre outras no município inteiro.</w:t>
      </w:r>
    </w:p>
    <w:p>
      <w:pPr>
        <w:pStyle w:val="Corpo"/>
      </w:pPr>
      <w:r>
        <w:rPr>
          <w:b/>
          <w:bCs/>
        </w:rPr>
        <w:t xml:space="preserve">Migração e população.</w:t>
      </w:r>
      <w:r>
        <w:t xml:space="preserve"> É o eixo mais citado e menos medido. A literatura afirma o afluxo com base no crescimento populacional agregado (RIBEIRO ET AL., 2014; MATLABA ET AL., 2019; SANCHES ET AL., 2025); os únicos trabalhos que tocam dados de pessoas são epidemiológicos, sobre HIV numa área de mineração com intenso fluxo migratório (MACÊDO ET AL., 2020; SOUSA ET AL., 2024). Para Parauapebas há estudos de trajetórias de migrantes maranhenses (CRUZ, 2022; PEREIRA, 2023) e da relação campo-cidade no entorno do complexo (BRINGEL; MACHADO, 2020). Não há, na literatura verificada, análise de migração de data fixa, de coortes de chegada ou de seletividade dos migrantes com microdados censitários.</w:t>
      </w:r>
    </w:p>
    <w:p>
      <w:pPr>
        <w:pStyle w:val="Corpo"/>
      </w:pPr>
      <w:r>
        <w:rPr>
          <w:b/>
          <w:bCs/>
        </w:rPr>
        <w:t xml:space="preserve">Moradia, trabalho e renda.</w:t>
      </w:r>
      <w:r>
        <w:t xml:space="preserve"> A evidência sobre moradia é pontual: famílias pobres do Cadastro Único em condições precárias (SILVA; SOUSA, 2022), conjunto do Minha Casa Minha Vida com inserção urbana problemática (SOUZA; FERREIRA JÚNIOR, 2023), regularização fundiária de núcleo informal (CORRÊA ET AL., 2022; SILVA, 2025) e, sobretudo, as formas de morar criadas pela chegada de dezenas de milhares de migrantes do S11D (CASTRIOTA, 2024). Sobre trabalho, Moura et al. (2005) registra que o Sossego gerava cerca de 1.300 empregos e que a exigência de mão de obra local esbarrava na baixa qualificação; a subcontratação e seus limites para o desenvolvimento regional (FARIAS, 2008), a participação feminina na extração (SOUZA, 2022) e a qualidade de vida de mineiros em comunidades remotas (COSTA, 2008) completam um eixo pequeno. Não há série de formalização, setor e renda para a cidade.</w:t>
      </w:r>
    </w:p>
    <w:p>
      <w:pPr>
        <w:pStyle w:val="Corpo"/>
      </w:pPr>
      <w:r>
        <w:rPr>
          <w:b/>
          <w:bCs/>
        </w:rPr>
        <w:t xml:space="preserve">Economia mineral, royalties e finanças públicas.</w:t>
      </w:r>
      <w:r>
        <w:t xml:space="preserve"> O eixo mais volumoso fora da urbanização converge em três pontos: especialização produtiva e dependência (MATOS ET AL., 2014; RIBEIRO ET AL., 2014; MONTE-CARDOSO, 2018; ARAÚJO, 2023); CFEM abundante e aplicada de modo pouco estratégico ou pouco transparente (VIANA JÚNIOR, 2008; PINHEIRO, 2016; OLIVEIRA, 2021; CAITANO; MORALES, 2022; ASSUNCAO, 2022; MORAES, 2023); e o S11D como estratégia da Vale e do Estado (PADILHA, 2020; DIAS, 2025; CASTRO; PALHETA, 2025). A leitura neoextrativista (SANTOS, 2017; CASTRIOTA, 2024) é a moldura crítica dominante. Um grupo coeso do Instituto Tecnológico Vale mede licença social de operação, resiliência e percepção social da mineração com surveys (MATLABA ET AL., 2017; CRUZ ET AL., 2021; MATLABA ET AL., 2021; MATLABA ET AL., 2024).</w:t>
      </w:r>
    </w:p>
    <w:p>
      <w:pPr>
        <w:pStyle w:val="Corpo"/>
      </w:pPr>
      <w:r>
        <w:rPr>
          <w:b/>
          <w:bCs/>
        </w:rPr>
        <w:t xml:space="preserve">Conflitos agrários e meio ambiente.</w:t>
      </w:r>
      <w:r>
        <w:t xml:space="preserve"> O avanço do S11D desestrutura a produção camponesa e multiplica acampamentos em áreas de interesse mineral (CRUZ, 2017; SANTOS, 2017; SANTOS ET AL., 2021; MIRANDA; GOMES, 2023; FERREIRA; BRINGEL, 2025; SOUZA, 2024); é o contraponto rural da urbanização. Desmatamento, mudança de paisagem e a relação entre infraestrutura e desflorestamento desde 1984 (CORTEZ ET AL., 2019; FERNANDES, 2023), além de testes de detecção de mudança em Landsat na região (SIRAVENHA, 2017), são referências metodológicas diretas para a série de mancha aqui construída.</w:t>
      </w:r>
    </w:p>
    <w:p>
      <w:pPr>
        <w:pStyle w:val="Corpo"/>
      </w:pPr>
      <w:r>
        <w:t xml:space="preserve">Cinco lacunas emergem dessa revisão e organizam a contribuição do artigo: (i) uma série anual da mancha urbana com método único, cruzada com a população; (ii) migração de data fixa, coortes de chegada e seletividade com microdados de 1991 a 2022; (iii) a trajetória populacional pré-1994 com fontes datadas e faixas de incerteza; (iv) condições domiciliares e desigualdade intraurbana por setor censitário entre 2010 e 2022; (v) densidade e forma urbana, com a elasticidade entre área construída e população.</w:t>
      </w:r>
    </w:p>
    <w:p>
      <w:pPr>
        <w:pStyle w:val="Titulo1"/>
      </w:pPr>
      <w:r>
        <w:t xml:space="preserve">3 Área de estudo e contexto mineral</w:t>
      </w:r>
    </w:p>
    <w:p>
      <w:pPr>
        <w:pStyle w:val="Corpo"/>
      </w:pPr>
      <w:r>
        <w:t xml:space="preserve">Canaã dos Carajás (código IBGE 1502152) ocupa 3.147 km² no Sudeste Paraense, a sudoeste de Parauapebas, entre as serras que abrigam os depósitos de cobre do Sossego e de ferro da Serra Sul. A sede municipal está a cerca de 6,5° S e 49,9° O, numa janela de 26,6 por 22,2 km que este estudo adota como área de interesse para a série de mancha. O Quadro 1 sintetiza os marcos que estruturam a análise; todos foram conferidos em fonte primária ou na bibliografia verificada.</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Ano</w:t>
            </w:r>
          </w:p>
        </w:tc>
        <w:tc>
          <w:tcPr>
            <w:tcMar>
              <w:top w:type="dxa" w:w="60"/>
              <w:left w:type="dxa" w:w="100"/>
              <w:bottom w:type="dxa" w:w="60"/>
              <w:right w:type="dxa" w:w="100"/>
            </w:tcMar>
            <w:vAlign w:val="center"/>
          </w:tcPr>
          <w:p>
            <w:pPr>
              <w:pStyle w:val="TabelaCab"/>
              <w:jc w:val="left"/>
            </w:pPr>
            <w:r>
              <w:t xml:space="preserve">Marco</w:t>
            </w:r>
          </w:p>
        </w:tc>
        <w:tc>
          <w:tcPr>
            <w:tcMar>
              <w:top w:type="dxa" w:w="60"/>
              <w:left w:type="dxa" w:w="100"/>
              <w:bottom w:type="dxa" w:w="60"/>
              <w:right w:type="dxa" w:w="100"/>
            </w:tcMar>
            <w:vAlign w:val="center"/>
          </w:tcPr>
          <w:p>
            <w:pPr>
              <w:pStyle w:val="TabelaCab"/>
              <w:jc w:val="left"/>
            </w:pPr>
            <w:r>
              <w:t xml:space="preserve">Fonte</w:t>
            </w:r>
          </w:p>
        </w:tc>
      </w:tr>
      <w:tr>
        <w:tc>
          <w:tcPr>
            <w:tcMar>
              <w:top w:type="dxa" w:w="60"/>
              <w:left w:type="dxa" w:w="100"/>
              <w:bottom w:type="dxa" w:w="60"/>
              <w:right w:type="dxa" w:w="100"/>
            </w:tcMar>
            <w:vAlign w:val="center"/>
          </w:tcPr>
          <w:p>
            <w:pPr>
              <w:pStyle w:val="Tabela"/>
              <w:jc w:val="left"/>
            </w:pPr>
            <w:r>
              <w:t xml:space="preserve">1980</w:t>
            </w:r>
          </w:p>
        </w:tc>
        <w:tc>
          <w:tcPr>
            <w:tcMar>
              <w:top w:type="dxa" w:w="60"/>
              <w:left w:type="dxa" w:w="100"/>
              <w:bottom w:type="dxa" w:w="60"/>
              <w:right w:type="dxa" w:w="100"/>
            </w:tcMar>
            <w:vAlign w:val="center"/>
          </w:tcPr>
          <w:p>
            <w:pPr>
              <w:pStyle w:val="Tabela"/>
              <w:jc w:val="left"/>
            </w:pPr>
            <w:r>
              <w:t xml:space="preserve">Criação do GETAT (Decreto-lei 1.767)</w:t>
            </w:r>
          </w:p>
        </w:tc>
        <w:tc>
          <w:tcPr>
            <w:tcMar>
              <w:top w:type="dxa" w:w="60"/>
              <w:left w:type="dxa" w:w="100"/>
              <w:bottom w:type="dxa" w:w="60"/>
              <w:right w:type="dxa" w:w="100"/>
            </w:tcMar>
            <w:vAlign w:val="center"/>
          </w:tcPr>
          <w:p>
            <w:pPr>
              <w:pStyle w:val="Tabela"/>
              <w:jc w:val="left"/>
            </w:pPr>
            <w:r>
              <w:t xml:space="preserve">(CARMO, 2023)</w:t>
            </w:r>
          </w:p>
        </w:tc>
      </w:tr>
      <w:tr>
        <w:tc>
          <w:tcPr>
            <w:tcMar>
              <w:top w:type="dxa" w:w="60"/>
              <w:left w:type="dxa" w:w="100"/>
              <w:bottom w:type="dxa" w:w="60"/>
              <w:right w:type="dxa" w:w="100"/>
            </w:tcMar>
            <w:vAlign w:val="center"/>
          </w:tcPr>
          <w:p>
            <w:pPr>
              <w:pStyle w:val="Tabela"/>
              <w:jc w:val="left"/>
            </w:pPr>
            <w:r>
              <w:t xml:space="preserve">1982–1985</w:t>
            </w:r>
          </w:p>
        </w:tc>
        <w:tc>
          <w:tcPr>
            <w:tcMar>
              <w:top w:type="dxa" w:w="60"/>
              <w:left w:type="dxa" w:w="100"/>
              <w:bottom w:type="dxa" w:w="60"/>
              <w:right w:type="dxa" w:w="100"/>
            </w:tcMar>
            <w:vAlign w:val="center"/>
          </w:tcPr>
          <w:p>
            <w:pPr>
              <w:pStyle w:val="Tabela"/>
              <w:jc w:val="left"/>
            </w:pPr>
            <w:r>
              <w:t xml:space="preserve">Assentamento dirigido nos CEDEREs I, II e III; 1.551 famílias assentadas, 816 títulos definitivos até 1985</w:t>
            </w:r>
          </w:p>
        </w:tc>
        <w:tc>
          <w:tcPr>
            <w:tcMar>
              <w:top w:type="dxa" w:w="60"/>
              <w:left w:type="dxa" w:w="100"/>
              <w:bottom w:type="dxa" w:w="60"/>
              <w:right w:type="dxa" w:w="100"/>
            </w:tcMar>
            <w:vAlign w:val="center"/>
          </w:tcPr>
          <w:p>
            <w:pPr>
              <w:pStyle w:val="Tabela"/>
              <w:jc w:val="left"/>
            </w:pPr>
            <w:r>
              <w:t xml:space="preserve">(CABRAL ET AL., 2011; CARMO, 2023)</w:t>
            </w:r>
          </w:p>
        </w:tc>
      </w:tr>
      <w:tr>
        <w:tc>
          <w:tcPr>
            <w:tcMar>
              <w:top w:type="dxa" w:w="60"/>
              <w:left w:type="dxa" w:w="100"/>
              <w:bottom w:type="dxa" w:w="60"/>
              <w:right w:type="dxa" w:w="100"/>
            </w:tcMar>
            <w:vAlign w:val="center"/>
          </w:tcPr>
          <w:p>
            <w:pPr>
              <w:pStyle w:val="Tabela"/>
              <w:jc w:val="left"/>
            </w:pPr>
            <w:r>
              <w:t xml:space="preserve">1988</w:t>
            </w:r>
          </w:p>
        </w:tc>
        <w:tc>
          <w:tcPr>
            <w:tcMar>
              <w:top w:type="dxa" w:w="60"/>
              <w:left w:type="dxa" w:w="100"/>
              <w:bottom w:type="dxa" w:w="60"/>
              <w:right w:type="dxa" w:w="100"/>
            </w:tcMar>
            <w:vAlign w:val="center"/>
          </w:tcPr>
          <w:p>
            <w:pPr>
              <w:pStyle w:val="Tabela"/>
              <w:jc w:val="left"/>
            </w:pPr>
            <w:r>
              <w:t xml:space="preserve">Parauapebas desmembrada de Marabá; o CEDERE II passa a Parauapebas</w:t>
            </w:r>
          </w:p>
        </w:tc>
        <w:tc>
          <w:tcPr>
            <w:tcMar>
              <w:top w:type="dxa" w:w="60"/>
              <w:left w:type="dxa" w:w="100"/>
              <w:bottom w:type="dxa" w:w="60"/>
              <w:right w:type="dxa" w:w="100"/>
            </w:tcMar>
            <w:vAlign w:val="center"/>
          </w:tcPr>
          <w:p>
            <w:pPr>
              <w:pStyle w:val="Tabela"/>
              <w:jc w:val="left"/>
            </w:pPr>
            <w:r>
              <w:t xml:space="preserve">(CARMO, 2023)</w:t>
            </w:r>
          </w:p>
        </w:tc>
      </w:tr>
      <w:tr>
        <w:tc>
          <w:tcPr>
            <w:tcMar>
              <w:top w:type="dxa" w:w="60"/>
              <w:left w:type="dxa" w:w="100"/>
              <w:bottom w:type="dxa" w:w="60"/>
              <w:right w:type="dxa" w:w="100"/>
            </w:tcMar>
            <w:vAlign w:val="center"/>
          </w:tcPr>
          <w:p>
            <w:pPr>
              <w:pStyle w:val="Tabela"/>
              <w:jc w:val="left"/>
            </w:pPr>
            <w:r>
              <w:t xml:space="preserve">1991</w:t>
            </w:r>
          </w:p>
        </w:tc>
        <w:tc>
          <w:tcPr>
            <w:tcMar>
              <w:top w:type="dxa" w:w="60"/>
              <w:left w:type="dxa" w:w="100"/>
              <w:bottom w:type="dxa" w:w="60"/>
              <w:right w:type="dxa" w:w="100"/>
            </w:tcMar>
            <w:vAlign w:val="center"/>
          </w:tcPr>
          <w:p>
            <w:pPr>
              <w:pStyle w:val="Tabela"/>
              <w:jc w:val="left"/>
            </w:pPr>
            <w:r>
              <w:t xml:space="preserve">Censo: Parauapebas com 53.335 habitantes, incluindo o atual Canaã</w:t>
            </w:r>
          </w:p>
        </w:tc>
        <w:tc>
          <w:tcPr>
            <w:tcMar>
              <w:top w:type="dxa" w:w="60"/>
              <w:left w:type="dxa" w:w="100"/>
              <w:bottom w:type="dxa" w:w="60"/>
              <w:right w:type="dxa" w:w="100"/>
            </w:tcMar>
            <w:vAlign w:val="center"/>
          </w:tcPr>
          <w:p>
            <w:pPr>
              <w:pStyle w:val="Tabela"/>
              <w:jc w:val="left"/>
            </w:pPr>
            <w:r>
              <w:t xml:space="preserve">IBGE, SIDRA t/200</w:t>
            </w:r>
          </w:p>
        </w:tc>
      </w:tr>
      <w:tr>
        <w:tc>
          <w:tcPr>
            <w:tcMar>
              <w:top w:type="dxa" w:w="60"/>
              <w:left w:type="dxa" w:w="100"/>
              <w:bottom w:type="dxa" w:w="60"/>
              <w:right w:type="dxa" w:w="100"/>
            </w:tcMar>
            <w:vAlign w:val="center"/>
          </w:tcPr>
          <w:p>
            <w:pPr>
              <w:pStyle w:val="Tabela"/>
              <w:jc w:val="left"/>
            </w:pPr>
            <w:r>
              <w:t xml:space="preserve">1994</w:t>
            </w:r>
          </w:p>
        </w:tc>
        <w:tc>
          <w:tcPr>
            <w:tcMar>
              <w:top w:type="dxa" w:w="60"/>
              <w:left w:type="dxa" w:w="100"/>
              <w:bottom w:type="dxa" w:w="60"/>
              <w:right w:type="dxa" w:w="100"/>
            </w:tcMar>
            <w:vAlign w:val="center"/>
          </w:tcPr>
          <w:p>
            <w:pPr>
              <w:pStyle w:val="Tabela"/>
              <w:jc w:val="left"/>
            </w:pPr>
            <w:r>
              <w:t xml:space="preserve">Lei estadual 5.860 cria o município; instalação em 1997</w:t>
            </w:r>
          </w:p>
        </w:tc>
        <w:tc>
          <w:tcPr>
            <w:tcMar>
              <w:top w:type="dxa" w:w="60"/>
              <w:left w:type="dxa" w:w="100"/>
              <w:bottom w:type="dxa" w:w="60"/>
              <w:right w:type="dxa" w:w="100"/>
            </w:tcMar>
            <w:vAlign w:val="center"/>
          </w:tcPr>
          <w:p>
            <w:pPr>
              <w:pStyle w:val="Tabela"/>
              <w:jc w:val="left"/>
            </w:pPr>
            <w:r>
              <w:t xml:space="preserve">IBGE, Formação administrativa</w:t>
            </w:r>
          </w:p>
        </w:tc>
      </w:tr>
      <w:tr>
        <w:tc>
          <w:tcPr>
            <w:tcMar>
              <w:top w:type="dxa" w:w="60"/>
              <w:left w:type="dxa" w:w="100"/>
              <w:bottom w:type="dxa" w:w="60"/>
              <w:right w:type="dxa" w:w="100"/>
            </w:tcMar>
            <w:vAlign w:val="center"/>
          </w:tcPr>
          <w:p>
            <w:pPr>
              <w:pStyle w:val="Tabela"/>
              <w:jc w:val="left"/>
            </w:pPr>
            <w:r>
              <w:t xml:space="preserve">2002–2004</w:t>
            </w:r>
          </w:p>
        </w:tc>
        <w:tc>
          <w:tcPr>
            <w:tcMar>
              <w:top w:type="dxa" w:w="60"/>
              <w:left w:type="dxa" w:w="100"/>
              <w:bottom w:type="dxa" w:w="60"/>
              <w:right w:type="dxa" w:w="100"/>
            </w:tcMar>
            <w:vAlign w:val="center"/>
          </w:tcPr>
          <w:p>
            <w:pPr>
              <w:pStyle w:val="Tabela"/>
              <w:jc w:val="left"/>
            </w:pPr>
            <w:r>
              <w:t xml:space="preserve">Construção da mina do Sossego (Vale, cobre); operação em 2004</w:t>
            </w:r>
          </w:p>
        </w:tc>
        <w:tc>
          <w:tcPr>
            <w:tcMar>
              <w:top w:type="dxa" w:w="60"/>
              <w:left w:type="dxa" w:w="100"/>
              <w:bottom w:type="dxa" w:w="60"/>
              <w:right w:type="dxa" w:w="100"/>
            </w:tcMar>
            <w:vAlign w:val="center"/>
          </w:tcPr>
          <w:p>
            <w:pPr>
              <w:pStyle w:val="Tabela"/>
              <w:jc w:val="left"/>
            </w:pPr>
            <w:r>
              <w:t xml:space="preserve">(MOURA ET AL., 2005; CABRAL ET AL., 2011)</w:t>
            </w:r>
          </w:p>
        </w:tc>
      </w:tr>
      <w:tr>
        <w:tc>
          <w:tcPr>
            <w:tcMar>
              <w:top w:type="dxa" w:w="60"/>
              <w:left w:type="dxa" w:w="100"/>
              <w:bottom w:type="dxa" w:w="60"/>
              <w:right w:type="dxa" w:w="100"/>
            </w:tcMar>
            <w:vAlign w:val="center"/>
          </w:tcPr>
          <w:p>
            <w:pPr>
              <w:pStyle w:val="Tabela"/>
              <w:jc w:val="left"/>
            </w:pPr>
            <w:r>
              <w:t xml:space="preserve">2013–2016</w:t>
            </w:r>
          </w:p>
        </w:tc>
        <w:tc>
          <w:tcPr>
            <w:tcMar>
              <w:top w:type="dxa" w:w="60"/>
              <w:left w:type="dxa" w:w="100"/>
              <w:bottom w:type="dxa" w:w="60"/>
              <w:right w:type="dxa" w:w="100"/>
            </w:tcMar>
            <w:vAlign w:val="center"/>
          </w:tcPr>
          <w:p>
            <w:pPr>
              <w:pStyle w:val="Tabela"/>
              <w:jc w:val="left"/>
            </w:pPr>
            <w:r>
              <w:t xml:space="preserve">Construção do S11D (Vale, ferro); operação em dezembro de 2016</w:t>
            </w:r>
          </w:p>
        </w:tc>
        <w:tc>
          <w:tcPr>
            <w:tcMar>
              <w:top w:type="dxa" w:w="60"/>
              <w:left w:type="dxa" w:w="100"/>
              <w:bottom w:type="dxa" w:w="60"/>
              <w:right w:type="dxa" w:w="100"/>
            </w:tcMar>
            <w:vAlign w:val="center"/>
          </w:tcPr>
          <w:p>
            <w:pPr>
              <w:pStyle w:val="Tabela"/>
              <w:jc w:val="left"/>
            </w:pPr>
            <w:r>
              <w:t xml:space="preserve">(CIRNE; GIACOMAZZI, 2021; PADILHA, 2020)</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Censo: 77.079 habitantes, 69.332 urbanos</w:t>
            </w:r>
          </w:p>
        </w:tc>
        <w:tc>
          <w:tcPr>
            <w:tcMar>
              <w:top w:type="dxa" w:w="60"/>
              <w:left w:type="dxa" w:w="100"/>
              <w:bottom w:type="dxa" w:w="60"/>
              <w:right w:type="dxa" w:w="100"/>
            </w:tcMar>
            <w:vAlign w:val="center"/>
          </w:tcPr>
          <w:p>
            <w:pPr>
              <w:pStyle w:val="Tabela"/>
              <w:jc w:val="left"/>
            </w:pPr>
            <w:r>
              <w:t xml:space="preserve">IBGE, SIDRA t/9923</w:t>
            </w:r>
          </w:p>
        </w:tc>
      </w:tr>
    </w:tbl>
    <w:p>
      <w:pPr>
        <w:spacing w:after="120"/>
      </w:pPr>
    </w:p>
    <w:p>
      <w:pPr>
        <w:pStyle w:val="Corpo"/>
      </w:pPr>
      <w:r>
        <w:t xml:space="preserve">O assentamento do GETAT é a origem material da cidade. O CEDERE II, implantado em 1982 no que é hoje a sede de Canaã, recebeu colonos em lotes de cerca de 50 ha; as fontes divergem sobre o escopo das 1.551 famílias assentadas entre 1982 e 1984 (se nos três núcleos ou apenas nos que hoje pertencem a Canaã), e apenas cerca de 10 % das famílias teriam permanecido nos lotes originais após 1985 (CABRAL ET AL., 2011). Convertidas em pessoas com o tamanho médio de domicílio da região em 1991 (4,76 moradores) como piso e 5,5 como teto, as famílias assentadas correspondem a algo entre 3,9 mil e 8,5 mil pessoas em 1985, conforme o cenário de escopo; esse é o único número que se pode oferecer para o assentamento, e ele é apresentado neste artigo apenas como faixa. Entre 1985 e 1996 a curva populacional é em U: esvaziamento dos lotes e recomposição por migração até a Contagem de 1996, que o SIDRA não publica para Canaã (o município só foi instalado em 1997) e que fontes secundárias registram em 11.139 habitantes (CABRAL ET AL., 2011). O Censo 2000 encontrou 10.922 pessoas, das quais 3.924 urbanas.</w:t>
      </w:r>
    </w:p>
    <w:p>
      <w:pPr>
        <w:pStyle w:val="Corpo"/>
      </w:pPr>
      <w:r>
        <w:t xml:space="preserve">A mineração chegou em duas ondas. A mina do Sossego, primeira operação de cobre da Vale, foi construída entre 2002 e 2004 e a Contagem de 2007 já encontrou 23.757 habitantes, mais que o dobro de 2000. O S11D, maior projeto de minério de ferro da história da empresa, foi licenciado em 2012, construído entre 2013 e 2016 e entrou em operação em dezembro de 2016; o Censo 2022 encontrou 77.079 habitantes. A CFEM distribuída ao município, que não passava de R$ 26 milhões anuais até 2016, alcançou R$ 1,1 bilhão em 2021 e fez de Canaã, em 2021, o responsável por 13,3 % do PIB do Pará. A Figura 1 situa a série populacional nesses marcos.</w:t>
      </w:r>
    </w:p>
    <w:p>
      <w:pPr>
        <w:spacing w:after="40" w:before="200"/>
        <w:jc w:val="center"/>
      </w:pPr>
      <w:r>
        <w:drawing>
          <wp:inline distT="0" distB="0" distL="0" distR="0">
            <wp:extent cx="5334000" cy="30181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8133"/>
                    </a:xfrm>
                    <a:prstGeom prst="rect">
                      <a:avLst/>
                    </a:prstGeom>
                  </pic:spPr>
                </pic:pic>
              </a:graphicData>
            </a:graphic>
          </wp:inline>
        </w:drawing>
      </w:r>
    </w:p>
    <w:p>
      <w:pPr>
        <w:pStyle w:val="Legenda"/>
        <w:jc w:val="center"/>
      </w:pPr>
      <w:r>
        <w:t xml:space="preserve">Figura 1 — População residente de Canaã dos Carajás, 1985–2026, por tipo de fonte. Faixas ocre em 1985: conversão de famílias assentadas em pessoas (4,76–5,5 moradores por domicílio), em três cenários de escopo; losangos: citações secundárias; círculos vazados: estimativas anuais do IBGE, ancoradas no censo anterior e sistematicamente subestimadas; janelas sombreadas: construção das minas. Fonte: IBGE (Censos 1991–2022, Contagem 2007, Estimativas); CETEM (2011); PDP (2007); PLANO.md Fase 1b.</w:t>
      </w:r>
    </w:p>
    <w:p>
      <w:pPr>
        <w:pStyle w:val="Titulo1"/>
      </w:pPr>
      <w:r>
        <w:t xml:space="preserve">4 Dados e métodos</w:t>
      </w:r>
    </w:p>
    <w:p>
      <w:pPr>
        <w:pStyle w:val="Titulo2"/>
      </w:pPr>
      <w:r>
        <w:t xml:space="preserve">4.1 Fontes oficiais e agregados por setor</w:t>
      </w:r>
    </w:p>
    <w:p>
      <w:pPr>
        <w:pStyle w:val="Corpo"/>
      </w:pPr>
      <w:r>
        <w:t xml:space="preserve">A série populacional e os indicadores municipais vêm da API do SIDRA (IBGE): Censos de 1970 a 2022 (tabelas 200, 202, 9923, 1552, 9514, 9605), Contagens de 1996 e 2007 (305, 793), estimativas anuais (6579), PIB dos Municípios (5938) e Cadastro Central de Empresas (6449). As receitas da CFEM de 2004 a 2026 vêm dos relatórios de distribuição da Agência Nacional de Mineração, lidos diretamente das páginas oficiais, e foram deflacionadas pelo IPCA de julho de cada ano para reais de julho de 2022. Os agregados do Universo por setor censitário (2010: 39 setores; 2022: 119) foram recortados das malhas oficiais e reprojetados para SIRGAS 2000 / UTM 22S (EPSG:31982), em que todas as áreas deste artigo são calculadas; os nomes de variáveis foram resolvidos contra os dicionários oficiais, nunca digitados de memória. A soma dos setores reproduz o total municipal do SIDRA em 2022 (77.079) e fica a 0,5 % dele em 2010.</w:t>
      </w:r>
    </w:p>
    <w:p>
      <w:pPr>
        <w:pStyle w:val="Titulo2"/>
      </w:pPr>
      <w:r>
        <w:t xml:space="preserve">4.2 Microdados da amostra e harmonização</w:t>
      </w:r>
    </w:p>
    <w:p>
      <w:pPr>
        <w:pStyle w:val="Corpo"/>
      </w:pPr>
      <w:r>
        <w:t xml:space="preserve">Os microdados da amostra dos Censos de 1991, 2000, 2010 e 2022 foram lidos para o Pará inteiro a partir dos layouts oficiais e harmonizados num esquema único: sexo, idade, cor ou raça, nível de instrução em quatro classes, ocupação, posição na ocupação em seis classes, vínculo formal, setor de atividade em nove classes (CNAE-Dom 1.0 e 2.0 e seção CNAE em 2022), renda do trabalho e renda total deflacionadas para reais de julho de 2022, status migratório de data fixa (residência cinco anos antes, com os saltos de pergunta de cada questionário tratados), origem por município e UF, naturalidade, tempo de moradia e ano de chegada; para os domicílios, tipo, condição de ocupação, água, esgoto, lixo, energia (até 2010), internet (2010 e 2022), moradores por dormitório, renda domiciliar per capita e um índice de adequação (água da rede geral, esgoto por rede ou fossa séptica e lixo coletado). As geografias são a sede de Canaã (situação urbana), o município, Parauapebas (sede e município) e o Pará. Como Canaã só existe a partir de 1994, o Censo 1991 é usado por meio de Parauapebas, que então incluía o atual território de Canaã: a linha de base de 1991 é, portanto, de um superconjunto, e é rotulada assim em todas as tabelas. A população expandida reproduz o SIDRA com desvio nulo em 2000 e 2010 e de 0,3 % em 2022 (o Censo 2022 de acesso controlado exclui domicílios coletivos), e o número de domicílios difere do Universo em menos de 0,1 %.</w:t>
      </w:r>
    </w:p>
    <w:p>
      <w:pPr>
        <w:pStyle w:val="Titulo2"/>
      </w:pPr>
      <w:r>
        <w:t xml:space="preserve">4.3 Estimação e controle de revelação</w:t>
      </w:r>
    </w:p>
    <w:p>
      <w:pPr>
        <w:pStyle w:val="Corpo"/>
      </w:pPr>
      <w:r>
        <w:t xml:space="preserve">Os erros-padrão foram obtidos por bootstrap de domicílios (Rao-Wu, 200 réplicas, estratificado por área de ponderação em 2022) e cada estimativa publicada leva coeficiente de variação e classe de precisão (boa até 15 %, cautela até 30 %, baixa acima). A amostra de Canaã é pequena (cerca de 1,9 mil pessoas em 2000, 2,6 mil em 2010 e 7,4 mil em 2022), o que limita os cruzamentos. Os microdados de 2022 são de acesso controlado, e o projeto aplica regras de controle de revelação alinhadas ao termo de compromisso: tamanho mínimo de célula (20 pessoas e 10 domicílios amostrais em 2022; 10 e 5 nos demais censos), contagens ponderadas arredondadas a 10, tamanhos amostrais só em faixas, no máximo duas dimensões temáticas cruzadas, nenhuma estimativa por área de ponderação, verificação de diferenciação entre município e sede (a área rural implícita também precisa cumprir o limiar) e supressão complementar, em que categorias pequenas são fundidas numa célula "outros" cujos constituintes ficam explícitos. Um verificador independente reconta todas as 20.458 células publicadas a partir dos microdados antes de qualquer saída chegar às tabelas e figuras. As razões e diferenças entre grupos apresentadas aqui foram derivadas dessas células com propagação de erro pelo método delta, supondo independência entre células, o que é conservador.</w:t>
      </w:r>
    </w:p>
    <w:p>
      <w:pPr>
        <w:pStyle w:val="Titulo2"/>
      </w:pPr>
      <w:r>
        <w:t xml:space="preserve">4.4 Sensoriamento remoto: a série anual da mancha urbana</w:t>
      </w:r>
    </w:p>
    <w:p>
      <w:pPr>
        <w:pStyle w:val="Corpo"/>
      </w:pPr>
      <w:r>
        <w:t xml:space="preserve">A área construída da sede foi mapeada ano a ano numa grade fixa de 30 m (887 por 740 pixels, EPSG:31982) com 1.777 recortes de cenas Landsat 5, 7, 8 e 9 (coleção 2, nível 2), Sentinel-2 L2A e CBERS obtidos via catálogos STAC do Planetary Computer, do Element84 e do Brazil Data Cube, sem uso de plataformas em nuvem proprietárias. Para cada ano compôs-se a mediana da estação seca (junho a setembro, nuvem abaixo de 40 %), com máscara de qualidade, harmonização OLI para ETM+ segundo Roy et al. (2016) e uma composição de NDVI máximo da estação chuvosa para capturar a amplitude intersazonal, que separa o construído do solo exposto e do pasto seco. Quarenta e dois dos 43 anos têm 100 % dos pixels observados; 1984 tem 97 %. As 20 feições incluem as seis bandas, índices espectrais (NDVI, NDBI, MNDWI, BUI, BSI, IBI, NBR2), textura local, NDVI máximo da chuva, amplitude intersazonal e declividade do Copernicus DEM.</w:t>
      </w:r>
    </w:p>
    <w:p>
      <w:pPr>
        <w:pStyle w:val="Corpo"/>
      </w:pPr>
      <w:r>
        <w:t xml:space="preserve">A classificação usou Random Forest treinado por era de sensor (TM/ETM+ 1984–2012; OLI 2013–2026; MSI 2017–2026 a 10 m), com rótulos de MapBiomas e do World Settlement Footprint para 2000 e 2010 e das Áreas Urbanizadas do IBGE para 2019 e 2022, negativos estratificados e loteamentos vazios como negativos explícitos, e uma amostra de pixels estáveis comum a todas as eras. A acurácia por validação cruzada em blocos de 3 km ficou entre 0,95 e 0,98. O pós-processamento aplica, nesta ordem, abertura morfológica para remover estradas de um pixel, maioria temporal em janela de três anos, persistência (um pixel só é selado depois de dois anos consecutivos como urbano, e só o núcleo selado é protegido de retração), máscara de mineração (lavra observada mais 1 km e concessões da ANM próximas à lavra), unidade mínima de 1 ha e encadeamento de 1 km ao núcleo para separar a sede contígua dos outros núcleos. A partir de 2022 os polígonos de loteamento sem construção das Áreas Urbanizadas 2022 são mantidos como classe separada.</w:t>
      </w:r>
    </w:p>
    <w:p>
      <w:pPr>
        <w:pStyle w:val="Corpo"/>
      </w:pPr>
      <w:r>
        <w:t xml:space="preserve">A validação independente seguiu Olofsson et al. (2014) e Stehman (2014) em três épocas: 2009 (CBERS-2B HRC, 2,5 m, corregistrada por correlação de fase porque as cenas chegam com erro de georreferência de até 3 km), 2017 (CBERS-4 PAN5M, 5 m) e 2022 (CBERS-4A WPM, 2 m), com amostra aleatória estratificada e fotointerpretação de 50 pontos por estrato. A acurácia global ficou entre 0,984 e 0,996, com omissão do urbano próxima de zero e comissão de 15 a 20 % na franja (lotes terraplenados, pátios, chácaras). As áreas ajustadas pela matriz de erro, com intervalo de confiança de 95 %, são de 931 ± 176 ha em 2009, 2.260 ± 325 ha em 2017 e 2.573 ± 555 ha em 2022 para o urbano total; o fator entre área ajustada e área mapeada (0,79 a 0,87) foi interpolado entre as épocas validadas e mantido constante fora delas, e é aplicado a toda a série apresentada nas figuras. Antes de 1999 não há referência independente e a acurácia não é verificável. O limiar de probabilidade de 0,5 foi fixado antes da validação. A série própria diverge dos produtos globais na direção esperada: o MapBiomas superestima a área urbana da janela por um fator mediano de 4,1 e a mantém estagnada entre 1996 e 2014; o World Settlement Footprint Evolution acompanha a série própria até 2002 e depois subestima o crescimento; as Áreas Urbanizadas do IBGE de 2022 (2.139 ha na sede) ficam 8 % abaixo da área ajustada.</w:t>
      </w:r>
    </w:p>
    <w:p>
      <w:pPr>
        <w:pStyle w:val="Titulo2"/>
      </w:pPr>
      <w:r>
        <w:t xml:space="preserve">4.5 Desenho analítico</w:t>
      </w:r>
    </w:p>
    <w:p>
      <w:pPr>
        <w:pStyle w:val="Corpo"/>
      </w:pPr>
      <w:r>
        <w:t xml:space="preserve">Os resultados combinam os três corpos de evidência em nove blocos: (a) a série populacional oficial, as estimativas anuais e as citações de terceiros, rotuladas por tipo de fonte; (b) a mancha anual contra a população da sede, com elasticidade área-população, densidade sobre a área construída e a razão do indicador ODS 11.3.1 entre a taxa de consumo de solo e a de crescimento populacional; (c) as coortes de chegada dos moradores não naturais; (d) o perfil dos migrantes de data fixa e dos não migrantes, com razões de seletividade; (e) a inserção ocupacional e, em particular, a inserção na cadeia produtiva da mineração, definida como extrativa mineral (seção B da CNAE, que inclui atividades de apoio à extração), construção (F) e indústria de transformação (C), com a ressalva de que fornecedores da mina em serviços e transporte não são identificáveis no CNAE-Dom, de modo que a cadeia ampliada é um limite inferior; (f) as condições dos domicílios segundo a presença de migrante recente e a desigualdade entre setores censitários da sede, situados pela distância ao núcleo de 1990 e pelo ano mediano de urbanização de seus pixels; (g) a comparação com Parauapebas e o Pará, com diferença-em-diferenças descritiva, e com grupos de municípios do Sudeste Paraense num painel de áreas mínimas comparáveis 2000–2022; (h) 1991 como linha de base pré-mineral; (i) PIB, CFEM e emprego formal.</w:t>
      </w:r>
    </w:p>
    <w:p>
      <w:pPr>
        <w:pStyle w:val="Titulo2"/>
      </w:pPr>
      <w:r>
        <w:t xml:space="preserve">4.6 Limitações</w:t>
      </w:r>
    </w:p>
    <w:p>
      <w:pPr>
        <w:pStyle w:val="Corpo"/>
      </w:pPr>
      <w:r>
        <w:t xml:space="preserve">Cinco limitações devem ser declaradas. Primeira, a amostra censitária de Canaã é pequena e o controle de revelação suprime ou funde categorias, sobretudo na sede: o perfil detalhado é apresentado para o município, e a sede aparece nos agregados. Segunda, os migrantes de data fixa captam apenas quem chegou nos cinco anos anteriores a cada censo e sobreviveu no município até a data de referência; as coortes de chegada são sobreviventes, não fluxos. Terceira, a série de mancha tem comissão na franja e não pode ser validada antes de 1999; o ano de 2026 é o último da série e carece de confirmação temporal, sendo tratado como provisório. Quarta, as estimativas populacionais anuais do IBGE entre censos subestimaram sistematicamente o crescimento de Canaã (a Contagem de 2007 e o Censo 2022 encontraram cerca do dobro do estimado), o que afeta qualquer indicador per capita anual. Quinta, a reconstituição da população entre 1982 e 2000 depende de fontes secundárias parcialmente inconsistentes; ela é apresentada como faixa e não como série.</w:t>
      </w:r>
    </w:p>
    <w:p>
      <w:pPr>
        <w:pStyle w:val="Titulo1"/>
      </w:pPr>
      <w:r>
        <w:t xml:space="preserve">5 Resultados</w:t>
      </w:r>
    </w:p>
    <w:p>
      <w:pPr>
        <w:pStyle w:val="Titulo2"/>
      </w:pPr>
      <w:r>
        <w:t xml:space="preserve">5.1 A trajetória populacional</w:t>
      </w:r>
    </w:p>
    <w:p>
      <w:pPr>
        <w:pStyle w:val="Corpo"/>
      </w:pPr>
      <w:r>
        <w:t xml:space="preserve">A Tabela 1 resume a série oficial. Canaã cresceu 9,4 % ao ano entre 2000 e 2010 e 9,2 % ao ano entre 2010 e 2022, ritmos que se decompõem em pulsos: 11,7 % ao ano entre o Censo 2000 e a Contagem de 2007, durante e logo após as obras do Sossego, e 4,0 % ao ano entre 2007 e 2010; a década de 2010 acrescentou 4,2 mil habitantes por ano. Entre a Contagem de 1996 (citação secundária) e o Censo 2000 a população foi estável ou levemente decrescente, o que é coerente com o esvaziamento dos lotes rurais descrito pela literatura. A população urbana passou de 3.924 (2000) para 20.727 (2010) e 69.332 (2022); a sede contígua, medida pelos setores urbanos cujo construído pertence à mancha principal, concentrava 67.915 pessoas em 2022, e a Vila Planalto, núcleo separado, outras 1.417.</w:t>
      </w:r>
    </w:p>
    <w:p>
      <w:pPr>
        <w:pStyle w:val="Corpo"/>
      </w:pPr>
      <w:r>
        <w:rPr>
          <w:b/>
          <w:bCs/>
        </w:rPr>
        <w:t xml:space="preserve">Tabela 1 — População residente de Canaã dos Carajás e taxas geométricas de crescimento, 1996–2026</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Período</w:t>
            </w:r>
          </w:p>
        </w:tc>
        <w:tc>
          <w:tcPr>
            <w:tcMar>
              <w:top w:type="dxa" w:w="60"/>
              <w:left w:type="dxa" w:w="100"/>
              <w:bottom w:type="dxa" w:w="60"/>
              <w:right w:type="dxa" w:w="100"/>
            </w:tcMar>
            <w:vAlign w:val="center"/>
          </w:tcPr>
          <w:p>
            <w:pPr>
              <w:pStyle w:val="TabelaCab"/>
              <w:jc w:val="left"/>
            </w:pPr>
            <w:r>
              <w:t xml:space="preserve">População inicial</w:t>
            </w:r>
          </w:p>
        </w:tc>
        <w:tc>
          <w:tcPr>
            <w:tcMar>
              <w:top w:type="dxa" w:w="60"/>
              <w:left w:type="dxa" w:w="100"/>
              <w:bottom w:type="dxa" w:w="60"/>
              <w:right w:type="dxa" w:w="100"/>
            </w:tcMar>
            <w:vAlign w:val="center"/>
          </w:tcPr>
          <w:p>
            <w:pPr>
              <w:pStyle w:val="TabelaCab"/>
              <w:jc w:val="left"/>
            </w:pPr>
            <w:r>
              <w:t xml:space="preserve">População final</w:t>
            </w:r>
          </w:p>
        </w:tc>
        <w:tc>
          <w:tcPr>
            <w:tcMar>
              <w:top w:type="dxa" w:w="60"/>
              <w:left w:type="dxa" w:w="100"/>
              <w:bottom w:type="dxa" w:w="60"/>
              <w:right w:type="dxa" w:w="100"/>
            </w:tcMar>
            <w:vAlign w:val="center"/>
          </w:tcPr>
          <w:p>
            <w:pPr>
              <w:pStyle w:val="TabelaCab"/>
              <w:jc w:val="left"/>
            </w:pPr>
            <w:r>
              <w:t xml:space="preserve">Taxa geométrica (% a.a.)</w:t>
            </w:r>
          </w:p>
        </w:tc>
        <w:tc>
          <w:tcPr>
            <w:tcMar>
              <w:top w:type="dxa" w:w="60"/>
              <w:left w:type="dxa" w:w="100"/>
              <w:bottom w:type="dxa" w:w="60"/>
              <w:right w:type="dxa" w:w="100"/>
            </w:tcMar>
            <w:vAlign w:val="center"/>
          </w:tcPr>
          <w:p>
            <w:pPr>
              <w:pStyle w:val="TabelaCab"/>
              <w:jc w:val="left"/>
            </w:pPr>
            <w:r>
              <w:t xml:space="preserve">Acréscimo médio (hab./ano)</w:t>
            </w:r>
          </w:p>
        </w:tc>
      </w:tr>
      <w:tr>
        <w:tc>
          <w:tcPr>
            <w:tcMar>
              <w:top w:type="dxa" w:w="60"/>
              <w:left w:type="dxa" w:w="100"/>
              <w:bottom w:type="dxa" w:w="60"/>
              <w:right w:type="dxa" w:w="100"/>
            </w:tcMar>
            <w:vAlign w:val="center"/>
          </w:tcPr>
          <w:p>
            <w:pPr>
              <w:pStyle w:val="Tabela"/>
              <w:jc w:val="left"/>
            </w:pPr>
            <w:r>
              <w:t xml:space="preserve">2000–2007</w:t>
            </w:r>
          </w:p>
        </w:tc>
        <w:tc>
          <w:tcPr>
            <w:tcMar>
              <w:top w:type="dxa" w:w="60"/>
              <w:left w:type="dxa" w:w="100"/>
              <w:bottom w:type="dxa" w:w="60"/>
              <w:right w:type="dxa" w:w="100"/>
            </w:tcMar>
            <w:vAlign w:val="center"/>
          </w:tcPr>
          <w:p>
            <w:pPr>
              <w:pStyle w:val="Tabela"/>
              <w:jc w:val="left"/>
            </w:pPr>
            <w:r>
              <w:t xml:space="preserve">10.922</w:t>
            </w:r>
          </w:p>
        </w:tc>
        <w:tc>
          <w:tcPr>
            <w:tcMar>
              <w:top w:type="dxa" w:w="60"/>
              <w:left w:type="dxa" w:w="100"/>
              <w:bottom w:type="dxa" w:w="60"/>
              <w:right w:type="dxa" w:w="100"/>
            </w:tcMar>
            <w:vAlign w:val="center"/>
          </w:tcPr>
          <w:p>
            <w:pPr>
              <w:pStyle w:val="Tabela"/>
              <w:jc w:val="left"/>
            </w:pPr>
            <w:r>
              <w:t xml:space="preserve">23.757</w:t>
            </w:r>
          </w:p>
        </w:tc>
        <w:tc>
          <w:tcPr>
            <w:tcMar>
              <w:top w:type="dxa" w:w="60"/>
              <w:left w:type="dxa" w:w="100"/>
              <w:bottom w:type="dxa" w:w="60"/>
              <w:right w:type="dxa" w:w="100"/>
            </w:tcMar>
            <w:vAlign w:val="center"/>
          </w:tcPr>
          <w:p>
            <w:pPr>
              <w:pStyle w:val="Tabela"/>
              <w:jc w:val="left"/>
            </w:pPr>
            <w:r>
              <w:t xml:space="preserve">11,7</w:t>
            </w:r>
          </w:p>
        </w:tc>
        <w:tc>
          <w:tcPr>
            <w:tcMar>
              <w:top w:type="dxa" w:w="60"/>
              <w:left w:type="dxa" w:w="100"/>
              <w:bottom w:type="dxa" w:w="60"/>
              <w:right w:type="dxa" w:w="100"/>
            </w:tcMar>
            <w:vAlign w:val="center"/>
          </w:tcPr>
          <w:p>
            <w:pPr>
              <w:pStyle w:val="Tabela"/>
              <w:jc w:val="left"/>
            </w:pPr>
            <w:r>
              <w:t xml:space="preserve">1.834</w:t>
            </w:r>
          </w:p>
        </w:tc>
      </w:tr>
      <w:tr>
        <w:tc>
          <w:tcPr>
            <w:tcMar>
              <w:top w:type="dxa" w:w="60"/>
              <w:left w:type="dxa" w:w="100"/>
              <w:bottom w:type="dxa" w:w="60"/>
              <w:right w:type="dxa" w:w="100"/>
            </w:tcMar>
            <w:vAlign w:val="center"/>
          </w:tcPr>
          <w:p>
            <w:pPr>
              <w:pStyle w:val="Tabela"/>
              <w:jc w:val="left"/>
            </w:pPr>
            <w:r>
              <w:t xml:space="preserve">2007–2010</w:t>
            </w:r>
          </w:p>
        </w:tc>
        <w:tc>
          <w:tcPr>
            <w:tcMar>
              <w:top w:type="dxa" w:w="60"/>
              <w:left w:type="dxa" w:w="100"/>
              <w:bottom w:type="dxa" w:w="60"/>
              <w:right w:type="dxa" w:w="100"/>
            </w:tcMar>
            <w:vAlign w:val="center"/>
          </w:tcPr>
          <w:p>
            <w:pPr>
              <w:pStyle w:val="Tabela"/>
              <w:jc w:val="left"/>
            </w:pPr>
            <w:r>
              <w:t xml:space="preserve">23.757</w:t>
            </w:r>
          </w:p>
        </w:tc>
        <w:tc>
          <w:tcPr>
            <w:tcMar>
              <w:top w:type="dxa" w:w="60"/>
              <w:left w:type="dxa" w:w="100"/>
              <w:bottom w:type="dxa" w:w="60"/>
              <w:right w:type="dxa" w:w="100"/>
            </w:tcMar>
            <w:vAlign w:val="center"/>
          </w:tcPr>
          <w:p>
            <w:pPr>
              <w:pStyle w:val="Tabela"/>
              <w:jc w:val="left"/>
            </w:pPr>
            <w:r>
              <w:t xml:space="preserve">26.716</w:t>
            </w:r>
          </w:p>
        </w:tc>
        <w:tc>
          <w:tcPr>
            <w:tcMar>
              <w:top w:type="dxa" w:w="60"/>
              <w:left w:type="dxa" w:w="100"/>
              <w:bottom w:type="dxa" w:w="60"/>
              <w:right w:type="dxa" w:w="100"/>
            </w:tcMar>
            <w:vAlign w:val="center"/>
          </w:tcPr>
          <w:p>
            <w:pPr>
              <w:pStyle w:val="Tabela"/>
              <w:jc w:val="left"/>
            </w:pPr>
            <w:r>
              <w:t xml:space="preserve">4,0</w:t>
            </w:r>
          </w:p>
        </w:tc>
        <w:tc>
          <w:tcPr>
            <w:tcMar>
              <w:top w:type="dxa" w:w="60"/>
              <w:left w:type="dxa" w:w="100"/>
              <w:bottom w:type="dxa" w:w="60"/>
              <w:right w:type="dxa" w:w="100"/>
            </w:tcMar>
            <w:vAlign w:val="center"/>
          </w:tcPr>
          <w:p>
            <w:pPr>
              <w:pStyle w:val="Tabela"/>
              <w:jc w:val="left"/>
            </w:pPr>
            <w:r>
              <w:t xml:space="preserve">986</w:t>
            </w:r>
          </w:p>
        </w:tc>
      </w:tr>
      <w:tr>
        <w:tc>
          <w:tcPr>
            <w:tcMar>
              <w:top w:type="dxa" w:w="60"/>
              <w:left w:type="dxa" w:w="100"/>
              <w:bottom w:type="dxa" w:w="60"/>
              <w:right w:type="dxa" w:w="100"/>
            </w:tcMar>
            <w:vAlign w:val="center"/>
          </w:tcPr>
          <w:p>
            <w:pPr>
              <w:pStyle w:val="Tabela"/>
              <w:jc w:val="left"/>
            </w:pPr>
            <w:r>
              <w:t xml:space="preserve">2010–2022</w:t>
            </w:r>
          </w:p>
        </w:tc>
        <w:tc>
          <w:tcPr>
            <w:tcMar>
              <w:top w:type="dxa" w:w="60"/>
              <w:left w:type="dxa" w:w="100"/>
              <w:bottom w:type="dxa" w:w="60"/>
              <w:right w:type="dxa" w:w="100"/>
            </w:tcMar>
            <w:vAlign w:val="center"/>
          </w:tcPr>
          <w:p>
            <w:pPr>
              <w:pStyle w:val="Tabela"/>
              <w:jc w:val="left"/>
            </w:pPr>
            <w:r>
              <w:t xml:space="preserve">26.716</w:t>
            </w:r>
          </w:p>
        </w:tc>
        <w:tc>
          <w:tcPr>
            <w:tcMar>
              <w:top w:type="dxa" w:w="60"/>
              <w:left w:type="dxa" w:w="100"/>
              <w:bottom w:type="dxa" w:w="60"/>
              <w:right w:type="dxa" w:w="100"/>
            </w:tcMar>
            <w:vAlign w:val="center"/>
          </w:tcPr>
          <w:p>
            <w:pPr>
              <w:pStyle w:val="Tabela"/>
              <w:jc w:val="left"/>
            </w:pPr>
            <w:r>
              <w:t xml:space="preserve">77.079</w:t>
            </w:r>
          </w:p>
        </w:tc>
        <w:tc>
          <w:tcPr>
            <w:tcMar>
              <w:top w:type="dxa" w:w="60"/>
              <w:left w:type="dxa" w:w="100"/>
              <w:bottom w:type="dxa" w:w="60"/>
              <w:right w:type="dxa" w:w="100"/>
            </w:tcMar>
            <w:vAlign w:val="center"/>
          </w:tcPr>
          <w:p>
            <w:pPr>
              <w:pStyle w:val="Tabela"/>
              <w:jc w:val="left"/>
            </w:pPr>
            <w:r>
              <w:t xml:space="preserve">9,2</w:t>
            </w:r>
          </w:p>
        </w:tc>
        <w:tc>
          <w:tcPr>
            <w:tcMar>
              <w:top w:type="dxa" w:w="60"/>
              <w:left w:type="dxa" w:w="100"/>
              <w:bottom w:type="dxa" w:w="60"/>
              <w:right w:type="dxa" w:w="100"/>
            </w:tcMar>
            <w:vAlign w:val="center"/>
          </w:tcPr>
          <w:p>
            <w:pPr>
              <w:pStyle w:val="Tabela"/>
              <w:jc w:val="left"/>
            </w:pPr>
            <w:r>
              <w:t xml:space="preserve">4.197</w:t>
            </w:r>
          </w:p>
        </w:tc>
      </w:tr>
      <w:tr>
        <w:tc>
          <w:tcPr>
            <w:tcMar>
              <w:top w:type="dxa" w:w="60"/>
              <w:left w:type="dxa" w:w="100"/>
              <w:bottom w:type="dxa" w:w="60"/>
              <w:right w:type="dxa" w:w="100"/>
            </w:tcMar>
            <w:vAlign w:val="center"/>
          </w:tcPr>
          <w:p>
            <w:pPr>
              <w:pStyle w:val="Tabela"/>
              <w:jc w:val="left"/>
            </w:pPr>
            <w:r>
              <w:t xml:space="preserve">2000–2010</w:t>
            </w:r>
          </w:p>
        </w:tc>
        <w:tc>
          <w:tcPr>
            <w:tcMar>
              <w:top w:type="dxa" w:w="60"/>
              <w:left w:type="dxa" w:w="100"/>
              <w:bottom w:type="dxa" w:w="60"/>
              <w:right w:type="dxa" w:w="100"/>
            </w:tcMar>
            <w:vAlign w:val="center"/>
          </w:tcPr>
          <w:p>
            <w:pPr>
              <w:pStyle w:val="Tabela"/>
              <w:jc w:val="left"/>
            </w:pPr>
            <w:r>
              <w:t xml:space="preserve">10.922</w:t>
            </w:r>
          </w:p>
        </w:tc>
        <w:tc>
          <w:tcPr>
            <w:tcMar>
              <w:top w:type="dxa" w:w="60"/>
              <w:left w:type="dxa" w:w="100"/>
              <w:bottom w:type="dxa" w:w="60"/>
              <w:right w:type="dxa" w:w="100"/>
            </w:tcMar>
            <w:vAlign w:val="center"/>
          </w:tcPr>
          <w:p>
            <w:pPr>
              <w:pStyle w:val="Tabela"/>
              <w:jc w:val="left"/>
            </w:pPr>
            <w:r>
              <w:t xml:space="preserve">26.716</w:t>
            </w:r>
          </w:p>
        </w:tc>
        <w:tc>
          <w:tcPr>
            <w:tcMar>
              <w:top w:type="dxa" w:w="60"/>
              <w:left w:type="dxa" w:w="100"/>
              <w:bottom w:type="dxa" w:w="60"/>
              <w:right w:type="dxa" w:w="100"/>
            </w:tcMar>
            <w:vAlign w:val="center"/>
          </w:tcPr>
          <w:p>
            <w:pPr>
              <w:pStyle w:val="Tabela"/>
              <w:jc w:val="left"/>
            </w:pPr>
            <w:r>
              <w:t xml:space="preserve">9,4</w:t>
            </w:r>
          </w:p>
        </w:tc>
        <w:tc>
          <w:tcPr>
            <w:tcMar>
              <w:top w:type="dxa" w:w="60"/>
              <w:left w:type="dxa" w:w="100"/>
              <w:bottom w:type="dxa" w:w="60"/>
              <w:right w:type="dxa" w:w="100"/>
            </w:tcMar>
            <w:vAlign w:val="center"/>
          </w:tcPr>
          <w:p>
            <w:pPr>
              <w:pStyle w:val="Tabela"/>
              <w:jc w:val="left"/>
            </w:pPr>
            <w:r>
              <w:t xml:space="preserve">1.579</w:t>
            </w:r>
          </w:p>
        </w:tc>
      </w:tr>
      <w:tr>
        <w:tc>
          <w:tcPr>
            <w:tcMar>
              <w:top w:type="dxa" w:w="60"/>
              <w:left w:type="dxa" w:w="100"/>
              <w:bottom w:type="dxa" w:w="60"/>
              <w:right w:type="dxa" w:w="100"/>
            </w:tcMar>
            <w:vAlign w:val="center"/>
          </w:tcPr>
          <w:p>
            <w:pPr>
              <w:pStyle w:val="Tabela"/>
              <w:jc w:val="left"/>
            </w:pPr>
            <w:r>
              <w:t xml:space="preserve">1996–2000 (1996 = citação CETEM)</w:t>
            </w:r>
          </w:p>
        </w:tc>
        <w:tc>
          <w:tcPr>
            <w:tcMar>
              <w:top w:type="dxa" w:w="60"/>
              <w:left w:type="dxa" w:w="100"/>
              <w:bottom w:type="dxa" w:w="60"/>
              <w:right w:type="dxa" w:w="100"/>
            </w:tcMar>
            <w:vAlign w:val="center"/>
          </w:tcPr>
          <w:p>
            <w:pPr>
              <w:pStyle w:val="Tabela"/>
              <w:jc w:val="left"/>
            </w:pPr>
            <w:r>
              <w:t xml:space="preserve">11.139</w:t>
            </w:r>
          </w:p>
        </w:tc>
        <w:tc>
          <w:tcPr>
            <w:tcMar>
              <w:top w:type="dxa" w:w="60"/>
              <w:left w:type="dxa" w:w="100"/>
              <w:bottom w:type="dxa" w:w="60"/>
              <w:right w:type="dxa" w:w="100"/>
            </w:tcMar>
            <w:vAlign w:val="center"/>
          </w:tcPr>
          <w:p>
            <w:pPr>
              <w:pStyle w:val="Tabela"/>
              <w:jc w:val="left"/>
            </w:pPr>
            <w:r>
              <w:t xml:space="preserve">10.922</w:t>
            </w:r>
          </w:p>
        </w:tc>
        <w:tc>
          <w:tcPr>
            <w:tcMar>
              <w:top w:type="dxa" w:w="60"/>
              <w:left w:type="dxa" w:w="100"/>
              <w:bottom w:type="dxa" w:w="60"/>
              <w:right w:type="dxa" w:w="100"/>
            </w:tcMar>
            <w:vAlign w:val="center"/>
          </w:tcPr>
          <w:p>
            <w:pPr>
              <w:pStyle w:val="Tabela"/>
              <w:jc w:val="left"/>
            </w:pPr>
            <w:r>
              <w:t xml:space="preserve">-0,5</w:t>
            </w:r>
          </w:p>
        </w:tc>
        <w:tc>
          <w:tcPr>
            <w:tcMar>
              <w:top w:type="dxa" w:w="60"/>
              <w:left w:type="dxa" w:w="100"/>
              <w:bottom w:type="dxa" w:w="60"/>
              <w:right w:type="dxa" w:w="100"/>
            </w:tcMar>
            <w:vAlign w:val="center"/>
          </w:tcPr>
          <w:p>
            <w:pPr>
              <w:pStyle w:val="Tabela"/>
              <w:jc w:val="left"/>
            </w:pPr>
            <w:r>
              <w:t xml:space="preserve">-54</w:t>
            </w:r>
          </w:p>
        </w:tc>
      </w:tr>
      <w:tr>
        <w:tc>
          <w:tcPr>
            <w:tcMar>
              <w:top w:type="dxa" w:w="60"/>
              <w:left w:type="dxa" w:w="100"/>
              <w:bottom w:type="dxa" w:w="60"/>
              <w:right w:type="dxa" w:w="100"/>
            </w:tcMar>
            <w:vAlign w:val="center"/>
          </w:tcPr>
          <w:p>
            <w:pPr>
              <w:pStyle w:val="Tabela"/>
              <w:jc w:val="left"/>
            </w:pPr>
            <w:r>
              <w:t xml:space="preserve">2022–2026 (2026 = estimativa IBGE)</w:t>
            </w:r>
          </w:p>
        </w:tc>
        <w:tc>
          <w:tcPr>
            <w:tcMar>
              <w:top w:type="dxa" w:w="60"/>
              <w:left w:type="dxa" w:w="100"/>
              <w:bottom w:type="dxa" w:w="60"/>
              <w:right w:type="dxa" w:w="100"/>
            </w:tcMar>
            <w:vAlign w:val="center"/>
          </w:tcPr>
          <w:p>
            <w:pPr>
              <w:pStyle w:val="Tabela"/>
              <w:jc w:val="left"/>
            </w:pPr>
            <w:r>
              <w:t xml:space="preserve">77.079</w:t>
            </w:r>
          </w:p>
        </w:tc>
        <w:tc>
          <w:tcPr>
            <w:tcMar>
              <w:top w:type="dxa" w:w="60"/>
              <w:left w:type="dxa" w:w="100"/>
              <w:bottom w:type="dxa" w:w="60"/>
              <w:right w:type="dxa" w:w="100"/>
            </w:tcMar>
            <w:vAlign w:val="center"/>
          </w:tcPr>
          <w:p>
            <w:pPr>
              <w:pStyle w:val="Tabela"/>
              <w:jc w:val="left"/>
            </w:pPr>
            <w:r>
              <w:t xml:space="preserve">92.311</w:t>
            </w:r>
          </w:p>
        </w:tc>
        <w:tc>
          <w:tcPr>
            <w:tcMar>
              <w:top w:type="dxa" w:w="60"/>
              <w:left w:type="dxa" w:w="100"/>
              <w:bottom w:type="dxa" w:w="60"/>
              <w:right w:type="dxa" w:w="100"/>
            </w:tcMar>
            <w:vAlign w:val="center"/>
          </w:tcPr>
          <w:p>
            <w:pPr>
              <w:pStyle w:val="Tabela"/>
              <w:jc w:val="left"/>
            </w:pPr>
            <w:r>
              <w:t xml:space="preserve">4,6</w:t>
            </w:r>
          </w:p>
        </w:tc>
        <w:tc>
          <w:tcPr>
            <w:tcMar>
              <w:top w:type="dxa" w:w="60"/>
              <w:left w:type="dxa" w:w="100"/>
              <w:bottom w:type="dxa" w:w="60"/>
              <w:right w:type="dxa" w:w="100"/>
            </w:tcMar>
            <w:vAlign w:val="center"/>
          </w:tcPr>
          <w:p>
            <w:pPr>
              <w:pStyle w:val="Tabela"/>
              <w:jc w:val="left"/>
            </w:pPr>
            <w:r>
              <w:t xml:space="preserve">3.808</w:t>
            </w:r>
          </w:p>
        </w:tc>
      </w:tr>
    </w:tbl>
    <w:p>
      <w:pPr>
        <w:spacing w:after="120"/>
      </w:pPr>
    </w:p>
    <w:p>
      <w:pPr>
        <w:pStyle w:val="Corpo"/>
      </w:pPr>
      <w:r>
        <w:t xml:space="preserve">Fonte: IBGE (Censos 2000, 2010 e 2022; Contagem 2007; Estimativas 2026); CETEM (2011) para 1996.</w:t>
      </w:r>
    </w:p>
    <w:p>
      <w:pPr>
        <w:pStyle w:val="Corpo"/>
      </w:pPr>
      <w:r>
        <w:t xml:space="preserve">Nota: O SIDRA não publica a Contagem 1996 para Canaã (município instalado em 1997); o valor de 1996 é citação secundária.</w:t>
      </w:r>
    </w:p>
    <w:p>
      <w:pPr>
        <w:pStyle w:val="Titulo2"/>
      </w:pPr>
      <w:r>
        <w:t xml:space="preserve">5.2 A mancha urbana, 1984–2026</w:t>
      </w:r>
    </w:p>
    <w:p>
      <w:pPr>
        <w:pStyle w:val="Corpo"/>
      </w:pPr>
      <w:r>
        <w:t xml:space="preserve">A Figura 2 mostra a série anual da área construída contígua da sede. O núcleo do CEDERE II tinha 8 ha em 1984 e 46 ha em 1990; em 2000 chegava a 139 ha mapeados (110 ha ajustados). O primeiro salto vem com as obras do Sossego: 504 ha em 2004 e 745 ha em 2007. A década seguinte é a de maior ritmo absoluto da série, 158 ha por ano entre 2004 e 2016, e o S11D encontra em 2016 uma cidade de 2.397 ha mapeados. A área cresce lentamente entre 2017 e 2022 (41 ha por ano) e volta a saltar depois de 2022, com 1.012 ha acrescidos até 2026, ano em que a sede alcança 3.656 ha mapeados e cerca de 3.200 ha ajustados; como 2026 não tem confirmação temporal, parte desse salto pode ser comissão. A Figura 3 mostra a sede em cinco cortes e a Figura 4 o primeiro ano urbano de cada pixel: mais da metade da sede de 2026 (52 %) foi construída entre o Sossego e o S11D. A expansão foi para oeste e sudoeste até 2004, para noroeste e sudoeste no ciclo Sossego–S11D e para sudoeste e norte depois do S11D; o centroide da mancha deslocou-se 1,1 km do núcleo histórico, rumo oeste-noroeste, e a forma tornou-se menos compacta depois de 2022, com o índice de proximidade caindo de 0,78 para 0,69.</w:t>
      </w:r>
    </w:p>
    <w:p>
      <w:pPr>
        <w:spacing w:after="40" w:before="200"/>
        <w:jc w:val="center"/>
      </w:pPr>
      <w:r>
        <w:drawing>
          <wp:inline distT="0" distB="0" distL="0" distR="0">
            <wp:extent cx="5334000" cy="42105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210538"/>
                    </a:xfrm>
                    <a:prstGeom prst="rect">
                      <a:avLst/>
                    </a:prstGeom>
                  </pic:spPr>
                </pic:pic>
              </a:graphicData>
            </a:graphic>
          </wp:inline>
        </w:drawing>
      </w:r>
    </w:p>
    <w:p>
      <w:pPr>
        <w:pStyle w:val="Legenda"/>
        <w:jc w:val="center"/>
      </w:pPr>
      <w:r>
        <w:t xml:space="preserve">Figura 2 — Área construída contígua da sede de Canaã dos Carajás, 1984–2026 (acima: área mapeada, área ajustada pela acurácia com IC 95 % e MapBiomas como comparação; abaixo: acréscimo anual em hectares). Janelas sombreadas: construção do Sossego (2002–04) e do S11D (2013–16). O valor de 2026 é provisório (último ano da série, sem confirmação temporal). Fonte: Elaboração própria: série própria Landsat/Sentinel-2 (30 m), validada com CBERS; população IBGE. MapBiomas Col. 11 (CC-BY).</w:t>
      </w:r>
    </w:p>
    <w:p>
      <w:pPr>
        <w:spacing w:after="40" w:before="200"/>
        <w:jc w:val="center"/>
      </w:pPr>
      <w:r>
        <w:drawing>
          <wp:inline distT="0" distB="0" distL="0" distR="0">
            <wp:extent cx="5334000" cy="18489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48999"/>
                    </a:xfrm>
                    <a:prstGeom prst="rect">
                      <a:avLst/>
                    </a:prstGeom>
                  </pic:spPr>
                </pic:pic>
              </a:graphicData>
            </a:graphic>
          </wp:inline>
        </w:drawing>
      </w:r>
    </w:p>
    <w:p>
      <w:pPr>
        <w:pStyle w:val="Legenda"/>
        <w:jc w:val="center"/>
      </w:pPr>
      <w:r>
        <w:t xml:space="preserve">Figura 3 — Área construída classificada (30 m) nos anos de 1990, 2000, 2010, 2022 e 2026; em cinza, a mancha do painel anterior. Hachura: loteamentos aprovados sem construção (Áreas Urbanizadas 2022). Fonte: Elaboração própria: série própria Landsat/Sentinel-2 (30 m), validada com CBERS; população IBGE.</w:t>
      </w:r>
    </w:p>
    <w:p>
      <w:pPr>
        <w:spacing w:after="40" w:before="200"/>
        <w:jc w:val="center"/>
      </w:pPr>
      <w:r>
        <w:drawing>
          <wp:inline distT="0" distB="0" distL="0" distR="0">
            <wp:extent cx="5334000" cy="43741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74173"/>
                    </a:xfrm>
                    <a:prstGeom prst="rect">
                      <a:avLst/>
                    </a:prstGeom>
                  </pic:spPr>
                </pic:pic>
              </a:graphicData>
            </a:graphic>
          </wp:inline>
        </w:drawing>
      </w:r>
    </w:p>
    <w:p>
      <w:pPr>
        <w:pStyle w:val="Legenda"/>
        <w:jc w:val="center"/>
      </w:pPr>
      <w:r>
        <w:t xml:space="preserve">Figura 4 — Primeiro ano em que cada pixel de 30 m da sede foi classificado como construído (série própria, 1984–2026), agrupado pelos ciclos minerais; cruz: centroide do núcleo de 1990. Fonte: Elaboração própria: série própria Landsat/Sentinel-2 (30 m), validada com CBERS; população IBGE.</w:t>
      </w:r>
    </w:p>
    <w:p>
      <w:pPr>
        <w:pStyle w:val="Titulo2"/>
      </w:pPr>
      <w:r>
        <w:t xml:space="preserve">5.3 Densidade, elasticidade e forma</w:t>
      </w:r>
    </w:p>
    <w:p>
      <w:pPr>
        <w:pStyle w:val="Corpo"/>
      </w:pPr>
      <w:r>
        <w:t xml:space="preserve">A relação entre área e população mudou de sinal entre as duas décadas (Tabela 2, Tabela 3 e Figura 5). Entre 2000 e 2010 a área ajustada cresceu 22,8 % ao ano e a população da sede 18,1 %: elasticidade de 1,24, razão ODS 11.3.1 de 1,23, densidade caindo de 35,6 para 24,0 habitantes por hectare construído. A cidade se espraiou. Entre 2010 e 2022 a área cresceu 8,6 % ao ano e a população 10,4 %: elasticidade de 0,83, razão de 0,76, densidade subindo para 29,4 habitantes por hectare, com 10,5 domicílios por hectare e menos moradores por domicílio (3,55 para 2,79). A cidade adensou. No conjunto dos 22 anos a elasticidade é de 1,07, ou seja, a sede cresceu em área quase na mesma proporção em que cresceu em população.</w:t>
      </w:r>
    </w:p>
    <w:p>
      <w:pPr>
        <w:pStyle w:val="Corpo"/>
      </w:pPr>
      <w:r>
        <w:rPr>
          <w:b/>
          <w:bCs/>
        </w:rPr>
        <w:t xml:space="preserve">Tabela 2 — População, área construída e densidade da sede de Canaã dos Carajás nos anos censitários</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Ano</w:t>
            </w:r>
          </w:p>
        </w:tc>
        <w:tc>
          <w:tcPr>
            <w:tcMar>
              <w:top w:type="dxa" w:w="60"/>
              <w:left w:type="dxa" w:w="100"/>
              <w:bottom w:type="dxa" w:w="60"/>
              <w:right w:type="dxa" w:w="100"/>
            </w:tcMar>
            <w:vAlign w:val="center"/>
          </w:tcPr>
          <w:p>
            <w:pPr>
              <w:pStyle w:val="TabelaCab"/>
              <w:jc w:val="left"/>
            </w:pPr>
            <w:r>
              <w:t xml:space="preserve">População da sede</w:t>
            </w:r>
          </w:p>
        </w:tc>
        <w:tc>
          <w:tcPr>
            <w:tcMar>
              <w:top w:type="dxa" w:w="60"/>
              <w:left w:type="dxa" w:w="100"/>
              <w:bottom w:type="dxa" w:w="60"/>
              <w:right w:type="dxa" w:w="100"/>
            </w:tcMar>
            <w:vAlign w:val="center"/>
          </w:tcPr>
          <w:p>
            <w:pPr>
              <w:pStyle w:val="TabelaCab"/>
              <w:jc w:val="left"/>
            </w:pPr>
            <w:r>
              <w:t xml:space="preserve">Área mapeada (ha)</w:t>
            </w:r>
          </w:p>
        </w:tc>
        <w:tc>
          <w:tcPr>
            <w:tcMar>
              <w:top w:type="dxa" w:w="60"/>
              <w:left w:type="dxa" w:w="100"/>
              <w:bottom w:type="dxa" w:w="60"/>
              <w:right w:type="dxa" w:w="100"/>
            </w:tcMar>
            <w:vAlign w:val="center"/>
          </w:tcPr>
          <w:p>
            <w:pPr>
              <w:pStyle w:val="TabelaCab"/>
              <w:jc w:val="left"/>
            </w:pPr>
            <w:r>
              <w:t xml:space="preserve">Área ajustada (ha) ± IC 95 %</w:t>
            </w:r>
          </w:p>
        </w:tc>
        <w:tc>
          <w:tcPr>
            <w:tcMar>
              <w:top w:type="dxa" w:w="60"/>
              <w:left w:type="dxa" w:w="100"/>
              <w:bottom w:type="dxa" w:w="60"/>
              <w:right w:type="dxa" w:w="100"/>
            </w:tcMar>
            <w:vAlign w:val="center"/>
          </w:tcPr>
          <w:p>
            <w:pPr>
              <w:pStyle w:val="TabelaCab"/>
              <w:jc w:val="left"/>
            </w:pPr>
            <w:r>
              <w:t xml:space="preserve">Densidade ajustada (hab./ha)</w:t>
            </w:r>
          </w:p>
        </w:tc>
        <w:tc>
          <w:tcPr>
            <w:tcMar>
              <w:top w:type="dxa" w:w="60"/>
              <w:left w:type="dxa" w:w="100"/>
              <w:bottom w:type="dxa" w:w="60"/>
              <w:right w:type="dxa" w:w="100"/>
            </w:tcMar>
            <w:vAlign w:val="center"/>
          </w:tcPr>
          <w:p>
            <w:pPr>
              <w:pStyle w:val="TabelaCab"/>
              <w:jc w:val="left"/>
            </w:pPr>
            <w:r>
              <w:t xml:space="preserve">Domicílios/ha (ajust.)</w:t>
            </w:r>
          </w:p>
        </w:tc>
        <w:tc>
          <w:tcPr>
            <w:tcMar>
              <w:top w:type="dxa" w:w="60"/>
              <w:left w:type="dxa" w:w="100"/>
              <w:bottom w:type="dxa" w:w="60"/>
              <w:right w:type="dxa" w:w="100"/>
            </w:tcMar>
            <w:vAlign w:val="center"/>
          </w:tcPr>
          <w:p>
            <w:pPr>
              <w:pStyle w:val="TabelaCab"/>
              <w:jc w:val="left"/>
            </w:pPr>
            <w:r>
              <w:t xml:space="preserve">Moradores/domicílio</w:t>
            </w:r>
          </w:p>
        </w:tc>
      </w:tr>
      <w:tr>
        <w:tc>
          <w:tcPr>
            <w:tcMar>
              <w:top w:type="dxa" w:w="60"/>
              <w:left w:type="dxa" w:w="100"/>
              <w:bottom w:type="dxa" w:w="60"/>
              <w:right w:type="dxa" w:w="100"/>
            </w:tcMar>
            <w:vAlign w:val="center"/>
          </w:tcPr>
          <w:p>
            <w:pPr>
              <w:pStyle w:val="Tabela"/>
              <w:jc w:val="left"/>
            </w:pPr>
            <w:r>
              <w:t xml:space="preserve">2000</w:t>
            </w:r>
          </w:p>
        </w:tc>
        <w:tc>
          <w:tcPr>
            <w:tcMar>
              <w:top w:type="dxa" w:w="60"/>
              <w:left w:type="dxa" w:w="100"/>
              <w:bottom w:type="dxa" w:w="60"/>
              <w:right w:type="dxa" w:w="100"/>
            </w:tcMar>
            <w:vAlign w:val="center"/>
          </w:tcPr>
          <w:p>
            <w:pPr>
              <w:pStyle w:val="Tabela"/>
              <w:jc w:val="left"/>
            </w:pPr>
            <w:r>
              <w:t xml:space="preserve">3.924</w:t>
            </w:r>
          </w:p>
        </w:tc>
        <w:tc>
          <w:tcPr>
            <w:tcMar>
              <w:top w:type="dxa" w:w="60"/>
              <w:left w:type="dxa" w:w="100"/>
              <w:bottom w:type="dxa" w:w="60"/>
              <w:right w:type="dxa" w:w="100"/>
            </w:tcMar>
            <w:vAlign w:val="center"/>
          </w:tcPr>
          <w:p>
            <w:pPr>
              <w:pStyle w:val="Tabela"/>
              <w:jc w:val="left"/>
            </w:pPr>
            <w:r>
              <w:t xml:space="preserve">139</w:t>
            </w:r>
          </w:p>
        </w:tc>
        <w:tc>
          <w:tcPr>
            <w:tcMar>
              <w:top w:type="dxa" w:w="60"/>
              <w:left w:type="dxa" w:w="100"/>
              <w:bottom w:type="dxa" w:w="60"/>
              <w:right w:type="dxa" w:w="100"/>
            </w:tcMar>
            <w:vAlign w:val="center"/>
          </w:tcPr>
          <w:p>
            <w:pPr>
              <w:pStyle w:val="Tabela"/>
              <w:jc w:val="left"/>
            </w:pPr>
            <w:r>
              <w:t xml:space="preserve">110 ± 21</w:t>
            </w:r>
          </w:p>
        </w:tc>
        <w:tc>
          <w:tcPr>
            <w:tcMar>
              <w:top w:type="dxa" w:w="60"/>
              <w:left w:type="dxa" w:w="100"/>
              <w:bottom w:type="dxa" w:w="60"/>
              <w:right w:type="dxa" w:w="100"/>
            </w:tcMar>
            <w:vAlign w:val="center"/>
          </w:tcPr>
          <w:p>
            <w:pPr>
              <w:pStyle w:val="Tabela"/>
              <w:jc w:val="left"/>
            </w:pPr>
            <w:r>
              <w:t xml:space="preserve">35,6</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20.668</w:t>
            </w:r>
          </w:p>
        </w:tc>
        <w:tc>
          <w:tcPr>
            <w:tcMar>
              <w:top w:type="dxa" w:w="60"/>
              <w:left w:type="dxa" w:w="100"/>
              <w:bottom w:type="dxa" w:w="60"/>
              <w:right w:type="dxa" w:w="100"/>
            </w:tcMar>
            <w:vAlign w:val="center"/>
          </w:tcPr>
          <w:p>
            <w:pPr>
              <w:pStyle w:val="Tabela"/>
              <w:jc w:val="left"/>
            </w:pPr>
            <w:r>
              <w:t xml:space="preserve">1.076</w:t>
            </w:r>
          </w:p>
        </w:tc>
        <w:tc>
          <w:tcPr>
            <w:tcMar>
              <w:top w:type="dxa" w:w="60"/>
              <w:left w:type="dxa" w:w="100"/>
              <w:bottom w:type="dxa" w:w="60"/>
              <w:right w:type="dxa" w:w="100"/>
            </w:tcMar>
            <w:vAlign w:val="center"/>
          </w:tcPr>
          <w:p>
            <w:pPr>
              <w:pStyle w:val="Tabela"/>
              <w:jc w:val="left"/>
            </w:pPr>
            <w:r>
              <w:t xml:space="preserve">860 ± 158</w:t>
            </w:r>
          </w:p>
        </w:tc>
        <w:tc>
          <w:tcPr>
            <w:tcMar>
              <w:top w:type="dxa" w:w="60"/>
              <w:left w:type="dxa" w:w="100"/>
              <w:bottom w:type="dxa" w:w="60"/>
              <w:right w:type="dxa" w:w="100"/>
            </w:tcMar>
            <w:vAlign w:val="center"/>
          </w:tcPr>
          <w:p>
            <w:pPr>
              <w:pStyle w:val="Tabela"/>
              <w:jc w:val="left"/>
            </w:pPr>
            <w:r>
              <w:t xml:space="preserve">24,0</w:t>
            </w:r>
          </w:p>
        </w:tc>
        <w:tc>
          <w:tcPr>
            <w:tcMar>
              <w:top w:type="dxa" w:w="60"/>
              <w:left w:type="dxa" w:w="100"/>
              <w:bottom w:type="dxa" w:w="60"/>
              <w:right w:type="dxa" w:w="100"/>
            </w:tcMar>
            <w:vAlign w:val="center"/>
          </w:tcPr>
          <w:p>
            <w:pPr>
              <w:pStyle w:val="Tabela"/>
              <w:jc w:val="left"/>
            </w:pPr>
            <w:r>
              <w:t xml:space="preserve">6,8</w:t>
            </w:r>
          </w:p>
        </w:tc>
        <w:tc>
          <w:tcPr>
            <w:tcMar>
              <w:top w:type="dxa" w:w="60"/>
              <w:left w:type="dxa" w:w="100"/>
              <w:bottom w:type="dxa" w:w="60"/>
              <w:right w:type="dxa" w:w="100"/>
            </w:tcMar>
            <w:vAlign w:val="center"/>
          </w:tcPr>
          <w:p>
            <w:pPr>
              <w:pStyle w:val="Tabela"/>
              <w:jc w:val="left"/>
            </w:pPr>
            <w:r>
              <w:t xml:space="preserve">3,55</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67.915</w:t>
            </w:r>
          </w:p>
        </w:tc>
        <w:tc>
          <w:tcPr>
            <w:tcMar>
              <w:top w:type="dxa" w:w="60"/>
              <w:left w:type="dxa" w:w="100"/>
              <w:bottom w:type="dxa" w:w="60"/>
              <w:right w:type="dxa" w:w="100"/>
            </w:tcMar>
            <w:vAlign w:val="center"/>
          </w:tcPr>
          <w:p>
            <w:pPr>
              <w:pStyle w:val="Tabela"/>
              <w:jc w:val="left"/>
            </w:pPr>
            <w:r>
              <w:t xml:space="preserve">2.644</w:t>
            </w:r>
          </w:p>
        </w:tc>
        <w:tc>
          <w:tcPr>
            <w:tcMar>
              <w:top w:type="dxa" w:w="60"/>
              <w:left w:type="dxa" w:w="100"/>
              <w:bottom w:type="dxa" w:w="60"/>
              <w:right w:type="dxa" w:w="100"/>
            </w:tcMar>
            <w:vAlign w:val="center"/>
          </w:tcPr>
          <w:p>
            <w:pPr>
              <w:pStyle w:val="Tabela"/>
              <w:jc w:val="left"/>
            </w:pPr>
            <w:r>
              <w:t xml:space="preserve">2.311 ± 499</w:t>
            </w:r>
          </w:p>
        </w:tc>
        <w:tc>
          <w:tcPr>
            <w:tcMar>
              <w:top w:type="dxa" w:w="60"/>
              <w:left w:type="dxa" w:w="100"/>
              <w:bottom w:type="dxa" w:w="60"/>
              <w:right w:type="dxa" w:w="100"/>
            </w:tcMar>
            <w:vAlign w:val="center"/>
          </w:tcPr>
          <w:p>
            <w:pPr>
              <w:pStyle w:val="Tabela"/>
              <w:jc w:val="left"/>
            </w:pPr>
            <w:r>
              <w:t xml:space="preserve">29,4</w:t>
            </w:r>
          </w:p>
        </w:tc>
        <w:tc>
          <w:tcPr>
            <w:tcMar>
              <w:top w:type="dxa" w:w="60"/>
              <w:left w:type="dxa" w:w="100"/>
              <w:bottom w:type="dxa" w:w="60"/>
              <w:right w:type="dxa" w:w="100"/>
            </w:tcMar>
            <w:vAlign w:val="center"/>
          </w:tcPr>
          <w:p>
            <w:pPr>
              <w:pStyle w:val="Tabela"/>
              <w:jc w:val="left"/>
            </w:pPr>
            <w:r>
              <w:t xml:space="preserve">10,5</w:t>
            </w:r>
          </w:p>
        </w:tc>
        <w:tc>
          <w:tcPr>
            <w:tcMar>
              <w:top w:type="dxa" w:w="60"/>
              <w:left w:type="dxa" w:w="100"/>
              <w:bottom w:type="dxa" w:w="60"/>
              <w:right w:type="dxa" w:w="100"/>
            </w:tcMar>
            <w:vAlign w:val="center"/>
          </w:tcPr>
          <w:p>
            <w:pPr>
              <w:pStyle w:val="Tabela"/>
              <w:jc w:val="left"/>
            </w:pPr>
            <w:r>
              <w:t xml:space="preserve">2,79</w:t>
            </w:r>
          </w:p>
        </w:tc>
      </w:tr>
    </w:tbl>
    <w:p>
      <w:pPr>
        <w:spacing w:after="120"/>
      </w:pPr>
    </w:p>
    <w:p>
      <w:pPr>
        <w:pStyle w:val="Corpo"/>
      </w:pPr>
      <w:r>
        <w:t xml:space="preserve">Fonte: Elaboração própria: série própria Landsat 30 m (E3b), validada com CBERS (Olofsson et al., 2014); população dos setores urbanos do Universo (IBGE).</w:t>
      </w:r>
    </w:p>
    <w:p>
      <w:pPr>
        <w:pStyle w:val="Corpo"/>
      </w:pPr>
      <w:r>
        <w:t xml:space="preserve">Nota: Área ajustada = área mapeada corrigida pela acurácia (usuário/produtor) das épocas validadas (2009, 2017, 2022); em 2000 o fator é extrapolado.</w:t>
      </w:r>
    </w:p>
    <w:p>
      <w:pPr>
        <w:pStyle w:val="Corpo"/>
      </w:pPr>
      <w:r>
        <w:rPr>
          <w:b/>
          <w:bCs/>
        </w:rPr>
        <w:t xml:space="preserve">Tabela 3 — Elasticidade área construída–população da sede (área ajustada)</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Período</w:t>
            </w:r>
          </w:p>
        </w:tc>
        <w:tc>
          <w:tcPr>
            <w:tcMar>
              <w:top w:type="dxa" w:w="60"/>
              <w:left w:type="dxa" w:w="100"/>
              <w:bottom w:type="dxa" w:w="60"/>
              <w:right w:type="dxa" w:w="100"/>
            </w:tcMar>
            <w:vAlign w:val="center"/>
          </w:tcPr>
          <w:p>
            <w:pPr>
              <w:pStyle w:val="TabelaCab"/>
              <w:jc w:val="left"/>
            </w:pPr>
            <w:r>
              <w:t xml:space="preserve">Taxa da área (% a.a.)</w:t>
            </w:r>
          </w:p>
        </w:tc>
        <w:tc>
          <w:tcPr>
            <w:tcMar>
              <w:top w:type="dxa" w:w="60"/>
              <w:left w:type="dxa" w:w="100"/>
              <w:bottom w:type="dxa" w:w="60"/>
              <w:right w:type="dxa" w:w="100"/>
            </w:tcMar>
            <w:vAlign w:val="center"/>
          </w:tcPr>
          <w:p>
            <w:pPr>
              <w:pStyle w:val="TabelaCab"/>
              <w:jc w:val="left"/>
            </w:pPr>
            <w:r>
              <w:t xml:space="preserve">Taxa da população (% a.a.)</w:t>
            </w:r>
          </w:p>
        </w:tc>
        <w:tc>
          <w:tcPr>
            <w:tcMar>
              <w:top w:type="dxa" w:w="60"/>
              <w:left w:type="dxa" w:w="100"/>
              <w:bottom w:type="dxa" w:w="60"/>
              <w:right w:type="dxa" w:w="100"/>
            </w:tcMar>
            <w:vAlign w:val="center"/>
          </w:tcPr>
          <w:p>
            <w:pPr>
              <w:pStyle w:val="TabelaCab"/>
              <w:jc w:val="left"/>
            </w:pPr>
            <w:r>
              <w:t xml:space="preserve">Elasticidade área-população</w:t>
            </w:r>
          </w:p>
        </w:tc>
        <w:tc>
          <w:tcPr>
            <w:tcMar>
              <w:top w:type="dxa" w:w="60"/>
              <w:left w:type="dxa" w:w="100"/>
              <w:bottom w:type="dxa" w:w="60"/>
              <w:right w:type="dxa" w:w="100"/>
            </w:tcMar>
            <w:vAlign w:val="center"/>
          </w:tcPr>
          <w:p>
            <w:pPr>
              <w:pStyle w:val="TabelaCab"/>
              <w:jc w:val="left"/>
            </w:pPr>
            <w:r>
              <w:t xml:space="preserve">Densidade inicial → final (hab./ha)</w:t>
            </w:r>
          </w:p>
        </w:tc>
      </w:tr>
      <w:tr>
        <w:tc>
          <w:tcPr>
            <w:tcMar>
              <w:top w:type="dxa" w:w="60"/>
              <w:left w:type="dxa" w:w="100"/>
              <w:bottom w:type="dxa" w:w="60"/>
              <w:right w:type="dxa" w:w="100"/>
            </w:tcMar>
            <w:vAlign w:val="center"/>
          </w:tcPr>
          <w:p>
            <w:pPr>
              <w:pStyle w:val="Tabela"/>
              <w:jc w:val="left"/>
            </w:pPr>
            <w:r>
              <w:t xml:space="preserve">2000–2010</w:t>
            </w:r>
          </w:p>
        </w:tc>
        <w:tc>
          <w:tcPr>
            <w:tcMar>
              <w:top w:type="dxa" w:w="60"/>
              <w:left w:type="dxa" w:w="100"/>
              <w:bottom w:type="dxa" w:w="60"/>
              <w:right w:type="dxa" w:w="100"/>
            </w:tcMar>
            <w:vAlign w:val="center"/>
          </w:tcPr>
          <w:p>
            <w:pPr>
              <w:pStyle w:val="Tabela"/>
              <w:jc w:val="left"/>
            </w:pPr>
            <w:r>
              <w:t xml:space="preserve">22,8</w:t>
            </w:r>
          </w:p>
        </w:tc>
        <w:tc>
          <w:tcPr>
            <w:tcMar>
              <w:top w:type="dxa" w:w="60"/>
              <w:left w:type="dxa" w:w="100"/>
              <w:bottom w:type="dxa" w:w="60"/>
              <w:right w:type="dxa" w:w="100"/>
            </w:tcMar>
            <w:vAlign w:val="center"/>
          </w:tcPr>
          <w:p>
            <w:pPr>
              <w:pStyle w:val="Tabela"/>
              <w:jc w:val="left"/>
            </w:pPr>
            <w:r>
              <w:t xml:space="preserve">18,1</w:t>
            </w:r>
          </w:p>
        </w:tc>
        <w:tc>
          <w:tcPr>
            <w:tcMar>
              <w:top w:type="dxa" w:w="60"/>
              <w:left w:type="dxa" w:w="100"/>
              <w:bottom w:type="dxa" w:w="60"/>
              <w:right w:type="dxa" w:w="100"/>
            </w:tcMar>
            <w:vAlign w:val="center"/>
          </w:tcPr>
          <w:p>
            <w:pPr>
              <w:pStyle w:val="Tabela"/>
              <w:jc w:val="left"/>
            </w:pPr>
            <w:r>
              <w:t xml:space="preserve">1,24</w:t>
            </w:r>
          </w:p>
        </w:tc>
        <w:tc>
          <w:tcPr>
            <w:tcMar>
              <w:top w:type="dxa" w:w="60"/>
              <w:left w:type="dxa" w:w="100"/>
              <w:bottom w:type="dxa" w:w="60"/>
              <w:right w:type="dxa" w:w="100"/>
            </w:tcMar>
            <w:vAlign w:val="center"/>
          </w:tcPr>
          <w:p>
            <w:pPr>
              <w:pStyle w:val="Tabela"/>
              <w:jc w:val="left"/>
            </w:pPr>
            <w:r>
              <w:t xml:space="preserve">35,6 → 24,0</w:t>
            </w:r>
          </w:p>
        </w:tc>
      </w:tr>
      <w:tr>
        <w:tc>
          <w:tcPr>
            <w:tcMar>
              <w:top w:type="dxa" w:w="60"/>
              <w:left w:type="dxa" w:w="100"/>
              <w:bottom w:type="dxa" w:w="60"/>
              <w:right w:type="dxa" w:w="100"/>
            </w:tcMar>
            <w:vAlign w:val="center"/>
          </w:tcPr>
          <w:p>
            <w:pPr>
              <w:pStyle w:val="Tabela"/>
              <w:jc w:val="left"/>
            </w:pPr>
            <w:r>
              <w:t xml:space="preserve">2010–2022</w:t>
            </w:r>
          </w:p>
        </w:tc>
        <w:tc>
          <w:tcPr>
            <w:tcMar>
              <w:top w:type="dxa" w:w="60"/>
              <w:left w:type="dxa" w:w="100"/>
              <w:bottom w:type="dxa" w:w="60"/>
              <w:right w:type="dxa" w:w="100"/>
            </w:tcMar>
            <w:vAlign w:val="center"/>
          </w:tcPr>
          <w:p>
            <w:pPr>
              <w:pStyle w:val="Tabela"/>
              <w:jc w:val="left"/>
            </w:pPr>
            <w:r>
              <w:t xml:space="preserve">8,6</w:t>
            </w:r>
          </w:p>
        </w:tc>
        <w:tc>
          <w:tcPr>
            <w:tcMar>
              <w:top w:type="dxa" w:w="60"/>
              <w:left w:type="dxa" w:w="100"/>
              <w:bottom w:type="dxa" w:w="60"/>
              <w:right w:type="dxa" w:w="100"/>
            </w:tcMar>
            <w:vAlign w:val="center"/>
          </w:tcPr>
          <w:p>
            <w:pPr>
              <w:pStyle w:val="Tabela"/>
              <w:jc w:val="left"/>
            </w:pPr>
            <w:r>
              <w:t xml:space="preserve">10,4</w:t>
            </w:r>
          </w:p>
        </w:tc>
        <w:tc>
          <w:tcPr>
            <w:tcMar>
              <w:top w:type="dxa" w:w="60"/>
              <w:left w:type="dxa" w:w="100"/>
              <w:bottom w:type="dxa" w:w="60"/>
              <w:right w:type="dxa" w:w="100"/>
            </w:tcMar>
            <w:vAlign w:val="center"/>
          </w:tcPr>
          <w:p>
            <w:pPr>
              <w:pStyle w:val="Tabela"/>
              <w:jc w:val="left"/>
            </w:pPr>
            <w:r>
              <w:t xml:space="preserve">0,83</w:t>
            </w:r>
          </w:p>
        </w:tc>
        <w:tc>
          <w:tcPr>
            <w:tcMar>
              <w:top w:type="dxa" w:w="60"/>
              <w:left w:type="dxa" w:w="100"/>
              <w:bottom w:type="dxa" w:w="60"/>
              <w:right w:type="dxa" w:w="100"/>
            </w:tcMar>
            <w:vAlign w:val="center"/>
          </w:tcPr>
          <w:p>
            <w:pPr>
              <w:pStyle w:val="Tabela"/>
              <w:jc w:val="left"/>
            </w:pPr>
            <w:r>
              <w:t xml:space="preserve">24,0 → 29,4</w:t>
            </w:r>
          </w:p>
        </w:tc>
      </w:tr>
      <w:tr>
        <w:tc>
          <w:tcPr>
            <w:tcMar>
              <w:top w:type="dxa" w:w="60"/>
              <w:left w:type="dxa" w:w="100"/>
              <w:bottom w:type="dxa" w:w="60"/>
              <w:right w:type="dxa" w:w="100"/>
            </w:tcMar>
            <w:vAlign w:val="center"/>
          </w:tcPr>
          <w:p>
            <w:pPr>
              <w:pStyle w:val="Tabela"/>
              <w:jc w:val="left"/>
            </w:pPr>
            <w:r>
              <w:t xml:space="preserve">2000–2022</w:t>
            </w:r>
          </w:p>
        </w:tc>
        <w:tc>
          <w:tcPr>
            <w:tcMar>
              <w:top w:type="dxa" w:w="60"/>
              <w:left w:type="dxa" w:w="100"/>
              <w:bottom w:type="dxa" w:w="60"/>
              <w:right w:type="dxa" w:w="100"/>
            </w:tcMar>
            <w:vAlign w:val="center"/>
          </w:tcPr>
          <w:p>
            <w:pPr>
              <w:pStyle w:val="Tabela"/>
              <w:jc w:val="left"/>
            </w:pPr>
            <w:r>
              <w:t xml:space="preserve">14,8</w:t>
            </w:r>
          </w:p>
        </w:tc>
        <w:tc>
          <w:tcPr>
            <w:tcMar>
              <w:top w:type="dxa" w:w="60"/>
              <w:left w:type="dxa" w:w="100"/>
              <w:bottom w:type="dxa" w:w="60"/>
              <w:right w:type="dxa" w:w="100"/>
            </w:tcMar>
            <w:vAlign w:val="center"/>
          </w:tcPr>
          <w:p>
            <w:pPr>
              <w:pStyle w:val="Tabela"/>
              <w:jc w:val="left"/>
            </w:pPr>
            <w:r>
              <w:t xml:space="preserve">13,8</w:t>
            </w:r>
          </w:p>
        </w:tc>
        <w:tc>
          <w:tcPr>
            <w:tcMar>
              <w:top w:type="dxa" w:w="60"/>
              <w:left w:type="dxa" w:w="100"/>
              <w:bottom w:type="dxa" w:w="60"/>
              <w:right w:type="dxa" w:w="100"/>
            </w:tcMar>
            <w:vAlign w:val="center"/>
          </w:tcPr>
          <w:p>
            <w:pPr>
              <w:pStyle w:val="Tabela"/>
              <w:jc w:val="left"/>
            </w:pPr>
            <w:r>
              <w:t xml:space="preserve">1,07</w:t>
            </w:r>
          </w:p>
        </w:tc>
        <w:tc>
          <w:tcPr>
            <w:tcMar>
              <w:top w:type="dxa" w:w="60"/>
              <w:left w:type="dxa" w:w="100"/>
              <w:bottom w:type="dxa" w:w="60"/>
              <w:right w:type="dxa" w:w="100"/>
            </w:tcMar>
            <w:vAlign w:val="center"/>
          </w:tcPr>
          <w:p>
            <w:pPr>
              <w:pStyle w:val="Tabela"/>
              <w:jc w:val="left"/>
            </w:pPr>
            <w:r>
              <w:t xml:space="preserve">35,6 → 29,4</w:t>
            </w:r>
          </w:p>
        </w:tc>
      </w:tr>
    </w:tbl>
    <w:p>
      <w:pPr>
        <w:spacing w:after="120"/>
      </w:pPr>
    </w:p>
    <w:p>
      <w:pPr>
        <w:pStyle w:val="Corpo"/>
      </w:pPr>
      <w:r>
        <w:t xml:space="preserve">Fonte: Elaboração própria (E3c, E5).</w:t>
      </w:r>
    </w:p>
    <w:p>
      <w:pPr>
        <w:pStyle w:val="Corpo"/>
      </w:pPr>
      <w:r>
        <w:t xml:space="preserve">Nota: Elasticidade = Δln(área) / Δln(população); &gt; 1 indica espraiamento (área cresce mais que a população), &lt; 1 adensamento.</w:t>
      </w:r>
    </w:p>
    <w:p>
      <w:pPr>
        <w:spacing w:after="40" w:before="200"/>
        <w:jc w:val="center"/>
      </w:pPr>
      <w:r>
        <w:drawing>
          <wp:inline distT="0" distB="0" distL="0" distR="0">
            <wp:extent cx="5334000" cy="23944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94492"/>
                    </a:xfrm>
                    <a:prstGeom prst="rect">
                      <a:avLst/>
                    </a:prstGeom>
                  </pic:spPr>
                </pic:pic>
              </a:graphicData>
            </a:graphic>
          </wp:inline>
        </w:drawing>
      </w:r>
    </w:p>
    <w:p>
      <w:pPr>
        <w:pStyle w:val="Legenda"/>
        <w:jc w:val="center"/>
      </w:pPr>
      <w:r>
        <w:t xml:space="preserve">Figura 5 — Densidade populacional da sede sobre a área construída (esquerda; barras = IC 95 % da área ajustada) e razão entre a taxa de consumo de solo e a taxa de crescimento populacional (ODS 11.3.1, direita). Fonte: Elaboração própria: série própria Landsat/Sentinel-2 (30 m), validada com CBERS; população IBGE.</w:t>
      </w:r>
    </w:p>
    <w:p>
      <w:pPr>
        <w:pStyle w:val="Titulo2"/>
      </w:pPr>
      <w:r>
        <w:t xml:space="preserve">5.4 Quem chegou e quando</w:t>
      </w:r>
    </w:p>
    <w:p>
      <w:pPr>
        <w:pStyle w:val="Corpo"/>
      </w:pPr>
      <w:r>
        <w:t xml:space="preserve">Dos 76,8 mil residentes de 2022, 58,9 mil não nasceram no município ou não moraram sempre nele. A Tabela 4 e a Figura 6 distribuem esses moradores pelo período de chegada. As coortes anteriores a 2002 são pequenas, cerca de 250 chegadas sobreviventes por ano. As obras do Sossego elevam o ritmo para 1,3 mil por ano; a operação do Sossego, para 1,8 mil; as obras do S11D, para 2,6 mil; e o período 2017–2022, para 4,5 mil por ano. Seis em cada dez moradores não naturais chegaram a partir de 2013. As coortes de chegada dos censos anteriores mostram o mesmo padrão em escala menor: em 2010, metade dos não naturais havia chegado entre 2005 e 2010, e um quinto durante as obras do Sossego.</w:t>
      </w:r>
    </w:p>
    <w:p>
      <w:pPr>
        <w:pStyle w:val="Corpo"/>
      </w:pPr>
      <w:r>
        <w:rPr>
          <w:b/>
          <w:bCs/>
        </w:rPr>
        <w:t xml:space="preserve">Tabela 4 — Residentes de Canaã dos Carajás em 2022 não naturais do município, por período de chegada</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Período de chegada</w:t>
            </w:r>
          </w:p>
        </w:tc>
        <w:tc>
          <w:tcPr>
            <w:tcMar>
              <w:top w:type="dxa" w:w="60"/>
              <w:left w:type="dxa" w:w="100"/>
              <w:bottom w:type="dxa" w:w="60"/>
              <w:right w:type="dxa" w:w="100"/>
            </w:tcMar>
            <w:vAlign w:val="center"/>
          </w:tcPr>
          <w:p>
            <w:pPr>
              <w:pStyle w:val="TabelaCab"/>
              <w:jc w:val="left"/>
            </w:pPr>
            <w:r>
              <w:t xml:space="preserve">Residentes em 2022 (arredondado)</w:t>
            </w:r>
          </w:p>
        </w:tc>
        <w:tc>
          <w:tcPr>
            <w:tcMar>
              <w:top w:type="dxa" w:w="60"/>
              <w:left w:type="dxa" w:w="100"/>
              <w:bottom w:type="dxa" w:w="60"/>
              <w:right w:type="dxa" w:w="100"/>
            </w:tcMar>
            <w:vAlign w:val="center"/>
          </w:tcPr>
          <w:p>
            <w:pPr>
              <w:pStyle w:val="TabelaCab"/>
              <w:jc w:val="left"/>
            </w:pPr>
            <w:r>
              <w:t xml:space="preserve">% dos chegados</w:t>
            </w:r>
          </w:p>
        </w:tc>
        <w:tc>
          <w:tcPr>
            <w:tcMar>
              <w:top w:type="dxa" w:w="60"/>
              <w:left w:type="dxa" w:w="100"/>
              <w:bottom w:type="dxa" w:w="60"/>
              <w:right w:type="dxa" w:w="100"/>
            </w:tcMar>
            <w:vAlign w:val="center"/>
          </w:tcPr>
          <w:p>
            <w:pPr>
              <w:pStyle w:val="TabelaCab"/>
              <w:jc w:val="left"/>
            </w:pPr>
            <w:r>
              <w:t xml:space="preserve">Chegados por ano</w:t>
            </w:r>
          </w:p>
        </w:tc>
        <w:tc>
          <w:tcPr>
            <w:tcMar>
              <w:top w:type="dxa" w:w="60"/>
              <w:left w:type="dxa" w:w="100"/>
              <w:bottom w:type="dxa" w:w="60"/>
              <w:right w:type="dxa" w:w="100"/>
            </w:tcMar>
            <w:vAlign w:val="center"/>
          </w:tcPr>
          <w:p>
            <w:pPr>
              <w:pStyle w:val="TabelaCab"/>
              <w:jc w:val="left"/>
            </w:pPr>
            <w:r>
              <w:t xml:space="preserve">CV (%)</w:t>
            </w:r>
          </w:p>
        </w:tc>
      </w:tr>
      <w:tr>
        <w:tc>
          <w:tcPr>
            <w:tcMar>
              <w:top w:type="dxa" w:w="60"/>
              <w:left w:type="dxa" w:w="100"/>
              <w:bottom w:type="dxa" w:w="60"/>
              <w:right w:type="dxa" w:w="100"/>
            </w:tcMar>
            <w:vAlign w:val="center"/>
          </w:tcPr>
          <w:p>
            <w:pPr>
              <w:pStyle w:val="Tabela"/>
              <w:jc w:val="left"/>
            </w:pPr>
            <w:r>
              <w:t xml:space="preserve">até 1984 (assentamento)</w:t>
            </w:r>
          </w:p>
        </w:tc>
        <w:tc>
          <w:tcPr>
            <w:tcMar>
              <w:top w:type="dxa" w:w="60"/>
              <w:left w:type="dxa" w:w="100"/>
              <w:bottom w:type="dxa" w:w="60"/>
              <w:right w:type="dxa" w:w="100"/>
            </w:tcMar>
            <w:vAlign w:val="center"/>
          </w:tcPr>
          <w:p>
            <w:pPr>
              <w:pStyle w:val="Tabela"/>
              <w:jc w:val="left"/>
            </w:pPr>
            <w:r>
              <w:t xml:space="preserve">940</w:t>
            </w:r>
          </w:p>
        </w:tc>
        <w:tc>
          <w:tcPr>
            <w:tcMar>
              <w:top w:type="dxa" w:w="60"/>
              <w:left w:type="dxa" w:w="100"/>
              <w:bottom w:type="dxa" w:w="60"/>
              <w:right w:type="dxa" w:w="100"/>
            </w:tcMar>
            <w:vAlign w:val="center"/>
          </w:tcPr>
          <w:p>
            <w:pPr>
              <w:pStyle w:val="Tabela"/>
              <w:jc w:val="left"/>
            </w:pPr>
            <w:r>
              <w:t xml:space="preserve">1,6</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14,8</w:t>
            </w:r>
          </w:p>
        </w:tc>
      </w:tr>
      <w:tr>
        <w:tc>
          <w:tcPr>
            <w:tcMar>
              <w:top w:type="dxa" w:w="60"/>
              <w:left w:type="dxa" w:w="100"/>
              <w:bottom w:type="dxa" w:w="60"/>
              <w:right w:type="dxa" w:w="100"/>
            </w:tcMar>
            <w:vAlign w:val="center"/>
          </w:tcPr>
          <w:p>
            <w:pPr>
              <w:pStyle w:val="Tabela"/>
              <w:jc w:val="left"/>
            </w:pPr>
            <w:r>
              <w:t xml:space="preserve">1985–1994 (pré-município)</w:t>
            </w:r>
          </w:p>
        </w:tc>
        <w:tc>
          <w:tcPr>
            <w:tcMar>
              <w:top w:type="dxa" w:w="60"/>
              <w:left w:type="dxa" w:w="100"/>
              <w:bottom w:type="dxa" w:w="60"/>
              <w:right w:type="dxa" w:w="100"/>
            </w:tcMar>
            <w:vAlign w:val="center"/>
          </w:tcPr>
          <w:p>
            <w:pPr>
              <w:pStyle w:val="Tabela"/>
              <w:jc w:val="left"/>
            </w:pPr>
            <w:r>
              <w:t xml:space="preserve">2.480</w:t>
            </w:r>
          </w:p>
        </w:tc>
        <w:tc>
          <w:tcPr>
            <w:tcMar>
              <w:top w:type="dxa" w:w="60"/>
              <w:left w:type="dxa" w:w="100"/>
              <w:bottom w:type="dxa" w:w="60"/>
              <w:right w:type="dxa" w:w="100"/>
            </w:tcMar>
            <w:vAlign w:val="center"/>
          </w:tcPr>
          <w:p>
            <w:pPr>
              <w:pStyle w:val="Tabela"/>
              <w:jc w:val="left"/>
            </w:pPr>
            <w:r>
              <w:t xml:space="preserve">4,2</w:t>
            </w:r>
          </w:p>
        </w:tc>
        <w:tc>
          <w:tcPr>
            <w:tcMar>
              <w:top w:type="dxa" w:w="60"/>
              <w:left w:type="dxa" w:w="100"/>
              <w:bottom w:type="dxa" w:w="60"/>
              <w:right w:type="dxa" w:w="100"/>
            </w:tcMar>
            <w:vAlign w:val="center"/>
          </w:tcPr>
          <w:p>
            <w:pPr>
              <w:pStyle w:val="Tabela"/>
              <w:jc w:val="left"/>
            </w:pPr>
            <w:r>
              <w:t xml:space="preserve">248</w:t>
            </w:r>
          </w:p>
        </w:tc>
        <w:tc>
          <w:tcPr>
            <w:tcMar>
              <w:top w:type="dxa" w:w="60"/>
              <w:left w:type="dxa" w:w="100"/>
              <w:bottom w:type="dxa" w:w="60"/>
              <w:right w:type="dxa" w:w="100"/>
            </w:tcMar>
            <w:vAlign w:val="center"/>
          </w:tcPr>
          <w:p>
            <w:pPr>
              <w:pStyle w:val="Tabela"/>
              <w:jc w:val="left"/>
            </w:pPr>
            <w:r>
              <w:t xml:space="preserve">7,7</w:t>
            </w:r>
          </w:p>
        </w:tc>
      </w:tr>
      <w:tr>
        <w:tc>
          <w:tcPr>
            <w:tcMar>
              <w:top w:type="dxa" w:w="60"/>
              <w:left w:type="dxa" w:w="100"/>
              <w:bottom w:type="dxa" w:w="60"/>
              <w:right w:type="dxa" w:w="100"/>
            </w:tcMar>
            <w:vAlign w:val="center"/>
          </w:tcPr>
          <w:p>
            <w:pPr>
              <w:pStyle w:val="Tabela"/>
              <w:jc w:val="left"/>
            </w:pPr>
            <w:r>
              <w:t xml:space="preserve">1995–2001 (instalação)</w:t>
            </w:r>
          </w:p>
        </w:tc>
        <w:tc>
          <w:tcPr>
            <w:tcMar>
              <w:top w:type="dxa" w:w="60"/>
              <w:left w:type="dxa" w:w="100"/>
              <w:bottom w:type="dxa" w:w="60"/>
              <w:right w:type="dxa" w:w="100"/>
            </w:tcMar>
            <w:vAlign w:val="center"/>
          </w:tcPr>
          <w:p>
            <w:pPr>
              <w:pStyle w:val="Tabela"/>
              <w:jc w:val="left"/>
            </w:pPr>
            <w:r>
              <w:t xml:space="preserve">1.860</w:t>
            </w:r>
          </w:p>
        </w:tc>
        <w:tc>
          <w:tcPr>
            <w:tcMar>
              <w:top w:type="dxa" w:w="60"/>
              <w:left w:type="dxa" w:w="100"/>
              <w:bottom w:type="dxa" w:w="60"/>
              <w:right w:type="dxa" w:w="100"/>
            </w:tcMar>
            <w:vAlign w:val="center"/>
          </w:tcPr>
          <w:p>
            <w:pPr>
              <w:pStyle w:val="Tabela"/>
              <w:jc w:val="left"/>
            </w:pPr>
            <w:r>
              <w:t xml:space="preserve">3,2</w:t>
            </w:r>
          </w:p>
        </w:tc>
        <w:tc>
          <w:tcPr>
            <w:tcMar>
              <w:top w:type="dxa" w:w="60"/>
              <w:left w:type="dxa" w:w="100"/>
              <w:bottom w:type="dxa" w:w="60"/>
              <w:right w:type="dxa" w:w="100"/>
            </w:tcMar>
            <w:vAlign w:val="center"/>
          </w:tcPr>
          <w:p>
            <w:pPr>
              <w:pStyle w:val="Tabela"/>
              <w:jc w:val="left"/>
            </w:pPr>
            <w:r>
              <w:t xml:space="preserve">266</w:t>
            </w:r>
          </w:p>
        </w:tc>
        <w:tc>
          <w:tcPr>
            <w:tcMar>
              <w:top w:type="dxa" w:w="60"/>
              <w:left w:type="dxa" w:w="100"/>
              <w:bottom w:type="dxa" w:w="60"/>
              <w:right w:type="dxa" w:w="100"/>
            </w:tcMar>
            <w:vAlign w:val="center"/>
          </w:tcPr>
          <w:p>
            <w:pPr>
              <w:pStyle w:val="Tabela"/>
              <w:jc w:val="left"/>
            </w:pPr>
            <w:r>
              <w:t xml:space="preserve">9,2</w:t>
            </w:r>
          </w:p>
        </w:tc>
      </w:tr>
      <w:tr>
        <w:tc>
          <w:tcPr>
            <w:tcMar>
              <w:top w:type="dxa" w:w="60"/>
              <w:left w:type="dxa" w:w="100"/>
              <w:bottom w:type="dxa" w:w="60"/>
              <w:right w:type="dxa" w:w="100"/>
            </w:tcMar>
            <w:vAlign w:val="center"/>
          </w:tcPr>
          <w:p>
            <w:pPr>
              <w:pStyle w:val="Tabela"/>
              <w:jc w:val="left"/>
            </w:pPr>
            <w:r>
              <w:t xml:space="preserve">2002–2004 (obras do Sossego)</w:t>
            </w:r>
          </w:p>
        </w:tc>
        <w:tc>
          <w:tcPr>
            <w:tcMar>
              <w:top w:type="dxa" w:w="60"/>
              <w:left w:type="dxa" w:w="100"/>
              <w:bottom w:type="dxa" w:w="60"/>
              <w:right w:type="dxa" w:w="100"/>
            </w:tcMar>
            <w:vAlign w:val="center"/>
          </w:tcPr>
          <w:p>
            <w:pPr>
              <w:pStyle w:val="Tabela"/>
              <w:jc w:val="left"/>
            </w:pPr>
            <w:r>
              <w:t xml:space="preserve">4.030</w:t>
            </w:r>
          </w:p>
        </w:tc>
        <w:tc>
          <w:tcPr>
            <w:tcMar>
              <w:top w:type="dxa" w:w="60"/>
              <w:left w:type="dxa" w:w="100"/>
              <w:bottom w:type="dxa" w:w="60"/>
              <w:right w:type="dxa" w:w="100"/>
            </w:tcMar>
            <w:vAlign w:val="center"/>
          </w:tcPr>
          <w:p>
            <w:pPr>
              <w:pStyle w:val="Tabela"/>
              <w:jc w:val="left"/>
            </w:pPr>
            <w:r>
              <w:t xml:space="preserve">6,8</w:t>
            </w:r>
          </w:p>
        </w:tc>
        <w:tc>
          <w:tcPr>
            <w:tcMar>
              <w:top w:type="dxa" w:w="60"/>
              <w:left w:type="dxa" w:w="100"/>
              <w:bottom w:type="dxa" w:w="60"/>
              <w:right w:type="dxa" w:w="100"/>
            </w:tcMar>
            <w:vAlign w:val="center"/>
          </w:tcPr>
          <w:p>
            <w:pPr>
              <w:pStyle w:val="Tabela"/>
              <w:jc w:val="left"/>
            </w:pPr>
            <w:r>
              <w:t xml:space="preserve">1.343</w:t>
            </w:r>
          </w:p>
        </w:tc>
        <w:tc>
          <w:tcPr>
            <w:tcMar>
              <w:top w:type="dxa" w:w="60"/>
              <w:left w:type="dxa" w:w="100"/>
              <w:bottom w:type="dxa" w:w="60"/>
              <w:right w:type="dxa" w:w="100"/>
            </w:tcMar>
            <w:vAlign w:val="center"/>
          </w:tcPr>
          <w:p>
            <w:pPr>
              <w:pStyle w:val="Tabela"/>
              <w:jc w:val="left"/>
            </w:pPr>
            <w:r>
              <w:t xml:space="preserve">7,7</w:t>
            </w:r>
          </w:p>
        </w:tc>
      </w:tr>
      <w:tr>
        <w:tc>
          <w:tcPr>
            <w:tcMar>
              <w:top w:type="dxa" w:w="60"/>
              <w:left w:type="dxa" w:w="100"/>
              <w:bottom w:type="dxa" w:w="60"/>
              <w:right w:type="dxa" w:w="100"/>
            </w:tcMar>
            <w:vAlign w:val="center"/>
          </w:tcPr>
          <w:p>
            <w:pPr>
              <w:pStyle w:val="Tabela"/>
              <w:jc w:val="left"/>
            </w:pPr>
            <w:r>
              <w:t xml:space="preserve">2005–2012 (operação Sossego)</w:t>
            </w:r>
          </w:p>
        </w:tc>
        <w:tc>
          <w:tcPr>
            <w:tcMar>
              <w:top w:type="dxa" w:w="60"/>
              <w:left w:type="dxa" w:w="100"/>
              <w:bottom w:type="dxa" w:w="60"/>
              <w:right w:type="dxa" w:w="100"/>
            </w:tcMar>
            <w:vAlign w:val="center"/>
          </w:tcPr>
          <w:p>
            <w:pPr>
              <w:pStyle w:val="Tabela"/>
              <w:jc w:val="left"/>
            </w:pPr>
            <w:r>
              <w:t xml:space="preserve">14.210</w:t>
            </w:r>
          </w:p>
        </w:tc>
        <w:tc>
          <w:tcPr>
            <w:tcMar>
              <w:top w:type="dxa" w:w="60"/>
              <w:left w:type="dxa" w:w="100"/>
              <w:bottom w:type="dxa" w:w="60"/>
              <w:right w:type="dxa" w:w="100"/>
            </w:tcMar>
            <w:vAlign w:val="center"/>
          </w:tcPr>
          <w:p>
            <w:pPr>
              <w:pStyle w:val="Tabela"/>
              <w:jc w:val="left"/>
            </w:pPr>
            <w:r>
              <w:t xml:space="preserve">24,1</w:t>
            </w:r>
          </w:p>
        </w:tc>
        <w:tc>
          <w:tcPr>
            <w:tcMar>
              <w:top w:type="dxa" w:w="60"/>
              <w:left w:type="dxa" w:w="100"/>
              <w:bottom w:type="dxa" w:w="60"/>
              <w:right w:type="dxa" w:w="100"/>
            </w:tcMar>
            <w:vAlign w:val="center"/>
          </w:tcPr>
          <w:p>
            <w:pPr>
              <w:pStyle w:val="Tabela"/>
              <w:jc w:val="left"/>
            </w:pPr>
            <w:r>
              <w:t xml:space="preserve">1.776</w:t>
            </w:r>
          </w:p>
        </w:tc>
        <w:tc>
          <w:tcPr>
            <w:tcMar>
              <w:top w:type="dxa" w:w="60"/>
              <w:left w:type="dxa" w:w="100"/>
              <w:bottom w:type="dxa" w:w="60"/>
              <w:right w:type="dxa" w:w="100"/>
            </w:tcMar>
            <w:vAlign w:val="center"/>
          </w:tcPr>
          <w:p>
            <w:pPr>
              <w:pStyle w:val="Tabela"/>
              <w:jc w:val="left"/>
            </w:pPr>
            <w:r>
              <w:t xml:space="preserve">4,2</w:t>
            </w:r>
          </w:p>
        </w:tc>
      </w:tr>
      <w:tr>
        <w:tc>
          <w:tcPr>
            <w:tcMar>
              <w:top w:type="dxa" w:w="60"/>
              <w:left w:type="dxa" w:w="100"/>
              <w:bottom w:type="dxa" w:w="60"/>
              <w:right w:type="dxa" w:w="100"/>
            </w:tcMar>
            <w:vAlign w:val="center"/>
          </w:tcPr>
          <w:p>
            <w:pPr>
              <w:pStyle w:val="Tabela"/>
              <w:jc w:val="left"/>
            </w:pPr>
            <w:r>
              <w:t xml:space="preserve">2013–2016 (obras do S11D)</w:t>
            </w:r>
          </w:p>
        </w:tc>
        <w:tc>
          <w:tcPr>
            <w:tcMar>
              <w:top w:type="dxa" w:w="60"/>
              <w:left w:type="dxa" w:w="100"/>
              <w:bottom w:type="dxa" w:w="60"/>
              <w:right w:type="dxa" w:w="100"/>
            </w:tcMar>
            <w:vAlign w:val="center"/>
          </w:tcPr>
          <w:p>
            <w:pPr>
              <w:pStyle w:val="Tabela"/>
              <w:jc w:val="left"/>
            </w:pPr>
            <w:r>
              <w:t xml:space="preserve">10.300</w:t>
            </w:r>
          </w:p>
        </w:tc>
        <w:tc>
          <w:tcPr>
            <w:tcMar>
              <w:top w:type="dxa" w:w="60"/>
              <w:left w:type="dxa" w:w="100"/>
              <w:bottom w:type="dxa" w:w="60"/>
              <w:right w:type="dxa" w:w="100"/>
            </w:tcMar>
            <w:vAlign w:val="center"/>
          </w:tcPr>
          <w:p>
            <w:pPr>
              <w:pStyle w:val="Tabela"/>
              <w:jc w:val="left"/>
            </w:pPr>
            <w:r>
              <w:t xml:space="preserve">17,5</w:t>
            </w:r>
          </w:p>
        </w:tc>
        <w:tc>
          <w:tcPr>
            <w:tcMar>
              <w:top w:type="dxa" w:w="60"/>
              <w:left w:type="dxa" w:w="100"/>
              <w:bottom w:type="dxa" w:w="60"/>
              <w:right w:type="dxa" w:w="100"/>
            </w:tcMar>
            <w:vAlign w:val="center"/>
          </w:tcPr>
          <w:p>
            <w:pPr>
              <w:pStyle w:val="Tabela"/>
              <w:jc w:val="left"/>
            </w:pPr>
            <w:r>
              <w:t xml:space="preserve">2.575</w:t>
            </w:r>
          </w:p>
        </w:tc>
        <w:tc>
          <w:tcPr>
            <w:tcMar>
              <w:top w:type="dxa" w:w="60"/>
              <w:left w:type="dxa" w:w="100"/>
              <w:bottom w:type="dxa" w:w="60"/>
              <w:right w:type="dxa" w:w="100"/>
            </w:tcMar>
            <w:vAlign w:val="center"/>
          </w:tcPr>
          <w:p>
            <w:pPr>
              <w:pStyle w:val="Tabela"/>
              <w:jc w:val="left"/>
            </w:pPr>
            <w:r>
              <w:t xml:space="preserve">5,2</w:t>
            </w:r>
          </w:p>
        </w:tc>
      </w:tr>
      <w:tr>
        <w:tc>
          <w:tcPr>
            <w:tcMar>
              <w:top w:type="dxa" w:w="60"/>
              <w:left w:type="dxa" w:w="100"/>
              <w:bottom w:type="dxa" w:w="60"/>
              <w:right w:type="dxa" w:w="100"/>
            </w:tcMar>
            <w:vAlign w:val="center"/>
          </w:tcPr>
          <w:p>
            <w:pPr>
              <w:pStyle w:val="Tabela"/>
              <w:jc w:val="left"/>
            </w:pPr>
            <w:r>
              <w:t xml:space="preserve">2017–2022 (operação S11D)</w:t>
            </w:r>
          </w:p>
        </w:tc>
        <w:tc>
          <w:tcPr>
            <w:tcMar>
              <w:top w:type="dxa" w:w="60"/>
              <w:left w:type="dxa" w:w="100"/>
              <w:bottom w:type="dxa" w:w="60"/>
              <w:right w:type="dxa" w:w="100"/>
            </w:tcMar>
            <w:vAlign w:val="center"/>
          </w:tcPr>
          <w:p>
            <w:pPr>
              <w:pStyle w:val="Tabela"/>
              <w:jc w:val="left"/>
            </w:pPr>
            <w:r>
              <w:t xml:space="preserve">25.100</w:t>
            </w:r>
          </w:p>
        </w:tc>
        <w:tc>
          <w:tcPr>
            <w:tcMar>
              <w:top w:type="dxa" w:w="60"/>
              <w:left w:type="dxa" w:w="100"/>
              <w:bottom w:type="dxa" w:w="60"/>
              <w:right w:type="dxa" w:w="100"/>
            </w:tcMar>
            <w:vAlign w:val="center"/>
          </w:tcPr>
          <w:p>
            <w:pPr>
              <w:pStyle w:val="Tabela"/>
              <w:jc w:val="left"/>
            </w:pPr>
            <w:r>
              <w:t xml:space="preserve">42,6</w:t>
            </w:r>
          </w:p>
        </w:tc>
        <w:tc>
          <w:tcPr>
            <w:tcMar>
              <w:top w:type="dxa" w:w="60"/>
              <w:left w:type="dxa" w:w="100"/>
              <w:bottom w:type="dxa" w:w="60"/>
              <w:right w:type="dxa" w:w="100"/>
            </w:tcMar>
            <w:vAlign w:val="center"/>
          </w:tcPr>
          <w:p>
            <w:pPr>
              <w:pStyle w:val="Tabela"/>
              <w:jc w:val="left"/>
            </w:pPr>
            <w:r>
              <w:t xml:space="preserve">4.482</w:t>
            </w:r>
          </w:p>
        </w:tc>
        <w:tc>
          <w:tcPr>
            <w:tcMar>
              <w:top w:type="dxa" w:w="60"/>
              <w:left w:type="dxa" w:w="100"/>
              <w:bottom w:type="dxa" w:w="60"/>
              <w:right w:type="dxa" w:w="100"/>
            </w:tcMar>
            <w:vAlign w:val="center"/>
          </w:tcPr>
          <w:p>
            <w:pPr>
              <w:pStyle w:val="Tabela"/>
              <w:jc w:val="left"/>
            </w:pPr>
            <w:r>
              <w:t xml:space="preserve">3,1</w:t>
            </w:r>
          </w:p>
        </w:tc>
      </w:tr>
    </w:tbl>
    <w:p>
      <w:pPr>
        <w:spacing w:after="120"/>
      </w:pPr>
    </w:p>
    <w:p>
      <w:pPr>
        <w:pStyle w:val="Corpo"/>
      </w:pPr>
      <w:r>
        <w:t xml:space="preserve">Fonte: Elaboração própria a partir dos microdados da amostra do Censo 2022 (IBGE; acesso controlado); estimativas aprovadas pelo controle de revelação.</w:t>
      </w:r>
    </w:p>
    <w:p>
      <w:pPr>
        <w:pStyle w:val="Corpo"/>
      </w:pPr>
      <w:r>
        <w:t xml:space="preserve">Nota: Sobreviventes em 2022 de cada coorte (não o fluxo original); contagens arredondadas a 10. </w:t>
      </w:r>
      <w:r>
        <w:rPr>
          <w:i/>
          <w:iCs/>
        </w:rPr>
        <w:t xml:space="preserve"> CV 15–30 %; </w:t>
      </w:r>
      <w:r>
        <w:t xml:space="preserve">* CV &gt; 30 %.</w:t>
      </w:r>
    </w:p>
    <w:p>
      <w:pPr>
        <w:spacing w:after="40" w:before="200"/>
        <w:jc w:val="center"/>
      </w:pPr>
      <w:r>
        <w:drawing>
          <wp:inline distT="0" distB="0" distL="0" distR="0">
            <wp:extent cx="5334000" cy="22642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64229"/>
                    </a:xfrm>
                    <a:prstGeom prst="rect">
                      <a:avLst/>
                    </a:prstGeom>
                  </pic:spPr>
                </pic:pic>
              </a:graphicData>
            </a:graphic>
          </wp:inline>
        </w:drawing>
      </w:r>
    </w:p>
    <w:p>
      <w:pPr>
        <w:pStyle w:val="Legenda"/>
        <w:jc w:val="center"/>
      </w:pPr>
      <w:r>
        <w:t xml:space="preserve">Figura 6 — Esquerda: residentes de Canaã dos Carajás em 2022 não naturais do município, por ano de chegada (barras de erro: IC 95 %; anos com n insuficiente fundidos pelo controle de revelação e omitidos). Direita: distribuição por período de chegada nos Censos 2000, 2010 e 2022. Fonte: Elaboração própria a partir dos microdados da amostra dos Censos Demográficos (IBGE); estimativas aprovadas pelo controle de revelação.</w:t>
      </w:r>
    </w:p>
    <w:p>
      <w:pPr>
        <w:pStyle w:val="Corpo"/>
      </w:pPr>
      <w:r>
        <w:t xml:space="preserve">A origem é majoritariamente paraense e maranhense. Entre os migrantes de data fixa de 2022, 57 % vinham de outro município do Pará, 21 % do Nordeste (18 % só do Maranhão), 8 % do Sudeste e 7 % de outros estados do Norte; Parauapebas responde sozinha por 13 % das origens, seguida de Tucuruí, Marabá, São Luís e Belém. A composição é estável desde 2000, com uma participação maranhense mais alta em 2010 (22 %), durante o auge das obras da década. Em 2022, 24,7 % da população era natural do município, 31,1 % de outro município paraense e 44,2 % de outra UF ou do exterior. A estrutura etária acompanha (Figura 7): a base larga de 1991 (44 % da população com menos de 15 anos em Parauapebas) dá lugar, em 2010 e 2022, a um perfil concentrado nos adultos de 20 a 39 anos, típico de cidade receptora de migrantes em idade ativa.</w:t>
      </w:r>
    </w:p>
    <w:p>
      <w:pPr>
        <w:spacing w:after="40" w:before="200"/>
        <w:jc w:val="center"/>
      </w:pPr>
      <w:r>
        <w:drawing>
          <wp:inline distT="0" distB="0" distL="0" distR="0">
            <wp:extent cx="5334000" cy="20871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87158"/>
                    </a:xfrm>
                    <a:prstGeom prst="rect">
                      <a:avLst/>
                    </a:prstGeom>
                  </pic:spPr>
                </pic:pic>
              </a:graphicData>
            </a:graphic>
          </wp:inline>
        </w:drawing>
      </w:r>
    </w:p>
    <w:p>
      <w:pPr>
        <w:pStyle w:val="Legenda"/>
        <w:jc w:val="center"/>
      </w:pPr>
      <w:r>
        <w:t xml:space="preserve">Figura 7 — Pirâmides etárias (% da população total): Parauapebas 1991 (amostra; inclui o atual Canaã), e Canaã dos Carajás 2000, 2010 e 2022 (Universo, SIDRA t/1552 e t/9514). Fonte: IBGE — Censos 1991 (amostra, estimativa própria), 2000, 2010 e 2022 (Universo).</w:t>
      </w:r>
    </w:p>
    <w:p>
      <w:pPr>
        <w:pStyle w:val="Titulo2"/>
      </w:pPr>
      <w:r>
        <w:t xml:space="preserve">5.5 Seletividade dos migrantes</w:t>
      </w:r>
    </w:p>
    <w:p>
      <w:pPr>
        <w:pStyle w:val="Corpo"/>
      </w:pPr>
      <w:r>
        <w:t xml:space="preserve">A Tabela 5 e a Figura 8 comparam os migrantes de data fixa de 2022 (residiam em outro município em 2017) com os não migrantes. Os migrantes são mais jovens (28,2 contra 31,3 anos de idade média), têm mais superior completo entre os adultos de 25 anos ou mais (15,3 % contra 12,1 %) e menos pessoas sem o fundamental completo (23,5 % contra 29,3 %); entre os ocupados, têm mais carteira assinada (61,7 % contra 49,0 %) e menos trabalho por conta própria (17,2 % contra 21,1 %), e estão menos presentes na administração pública, educação e saúde (7,3 % contra 15,3 %). Todas essas diferenças são significativas a 95 %. A renda média do trabalho, porém, é igual (R$ 2.725 contra R$ 2.734), assim como a taxa de ocupação e a distribuição por sexo e cor. A seletividade positiva em escolaridade e formalidade não se traduz em prêmio salarial, o que sugere que os migrantes recentes preenchem postos formais de qualificação média na mesma escala salarial dos moradores antigos.</w:t>
      </w:r>
    </w:p>
    <w:p>
      <w:pPr>
        <w:pStyle w:val="Corpo"/>
      </w:pPr>
      <w:r>
        <w:rPr>
          <w:b/>
          <w:bCs/>
        </w:rPr>
        <w:t xml:space="preserve">Tabela 5 — Perfil de migrantes de data fixa (chegados em 2017–2022) e não migrantes, Canaã dos Carajás, 2022</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Dimensão</w:t>
            </w:r>
          </w:p>
        </w:tc>
        <w:tc>
          <w:tcPr>
            <w:tcMar>
              <w:top w:type="dxa" w:w="60"/>
              <w:left w:type="dxa" w:w="100"/>
              <w:bottom w:type="dxa" w:w="60"/>
              <w:right w:type="dxa" w:w="100"/>
            </w:tcMar>
            <w:vAlign w:val="center"/>
          </w:tcPr>
          <w:p>
            <w:pPr>
              <w:pStyle w:val="TabelaCab"/>
              <w:jc w:val="left"/>
            </w:pPr>
            <w:r>
              <w:t xml:space="preserve">Categoria</w:t>
            </w:r>
          </w:p>
        </w:tc>
        <w:tc>
          <w:tcPr>
            <w:tcMar>
              <w:top w:type="dxa" w:w="60"/>
              <w:left w:type="dxa" w:w="100"/>
              <w:bottom w:type="dxa" w:w="60"/>
              <w:right w:type="dxa" w:w="100"/>
            </w:tcMar>
            <w:vAlign w:val="center"/>
          </w:tcPr>
          <w:p>
            <w:pPr>
              <w:pStyle w:val="TabelaCab"/>
              <w:jc w:val="left"/>
            </w:pPr>
            <w:r>
              <w:t xml:space="preserve">Migrantes (%)</w:t>
            </w:r>
          </w:p>
        </w:tc>
        <w:tc>
          <w:tcPr>
            <w:tcMar>
              <w:top w:type="dxa" w:w="60"/>
              <w:left w:type="dxa" w:w="100"/>
              <w:bottom w:type="dxa" w:w="60"/>
              <w:right w:type="dxa" w:w="100"/>
            </w:tcMar>
            <w:vAlign w:val="center"/>
          </w:tcPr>
          <w:p>
            <w:pPr>
              <w:pStyle w:val="TabelaCab"/>
              <w:jc w:val="left"/>
            </w:pPr>
            <w:r>
              <w:t xml:space="preserve">Não migrantes (%)</w:t>
            </w:r>
          </w:p>
        </w:tc>
        <w:tc>
          <w:tcPr>
            <w:tcMar>
              <w:top w:type="dxa" w:w="60"/>
              <w:left w:type="dxa" w:w="100"/>
              <w:bottom w:type="dxa" w:w="60"/>
              <w:right w:type="dxa" w:w="100"/>
            </w:tcMar>
            <w:vAlign w:val="center"/>
          </w:tcPr>
          <w:p>
            <w:pPr>
              <w:pStyle w:val="TabelaCab"/>
              <w:jc w:val="left"/>
            </w:pPr>
            <w:r>
              <w:t xml:space="preserve">Razão de seletividade</w:t>
            </w:r>
          </w:p>
        </w:tc>
        <w:tc>
          <w:tcPr>
            <w:tcMar>
              <w:top w:type="dxa" w:w="60"/>
              <w:left w:type="dxa" w:w="100"/>
              <w:bottom w:type="dxa" w:w="60"/>
              <w:right w:type="dxa" w:w="100"/>
            </w:tcMar>
            <w:vAlign w:val="center"/>
          </w:tcPr>
          <w:p>
            <w:pPr>
              <w:pStyle w:val="TabelaCab"/>
              <w:jc w:val="left"/>
            </w:pPr>
            <w:r>
              <w:t xml:space="preserve">EP da razão</w:t>
            </w:r>
          </w:p>
        </w:tc>
        <w:tc>
          <w:tcPr>
            <w:tcMar>
              <w:top w:type="dxa" w:w="60"/>
              <w:left w:type="dxa" w:w="100"/>
              <w:bottom w:type="dxa" w:w="60"/>
              <w:right w:type="dxa" w:w="100"/>
            </w:tcMar>
            <w:vAlign w:val="center"/>
          </w:tcPr>
          <w:p>
            <w:pPr>
              <w:pStyle w:val="TabelaCab"/>
              <w:jc w:val="left"/>
            </w:pPr>
            <w:r>
              <w:t xml:space="preserve">Diferença signif. (95 %)</w:t>
            </w:r>
          </w:p>
        </w:tc>
      </w:tr>
      <w:tr>
        <w:tc>
          <w:tcPr>
            <w:tcMar>
              <w:top w:type="dxa" w:w="60"/>
              <w:left w:type="dxa" w:w="100"/>
              <w:bottom w:type="dxa" w:w="60"/>
              <w:right w:type="dxa" w:w="100"/>
            </w:tcMar>
            <w:vAlign w:val="center"/>
          </w:tcPr>
          <w:p>
            <w:pPr>
              <w:pStyle w:val="Tabela"/>
              <w:jc w:val="left"/>
            </w:pPr>
            <w:r>
              <w:t xml:space="preserve">Nível de instrução (25 anos ou mais)</w:t>
            </w:r>
          </w:p>
        </w:tc>
        <w:tc>
          <w:tcPr>
            <w:tcMar>
              <w:top w:type="dxa" w:w="60"/>
              <w:left w:type="dxa" w:w="100"/>
              <w:bottom w:type="dxa" w:w="60"/>
              <w:right w:type="dxa" w:w="100"/>
            </w:tcMar>
            <w:vAlign w:val="center"/>
          </w:tcPr>
          <w:p>
            <w:pPr>
              <w:pStyle w:val="Tabela"/>
              <w:jc w:val="left"/>
            </w:pPr>
            <w:r>
              <w:t xml:space="preserve">Superior completo</w:t>
            </w:r>
          </w:p>
        </w:tc>
        <w:tc>
          <w:tcPr>
            <w:tcMar>
              <w:top w:type="dxa" w:w="60"/>
              <w:left w:type="dxa" w:w="100"/>
              <w:bottom w:type="dxa" w:w="60"/>
              <w:right w:type="dxa" w:w="100"/>
            </w:tcMar>
            <w:vAlign w:val="center"/>
          </w:tcPr>
          <w:p>
            <w:pPr>
              <w:pStyle w:val="Tabela"/>
              <w:jc w:val="left"/>
            </w:pPr>
            <w:r>
              <w:t xml:space="preserve">15,3</w:t>
            </w:r>
          </w:p>
        </w:tc>
        <w:tc>
          <w:tcPr>
            <w:tcMar>
              <w:top w:type="dxa" w:w="60"/>
              <w:left w:type="dxa" w:w="100"/>
              <w:bottom w:type="dxa" w:w="60"/>
              <w:right w:type="dxa" w:w="100"/>
            </w:tcMar>
            <w:vAlign w:val="center"/>
          </w:tcPr>
          <w:p>
            <w:pPr>
              <w:pStyle w:val="Tabela"/>
              <w:jc w:val="left"/>
            </w:pPr>
            <w:r>
              <w:t xml:space="preserve">12,1</w:t>
            </w:r>
          </w:p>
        </w:tc>
        <w:tc>
          <w:tcPr>
            <w:tcMar>
              <w:top w:type="dxa" w:w="60"/>
              <w:left w:type="dxa" w:w="100"/>
              <w:bottom w:type="dxa" w:w="60"/>
              <w:right w:type="dxa" w:w="100"/>
            </w:tcMar>
            <w:vAlign w:val="center"/>
          </w:tcPr>
          <w:p>
            <w:pPr>
              <w:pStyle w:val="Tabela"/>
              <w:jc w:val="left"/>
            </w:pPr>
            <w:r>
              <w:t xml:space="preserve">1,27</w:t>
            </w:r>
          </w:p>
        </w:tc>
        <w:tc>
          <w:tcPr>
            <w:tcMar>
              <w:top w:type="dxa" w:w="60"/>
              <w:left w:type="dxa" w:w="100"/>
              <w:bottom w:type="dxa" w:w="60"/>
              <w:right w:type="dxa" w:w="100"/>
            </w:tcMar>
            <w:vAlign w:val="center"/>
          </w:tcPr>
          <w:p>
            <w:pPr>
              <w:pStyle w:val="Tabela"/>
              <w:jc w:val="left"/>
            </w:pPr>
            <w:r>
              <w:t xml:space="preserve">0,14</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Nível de instrução (25 anos ou mais)</w:t>
            </w:r>
          </w:p>
        </w:tc>
        <w:tc>
          <w:tcPr>
            <w:tcMar>
              <w:top w:type="dxa" w:w="60"/>
              <w:left w:type="dxa" w:w="100"/>
              <w:bottom w:type="dxa" w:w="60"/>
              <w:right w:type="dxa" w:w="100"/>
            </w:tcMar>
            <w:vAlign w:val="center"/>
          </w:tcPr>
          <w:p>
            <w:pPr>
              <w:pStyle w:val="Tabela"/>
              <w:jc w:val="left"/>
            </w:pPr>
            <w:r>
              <w:t xml:space="preserve">Sem instrução / fund. incompleto</w:t>
            </w:r>
          </w:p>
        </w:tc>
        <w:tc>
          <w:tcPr>
            <w:tcMar>
              <w:top w:type="dxa" w:w="60"/>
              <w:left w:type="dxa" w:w="100"/>
              <w:bottom w:type="dxa" w:w="60"/>
              <w:right w:type="dxa" w:w="100"/>
            </w:tcMar>
            <w:vAlign w:val="center"/>
          </w:tcPr>
          <w:p>
            <w:pPr>
              <w:pStyle w:val="Tabela"/>
              <w:jc w:val="left"/>
            </w:pPr>
            <w:r>
              <w:t xml:space="preserve">23,5</w:t>
            </w:r>
          </w:p>
        </w:tc>
        <w:tc>
          <w:tcPr>
            <w:tcMar>
              <w:top w:type="dxa" w:w="60"/>
              <w:left w:type="dxa" w:w="100"/>
              <w:bottom w:type="dxa" w:w="60"/>
              <w:right w:type="dxa" w:w="100"/>
            </w:tcMar>
            <w:vAlign w:val="center"/>
          </w:tcPr>
          <w:p>
            <w:pPr>
              <w:pStyle w:val="Tabela"/>
              <w:jc w:val="left"/>
            </w:pPr>
            <w:r>
              <w:t xml:space="preserve">29,3</w:t>
            </w:r>
          </w:p>
        </w:tc>
        <w:tc>
          <w:tcPr>
            <w:tcMar>
              <w:top w:type="dxa" w:w="60"/>
              <w:left w:type="dxa" w:w="100"/>
              <w:bottom w:type="dxa" w:w="60"/>
              <w:right w:type="dxa" w:w="100"/>
            </w:tcMar>
            <w:vAlign w:val="center"/>
          </w:tcPr>
          <w:p>
            <w:pPr>
              <w:pStyle w:val="Tabela"/>
              <w:jc w:val="left"/>
            </w:pPr>
            <w:r>
              <w:t xml:space="preserve">0,80</w:t>
            </w:r>
          </w:p>
        </w:tc>
        <w:tc>
          <w:tcPr>
            <w:tcMar>
              <w:top w:type="dxa" w:w="60"/>
              <w:left w:type="dxa" w:w="100"/>
              <w:bottom w:type="dxa" w:w="60"/>
              <w:right w:type="dxa" w:w="100"/>
            </w:tcMar>
            <w:vAlign w:val="center"/>
          </w:tcPr>
          <w:p>
            <w:pPr>
              <w:pStyle w:val="Tabela"/>
              <w:jc w:val="left"/>
            </w:pPr>
            <w:r>
              <w:t xml:space="preserve">0,06</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Ocupação (10 anos ou mais)</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56,7</w:t>
            </w:r>
          </w:p>
        </w:tc>
        <w:tc>
          <w:tcPr>
            <w:tcMar>
              <w:top w:type="dxa" w:w="60"/>
              <w:left w:type="dxa" w:w="100"/>
              <w:bottom w:type="dxa" w:w="60"/>
              <w:right w:type="dxa" w:w="100"/>
            </w:tcMar>
            <w:vAlign w:val="center"/>
          </w:tcPr>
          <w:p>
            <w:pPr>
              <w:pStyle w:val="Tabela"/>
              <w:jc w:val="left"/>
            </w:pPr>
            <w:r>
              <w:t xml:space="preserve">54,9</w:t>
            </w:r>
          </w:p>
        </w:tc>
        <w:tc>
          <w:tcPr>
            <w:tcMar>
              <w:top w:type="dxa" w:w="60"/>
              <w:left w:type="dxa" w:w="100"/>
              <w:bottom w:type="dxa" w:w="60"/>
              <w:right w:type="dxa" w:w="100"/>
            </w:tcMar>
            <w:vAlign w:val="center"/>
          </w:tcPr>
          <w:p>
            <w:pPr>
              <w:pStyle w:val="Tabela"/>
              <w:jc w:val="left"/>
            </w:pPr>
            <w:r>
              <w:t xml:space="preserve">1,03</w:t>
            </w:r>
          </w:p>
        </w:tc>
        <w:tc>
          <w:tcPr>
            <w:tcMar>
              <w:top w:type="dxa" w:w="60"/>
              <w:left w:type="dxa" w:w="100"/>
              <w:bottom w:type="dxa" w:w="60"/>
              <w:right w:type="dxa" w:w="100"/>
            </w:tcMar>
            <w:vAlign w:val="center"/>
          </w:tcPr>
          <w:p>
            <w:pPr>
              <w:pStyle w:val="Tabela"/>
              <w:jc w:val="left"/>
            </w:pPr>
            <w:r>
              <w:t xml:space="preserve">0,03</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Vínculo formal</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64,2</w:t>
            </w:r>
          </w:p>
        </w:tc>
        <w:tc>
          <w:tcPr>
            <w:tcMar>
              <w:top w:type="dxa" w:w="60"/>
              <w:left w:type="dxa" w:w="100"/>
              <w:bottom w:type="dxa" w:w="60"/>
              <w:right w:type="dxa" w:w="100"/>
            </w:tcMar>
            <w:vAlign w:val="center"/>
          </w:tcPr>
          <w:p>
            <w:pPr>
              <w:pStyle w:val="Tabela"/>
              <w:jc w:val="left"/>
            </w:pPr>
            <w:r>
              <w:t xml:space="preserve">59,6</w:t>
            </w:r>
          </w:p>
        </w:tc>
        <w:tc>
          <w:tcPr>
            <w:tcMar>
              <w:top w:type="dxa" w:w="60"/>
              <w:left w:type="dxa" w:w="100"/>
              <w:bottom w:type="dxa" w:w="60"/>
              <w:right w:type="dxa" w:w="100"/>
            </w:tcMar>
            <w:vAlign w:val="center"/>
          </w:tcPr>
          <w:p>
            <w:pPr>
              <w:pStyle w:val="Tabela"/>
              <w:jc w:val="left"/>
            </w:pPr>
            <w:r>
              <w:t xml:space="preserve">1,08</w:t>
            </w:r>
          </w:p>
        </w:tc>
        <w:tc>
          <w:tcPr>
            <w:tcMar>
              <w:top w:type="dxa" w:w="60"/>
              <w:left w:type="dxa" w:w="100"/>
              <w:bottom w:type="dxa" w:w="60"/>
              <w:right w:type="dxa" w:w="100"/>
            </w:tcMar>
            <w:vAlign w:val="center"/>
          </w:tcPr>
          <w:p>
            <w:pPr>
              <w:pStyle w:val="Tabela"/>
              <w:jc w:val="left"/>
            </w:pPr>
            <w:r>
              <w:t xml:space="preserve">0,04</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Setor de atividade</w:t>
            </w:r>
          </w:p>
        </w:tc>
        <w:tc>
          <w:tcPr>
            <w:tcMar>
              <w:top w:type="dxa" w:w="60"/>
              <w:left w:type="dxa" w:w="100"/>
              <w:bottom w:type="dxa" w:w="60"/>
              <w:right w:type="dxa" w:w="100"/>
            </w:tcMar>
            <w:vAlign w:val="center"/>
          </w:tcPr>
          <w:p>
            <w:pPr>
              <w:pStyle w:val="Tabela"/>
              <w:jc w:val="left"/>
            </w:pPr>
            <w:r>
              <w:t xml:space="preserve">Extrativa mineral</w:t>
            </w:r>
          </w:p>
        </w:tc>
        <w:tc>
          <w:tcPr>
            <w:tcMar>
              <w:top w:type="dxa" w:w="60"/>
              <w:left w:type="dxa" w:w="100"/>
              <w:bottom w:type="dxa" w:w="60"/>
              <w:right w:type="dxa" w:w="100"/>
            </w:tcMar>
            <w:vAlign w:val="center"/>
          </w:tcPr>
          <w:p>
            <w:pPr>
              <w:pStyle w:val="Tabela"/>
              <w:jc w:val="left"/>
            </w:pPr>
            <w:r>
              <w:t xml:space="preserve">12,0</w:t>
            </w:r>
          </w:p>
        </w:tc>
        <w:tc>
          <w:tcPr>
            <w:tcMar>
              <w:top w:type="dxa" w:w="60"/>
              <w:left w:type="dxa" w:w="100"/>
              <w:bottom w:type="dxa" w:w="60"/>
              <w:right w:type="dxa" w:w="100"/>
            </w:tcMar>
            <w:vAlign w:val="center"/>
          </w:tcPr>
          <w:p>
            <w:pPr>
              <w:pStyle w:val="Tabela"/>
              <w:jc w:val="left"/>
            </w:pPr>
            <w:r>
              <w:t xml:space="preserve">9,8</w:t>
            </w:r>
          </w:p>
        </w:tc>
        <w:tc>
          <w:tcPr>
            <w:tcMar>
              <w:top w:type="dxa" w:w="60"/>
              <w:left w:type="dxa" w:w="100"/>
              <w:bottom w:type="dxa" w:w="60"/>
              <w:right w:type="dxa" w:w="100"/>
            </w:tcMar>
            <w:vAlign w:val="center"/>
          </w:tcPr>
          <w:p>
            <w:pPr>
              <w:pStyle w:val="Tabela"/>
              <w:jc w:val="left"/>
            </w:pPr>
            <w:r>
              <w:t xml:space="preserve">1,22</w:t>
            </w:r>
          </w:p>
        </w:tc>
        <w:tc>
          <w:tcPr>
            <w:tcMar>
              <w:top w:type="dxa" w:w="60"/>
              <w:left w:type="dxa" w:w="100"/>
              <w:bottom w:type="dxa" w:w="60"/>
              <w:right w:type="dxa" w:w="100"/>
            </w:tcMar>
            <w:vAlign w:val="center"/>
          </w:tcPr>
          <w:p>
            <w:pPr>
              <w:pStyle w:val="Tabela"/>
              <w:jc w:val="left"/>
            </w:pPr>
            <w:r>
              <w:t xml:space="preserve">0,16</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Setor de atividade</w:t>
            </w:r>
          </w:p>
        </w:tc>
        <w:tc>
          <w:tcPr>
            <w:tcMar>
              <w:top w:type="dxa" w:w="60"/>
              <w:left w:type="dxa" w:w="100"/>
              <w:bottom w:type="dxa" w:w="60"/>
              <w:right w:type="dxa" w:w="100"/>
            </w:tcMar>
            <w:vAlign w:val="center"/>
          </w:tcPr>
          <w:p>
            <w:pPr>
              <w:pStyle w:val="Tabela"/>
              <w:jc w:val="left"/>
            </w:pPr>
            <w:r>
              <w:t xml:space="preserve">Construção</w:t>
            </w:r>
          </w:p>
        </w:tc>
        <w:tc>
          <w:tcPr>
            <w:tcMar>
              <w:top w:type="dxa" w:w="60"/>
              <w:left w:type="dxa" w:w="100"/>
              <w:bottom w:type="dxa" w:w="60"/>
              <w:right w:type="dxa" w:w="100"/>
            </w:tcMar>
            <w:vAlign w:val="center"/>
          </w:tcPr>
          <w:p>
            <w:pPr>
              <w:pStyle w:val="Tabela"/>
              <w:jc w:val="left"/>
            </w:pPr>
            <w:r>
              <w:t xml:space="preserve">16,1</w:t>
            </w:r>
          </w:p>
        </w:tc>
        <w:tc>
          <w:tcPr>
            <w:tcMar>
              <w:top w:type="dxa" w:w="60"/>
              <w:left w:type="dxa" w:w="100"/>
              <w:bottom w:type="dxa" w:w="60"/>
              <w:right w:type="dxa" w:w="100"/>
            </w:tcMar>
            <w:vAlign w:val="center"/>
          </w:tcPr>
          <w:p>
            <w:pPr>
              <w:pStyle w:val="Tabela"/>
              <w:jc w:val="left"/>
            </w:pPr>
            <w:r>
              <w:t xml:space="preserve">13,3</w:t>
            </w:r>
          </w:p>
        </w:tc>
        <w:tc>
          <w:tcPr>
            <w:tcMar>
              <w:top w:type="dxa" w:w="60"/>
              <w:left w:type="dxa" w:w="100"/>
              <w:bottom w:type="dxa" w:w="60"/>
              <w:right w:type="dxa" w:w="100"/>
            </w:tcMar>
            <w:vAlign w:val="center"/>
          </w:tcPr>
          <w:p>
            <w:pPr>
              <w:pStyle w:val="Tabela"/>
              <w:jc w:val="left"/>
            </w:pPr>
            <w:r>
              <w:t xml:space="preserve">1,20</w:t>
            </w:r>
          </w:p>
        </w:tc>
        <w:tc>
          <w:tcPr>
            <w:tcMar>
              <w:top w:type="dxa" w:w="60"/>
              <w:left w:type="dxa" w:w="100"/>
              <w:bottom w:type="dxa" w:w="60"/>
              <w:right w:type="dxa" w:w="100"/>
            </w:tcMar>
            <w:vAlign w:val="center"/>
          </w:tcPr>
          <w:p>
            <w:pPr>
              <w:pStyle w:val="Tabela"/>
              <w:jc w:val="left"/>
            </w:pPr>
            <w:r>
              <w:t xml:space="preserve">0,11</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Setor de atividade</w:t>
            </w:r>
          </w:p>
        </w:tc>
        <w:tc>
          <w:tcPr>
            <w:tcMar>
              <w:top w:type="dxa" w:w="60"/>
              <w:left w:type="dxa" w:w="100"/>
              <w:bottom w:type="dxa" w:w="60"/>
              <w:right w:type="dxa" w:w="100"/>
            </w:tcMar>
            <w:vAlign w:val="center"/>
          </w:tcPr>
          <w:p>
            <w:pPr>
              <w:pStyle w:val="Tabela"/>
              <w:jc w:val="left"/>
            </w:pPr>
            <w:r>
              <w:t xml:space="preserve">Serviços</w:t>
            </w:r>
          </w:p>
        </w:tc>
        <w:tc>
          <w:tcPr>
            <w:tcMar>
              <w:top w:type="dxa" w:w="60"/>
              <w:left w:type="dxa" w:w="100"/>
              <w:bottom w:type="dxa" w:w="60"/>
              <w:right w:type="dxa" w:w="100"/>
            </w:tcMar>
            <w:vAlign w:val="center"/>
          </w:tcPr>
          <w:p>
            <w:pPr>
              <w:pStyle w:val="Tabela"/>
              <w:jc w:val="left"/>
            </w:pPr>
            <w:r>
              <w:t xml:space="preserve">25,8</w:t>
            </w:r>
          </w:p>
        </w:tc>
        <w:tc>
          <w:tcPr>
            <w:tcMar>
              <w:top w:type="dxa" w:w="60"/>
              <w:left w:type="dxa" w:w="100"/>
              <w:bottom w:type="dxa" w:w="60"/>
              <w:right w:type="dxa" w:w="100"/>
            </w:tcMar>
            <w:vAlign w:val="center"/>
          </w:tcPr>
          <w:p>
            <w:pPr>
              <w:pStyle w:val="Tabela"/>
              <w:jc w:val="left"/>
            </w:pPr>
            <w:r>
              <w:t xml:space="preserve">25,0</w:t>
            </w:r>
          </w:p>
        </w:tc>
        <w:tc>
          <w:tcPr>
            <w:tcMar>
              <w:top w:type="dxa" w:w="60"/>
              <w:left w:type="dxa" w:w="100"/>
              <w:bottom w:type="dxa" w:w="60"/>
              <w:right w:type="dxa" w:w="100"/>
            </w:tcMar>
            <w:vAlign w:val="center"/>
          </w:tcPr>
          <w:p>
            <w:pPr>
              <w:pStyle w:val="Tabela"/>
              <w:jc w:val="left"/>
            </w:pPr>
            <w:r>
              <w:t xml:space="preserve">1,03</w:t>
            </w:r>
          </w:p>
        </w:tc>
        <w:tc>
          <w:tcPr>
            <w:tcMar>
              <w:top w:type="dxa" w:w="60"/>
              <w:left w:type="dxa" w:w="100"/>
              <w:bottom w:type="dxa" w:w="60"/>
              <w:right w:type="dxa" w:w="100"/>
            </w:tcMar>
            <w:vAlign w:val="center"/>
          </w:tcPr>
          <w:p>
            <w:pPr>
              <w:pStyle w:val="Tabela"/>
              <w:jc w:val="left"/>
            </w:pPr>
            <w:r>
              <w:t xml:space="preserve">0,08</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Setor de atividade</w:t>
            </w:r>
          </w:p>
        </w:tc>
        <w:tc>
          <w:tcPr>
            <w:tcMar>
              <w:top w:type="dxa" w:w="60"/>
              <w:left w:type="dxa" w:w="100"/>
              <w:bottom w:type="dxa" w:w="60"/>
              <w:right w:type="dxa" w:w="100"/>
            </w:tcMar>
            <w:vAlign w:val="center"/>
          </w:tcPr>
          <w:p>
            <w:pPr>
              <w:pStyle w:val="Tabela"/>
              <w:jc w:val="left"/>
            </w:pPr>
            <w:r>
              <w:t xml:space="preserve">Adm. pública, educação e saúde</w:t>
            </w:r>
          </w:p>
        </w:tc>
        <w:tc>
          <w:tcPr>
            <w:tcMar>
              <w:top w:type="dxa" w:w="60"/>
              <w:left w:type="dxa" w:w="100"/>
              <w:bottom w:type="dxa" w:w="60"/>
              <w:right w:type="dxa" w:w="100"/>
            </w:tcMar>
            <w:vAlign w:val="center"/>
          </w:tcPr>
          <w:p>
            <w:pPr>
              <w:pStyle w:val="Tabela"/>
              <w:jc w:val="left"/>
            </w:pPr>
            <w:r>
              <w:t xml:space="preserve">7,3</w:t>
            </w:r>
          </w:p>
        </w:tc>
        <w:tc>
          <w:tcPr>
            <w:tcMar>
              <w:top w:type="dxa" w:w="60"/>
              <w:left w:type="dxa" w:w="100"/>
              <w:bottom w:type="dxa" w:w="60"/>
              <w:right w:type="dxa" w:w="100"/>
            </w:tcMar>
            <w:vAlign w:val="center"/>
          </w:tcPr>
          <w:p>
            <w:pPr>
              <w:pStyle w:val="Tabela"/>
              <w:jc w:val="left"/>
            </w:pPr>
            <w:r>
              <w:t xml:space="preserve">15,3</w:t>
            </w:r>
          </w:p>
        </w:tc>
        <w:tc>
          <w:tcPr>
            <w:tcMar>
              <w:top w:type="dxa" w:w="60"/>
              <w:left w:type="dxa" w:w="100"/>
              <w:bottom w:type="dxa" w:w="60"/>
              <w:right w:type="dxa" w:w="100"/>
            </w:tcMar>
            <w:vAlign w:val="center"/>
          </w:tcPr>
          <w:p>
            <w:pPr>
              <w:pStyle w:val="Tabela"/>
              <w:jc w:val="left"/>
            </w:pPr>
            <w:r>
              <w:t xml:space="preserve">0,48</w:t>
            </w:r>
          </w:p>
        </w:tc>
        <w:tc>
          <w:tcPr>
            <w:tcMar>
              <w:top w:type="dxa" w:w="60"/>
              <w:left w:type="dxa" w:w="100"/>
              <w:bottom w:type="dxa" w:w="60"/>
              <w:right w:type="dxa" w:w="100"/>
            </w:tcMar>
            <w:vAlign w:val="center"/>
          </w:tcPr>
          <w:p>
            <w:pPr>
              <w:pStyle w:val="Tabela"/>
              <w:jc w:val="left"/>
            </w:pPr>
            <w:r>
              <w:t xml:space="preserve">0,07</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Posição na ocupação</w:t>
            </w:r>
          </w:p>
        </w:tc>
        <w:tc>
          <w:tcPr>
            <w:tcMar>
              <w:top w:type="dxa" w:w="60"/>
              <w:left w:type="dxa" w:w="100"/>
              <w:bottom w:type="dxa" w:w="60"/>
              <w:right w:type="dxa" w:w="100"/>
            </w:tcMar>
            <w:vAlign w:val="center"/>
          </w:tcPr>
          <w:p>
            <w:pPr>
              <w:pStyle w:val="Tabela"/>
              <w:jc w:val="left"/>
            </w:pPr>
            <w:r>
              <w:t xml:space="preserve">Empregado com carteira</w:t>
            </w:r>
          </w:p>
        </w:tc>
        <w:tc>
          <w:tcPr>
            <w:tcMar>
              <w:top w:type="dxa" w:w="60"/>
              <w:left w:type="dxa" w:w="100"/>
              <w:bottom w:type="dxa" w:w="60"/>
              <w:right w:type="dxa" w:w="100"/>
            </w:tcMar>
            <w:vAlign w:val="center"/>
          </w:tcPr>
          <w:p>
            <w:pPr>
              <w:pStyle w:val="Tabela"/>
              <w:jc w:val="left"/>
            </w:pPr>
            <w:r>
              <w:t xml:space="preserve">61,7</w:t>
            </w:r>
          </w:p>
        </w:tc>
        <w:tc>
          <w:tcPr>
            <w:tcMar>
              <w:top w:type="dxa" w:w="60"/>
              <w:left w:type="dxa" w:w="100"/>
              <w:bottom w:type="dxa" w:w="60"/>
              <w:right w:type="dxa" w:w="100"/>
            </w:tcMar>
            <w:vAlign w:val="center"/>
          </w:tcPr>
          <w:p>
            <w:pPr>
              <w:pStyle w:val="Tabela"/>
              <w:jc w:val="left"/>
            </w:pPr>
            <w:r>
              <w:t xml:space="preserve">49,0</w:t>
            </w:r>
          </w:p>
        </w:tc>
        <w:tc>
          <w:tcPr>
            <w:tcMar>
              <w:top w:type="dxa" w:w="60"/>
              <w:left w:type="dxa" w:w="100"/>
              <w:bottom w:type="dxa" w:w="60"/>
              <w:right w:type="dxa" w:w="100"/>
            </w:tcMar>
            <w:vAlign w:val="center"/>
          </w:tcPr>
          <w:p>
            <w:pPr>
              <w:pStyle w:val="Tabela"/>
              <w:jc w:val="left"/>
            </w:pPr>
            <w:r>
              <w:t xml:space="preserve">1,26</w:t>
            </w:r>
          </w:p>
        </w:tc>
        <w:tc>
          <w:tcPr>
            <w:tcMar>
              <w:top w:type="dxa" w:w="60"/>
              <w:left w:type="dxa" w:w="100"/>
              <w:bottom w:type="dxa" w:w="60"/>
              <w:right w:type="dxa" w:w="100"/>
            </w:tcMar>
            <w:vAlign w:val="center"/>
          </w:tcPr>
          <w:p>
            <w:pPr>
              <w:pStyle w:val="Tabela"/>
              <w:jc w:val="left"/>
            </w:pPr>
            <w:r>
              <w:t xml:space="preserve">0,05</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Posição na ocupação</w:t>
            </w:r>
          </w:p>
        </w:tc>
        <w:tc>
          <w:tcPr>
            <w:tcMar>
              <w:top w:type="dxa" w:w="60"/>
              <w:left w:type="dxa" w:w="100"/>
              <w:bottom w:type="dxa" w:w="60"/>
              <w:right w:type="dxa" w:w="100"/>
            </w:tcMar>
            <w:vAlign w:val="center"/>
          </w:tcPr>
          <w:p>
            <w:pPr>
              <w:pStyle w:val="Tabela"/>
              <w:jc w:val="left"/>
            </w:pPr>
            <w:r>
              <w:t xml:space="preserve">Conta própria</w:t>
            </w:r>
          </w:p>
        </w:tc>
        <w:tc>
          <w:tcPr>
            <w:tcMar>
              <w:top w:type="dxa" w:w="60"/>
              <w:left w:type="dxa" w:w="100"/>
              <w:bottom w:type="dxa" w:w="60"/>
              <w:right w:type="dxa" w:w="100"/>
            </w:tcMar>
            <w:vAlign w:val="center"/>
          </w:tcPr>
          <w:p>
            <w:pPr>
              <w:pStyle w:val="Tabela"/>
              <w:jc w:val="left"/>
            </w:pPr>
            <w:r>
              <w:t xml:space="preserve">17,2</w:t>
            </w:r>
          </w:p>
        </w:tc>
        <w:tc>
          <w:tcPr>
            <w:tcMar>
              <w:top w:type="dxa" w:w="60"/>
              <w:left w:type="dxa" w:w="100"/>
              <w:bottom w:type="dxa" w:w="60"/>
              <w:right w:type="dxa" w:w="100"/>
            </w:tcMar>
            <w:vAlign w:val="center"/>
          </w:tcPr>
          <w:p>
            <w:pPr>
              <w:pStyle w:val="Tabela"/>
              <w:jc w:val="left"/>
            </w:pPr>
            <w:r>
              <w:t xml:space="preserve">21,1</w:t>
            </w:r>
          </w:p>
        </w:tc>
        <w:tc>
          <w:tcPr>
            <w:tcMar>
              <w:top w:type="dxa" w:w="60"/>
              <w:left w:type="dxa" w:w="100"/>
              <w:bottom w:type="dxa" w:w="60"/>
              <w:right w:type="dxa" w:w="100"/>
            </w:tcMar>
            <w:vAlign w:val="center"/>
          </w:tcPr>
          <w:p>
            <w:pPr>
              <w:pStyle w:val="Tabela"/>
              <w:jc w:val="left"/>
            </w:pPr>
            <w:r>
              <w:t xml:space="preserve">0,82</w:t>
            </w:r>
          </w:p>
        </w:tc>
        <w:tc>
          <w:tcPr>
            <w:tcMar>
              <w:top w:type="dxa" w:w="60"/>
              <w:left w:type="dxa" w:w="100"/>
              <w:bottom w:type="dxa" w:w="60"/>
              <w:right w:type="dxa" w:w="100"/>
            </w:tcMar>
            <w:vAlign w:val="center"/>
          </w:tcPr>
          <w:p>
            <w:pPr>
              <w:pStyle w:val="Tabela"/>
              <w:jc w:val="left"/>
            </w:pPr>
            <w:r>
              <w:t xml:space="preserve">0,09</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Renda em salários mínimos</w:t>
            </w:r>
          </w:p>
        </w:tc>
        <w:tc>
          <w:tcPr>
            <w:tcMar>
              <w:top w:type="dxa" w:w="60"/>
              <w:left w:type="dxa" w:w="100"/>
              <w:bottom w:type="dxa" w:w="60"/>
              <w:right w:type="dxa" w:w="100"/>
            </w:tcMar>
            <w:vAlign w:val="center"/>
          </w:tcPr>
          <w:p>
            <w:pPr>
              <w:pStyle w:val="Tabela"/>
              <w:jc w:val="left"/>
            </w:pPr>
            <w:r>
              <w:t xml:space="preserve">Mais de 10 SM</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0,8*</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Renda em salários mínimos</w:t>
            </w:r>
          </w:p>
        </w:tc>
        <w:tc>
          <w:tcPr>
            <w:tcMar>
              <w:top w:type="dxa" w:w="60"/>
              <w:left w:type="dxa" w:w="100"/>
              <w:bottom w:type="dxa" w:w="60"/>
              <w:right w:type="dxa" w:w="100"/>
            </w:tcMar>
            <w:vAlign w:val="center"/>
          </w:tcPr>
          <w:p>
            <w:pPr>
              <w:pStyle w:val="Tabela"/>
              <w:jc w:val="left"/>
            </w:pPr>
            <w:r>
              <w:t xml:space="preserve">Sem rendimento</w:t>
            </w:r>
          </w:p>
        </w:tc>
        <w:tc>
          <w:tcPr>
            <w:tcMar>
              <w:top w:type="dxa" w:w="60"/>
              <w:left w:type="dxa" w:w="100"/>
              <w:bottom w:type="dxa" w:w="60"/>
              <w:right w:type="dxa" w:w="100"/>
            </w:tcMar>
            <w:vAlign w:val="center"/>
          </w:tcPr>
          <w:p>
            <w:pPr>
              <w:pStyle w:val="Tabela"/>
              <w:jc w:val="left"/>
            </w:pPr>
            <w:r>
              <w:t xml:space="preserve">31,7</w:t>
            </w:r>
          </w:p>
        </w:tc>
        <w:tc>
          <w:tcPr>
            <w:tcMar>
              <w:top w:type="dxa" w:w="60"/>
              <w:left w:type="dxa" w:w="100"/>
              <w:bottom w:type="dxa" w:w="60"/>
              <w:right w:type="dxa" w:w="100"/>
            </w:tcMar>
            <w:vAlign w:val="center"/>
          </w:tcPr>
          <w:p>
            <w:pPr>
              <w:pStyle w:val="Tabela"/>
              <w:jc w:val="left"/>
            </w:pPr>
            <w:r>
              <w:t xml:space="preserve">32,9</w:t>
            </w:r>
          </w:p>
        </w:tc>
        <w:tc>
          <w:tcPr>
            <w:tcMar>
              <w:top w:type="dxa" w:w="60"/>
              <w:left w:type="dxa" w:w="100"/>
              <w:bottom w:type="dxa" w:w="60"/>
              <w:right w:type="dxa" w:w="100"/>
            </w:tcMar>
            <w:vAlign w:val="center"/>
          </w:tcPr>
          <w:p>
            <w:pPr>
              <w:pStyle w:val="Tabela"/>
              <w:jc w:val="left"/>
            </w:pPr>
            <w:r>
              <w:t xml:space="preserve">0,96</w:t>
            </w:r>
          </w:p>
        </w:tc>
        <w:tc>
          <w:tcPr>
            <w:tcMar>
              <w:top w:type="dxa" w:w="60"/>
              <w:left w:type="dxa" w:w="100"/>
              <w:bottom w:type="dxa" w:w="60"/>
              <w:right w:type="dxa" w:w="100"/>
            </w:tcMar>
            <w:vAlign w:val="center"/>
          </w:tcPr>
          <w:p>
            <w:pPr>
              <w:pStyle w:val="Tabela"/>
              <w:jc w:val="left"/>
            </w:pPr>
            <w:r>
              <w:t xml:space="preserve">0,04</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Grupo etário</w:t>
            </w:r>
          </w:p>
        </w:tc>
        <w:tc>
          <w:tcPr>
            <w:tcMar>
              <w:top w:type="dxa" w:w="60"/>
              <w:left w:type="dxa" w:w="100"/>
              <w:bottom w:type="dxa" w:w="60"/>
              <w:right w:type="dxa" w:w="100"/>
            </w:tcMar>
            <w:vAlign w:val="center"/>
          </w:tcPr>
          <w:p>
            <w:pPr>
              <w:pStyle w:val="Tabela"/>
              <w:jc w:val="left"/>
            </w:pPr>
            <w:r>
              <w:t xml:space="preserve">25–39</w:t>
            </w:r>
          </w:p>
        </w:tc>
        <w:tc>
          <w:tcPr>
            <w:tcMar>
              <w:top w:type="dxa" w:w="60"/>
              <w:left w:type="dxa" w:w="100"/>
              <w:bottom w:type="dxa" w:w="60"/>
              <w:right w:type="dxa" w:w="100"/>
            </w:tcMar>
            <w:vAlign w:val="center"/>
          </w:tcPr>
          <w:p>
            <w:pPr>
              <w:pStyle w:val="Tabela"/>
              <w:jc w:val="left"/>
            </w:pPr>
            <w:r>
              <w:t xml:space="preserve">35,8</w:t>
            </w:r>
          </w:p>
        </w:tc>
        <w:tc>
          <w:tcPr>
            <w:tcMar>
              <w:top w:type="dxa" w:w="60"/>
              <w:left w:type="dxa" w:w="100"/>
              <w:bottom w:type="dxa" w:w="60"/>
              <w:right w:type="dxa" w:w="100"/>
            </w:tcMar>
            <w:vAlign w:val="center"/>
          </w:tcPr>
          <w:p>
            <w:pPr>
              <w:pStyle w:val="Tabela"/>
              <w:jc w:val="left"/>
            </w:pPr>
            <w:r>
              <w:t xml:space="preserve">32,3</w:t>
            </w:r>
          </w:p>
        </w:tc>
        <w:tc>
          <w:tcPr>
            <w:tcMar>
              <w:top w:type="dxa" w:w="60"/>
              <w:left w:type="dxa" w:w="100"/>
              <w:bottom w:type="dxa" w:w="60"/>
              <w:right w:type="dxa" w:w="100"/>
            </w:tcMar>
            <w:vAlign w:val="center"/>
          </w:tcPr>
          <w:p>
            <w:pPr>
              <w:pStyle w:val="Tabela"/>
              <w:jc w:val="left"/>
            </w:pPr>
            <w:r>
              <w:t xml:space="preserve">1,11</w:t>
            </w:r>
          </w:p>
        </w:tc>
        <w:tc>
          <w:tcPr>
            <w:tcMar>
              <w:top w:type="dxa" w:w="60"/>
              <w:left w:type="dxa" w:w="100"/>
              <w:bottom w:type="dxa" w:w="60"/>
              <w:right w:type="dxa" w:w="100"/>
            </w:tcMar>
            <w:vAlign w:val="center"/>
          </w:tcPr>
          <w:p>
            <w:pPr>
              <w:pStyle w:val="Tabela"/>
              <w:jc w:val="left"/>
            </w:pPr>
            <w:r>
              <w:t xml:space="preserve">0,05</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Grupo etário</w:t>
            </w:r>
          </w:p>
        </w:tc>
        <w:tc>
          <w:tcPr>
            <w:tcMar>
              <w:top w:type="dxa" w:w="60"/>
              <w:left w:type="dxa" w:w="100"/>
              <w:bottom w:type="dxa" w:w="60"/>
              <w:right w:type="dxa" w:w="100"/>
            </w:tcMar>
            <w:vAlign w:val="center"/>
          </w:tcPr>
          <w:p>
            <w:pPr>
              <w:pStyle w:val="Tabela"/>
              <w:jc w:val="left"/>
            </w:pPr>
            <w:r>
              <w:t xml:space="preserve">5–14 (universo de 5 anos ou mais)</w:t>
            </w:r>
          </w:p>
        </w:tc>
        <w:tc>
          <w:tcPr>
            <w:tcMar>
              <w:top w:type="dxa" w:w="60"/>
              <w:left w:type="dxa" w:w="100"/>
              <w:bottom w:type="dxa" w:w="60"/>
              <w:right w:type="dxa" w:w="100"/>
            </w:tcMar>
            <w:vAlign w:val="center"/>
          </w:tcPr>
          <w:p>
            <w:pPr>
              <w:pStyle w:val="Tabela"/>
              <w:jc w:val="left"/>
            </w:pPr>
            <w:r>
              <w:t xml:space="preserve">19,4</w:t>
            </w:r>
          </w:p>
        </w:tc>
        <w:tc>
          <w:tcPr>
            <w:tcMar>
              <w:top w:type="dxa" w:w="60"/>
              <w:left w:type="dxa" w:w="100"/>
              <w:bottom w:type="dxa" w:w="60"/>
              <w:right w:type="dxa" w:w="100"/>
            </w:tcMar>
            <w:vAlign w:val="center"/>
          </w:tcPr>
          <w:p>
            <w:pPr>
              <w:pStyle w:val="Tabela"/>
              <w:jc w:val="left"/>
            </w:pPr>
            <w:r>
              <w:t xml:space="preserve">19,9</w:t>
            </w:r>
          </w:p>
        </w:tc>
        <w:tc>
          <w:tcPr>
            <w:tcMar>
              <w:top w:type="dxa" w:w="60"/>
              <w:left w:type="dxa" w:w="100"/>
              <w:bottom w:type="dxa" w:w="60"/>
              <w:right w:type="dxa" w:w="100"/>
            </w:tcMar>
            <w:vAlign w:val="center"/>
          </w:tcPr>
          <w:p>
            <w:pPr>
              <w:pStyle w:val="Tabela"/>
              <w:jc w:val="left"/>
            </w:pPr>
            <w:r>
              <w:t xml:space="preserve">0,98</w:t>
            </w:r>
          </w:p>
        </w:tc>
        <w:tc>
          <w:tcPr>
            <w:tcMar>
              <w:top w:type="dxa" w:w="60"/>
              <w:left w:type="dxa" w:w="100"/>
              <w:bottom w:type="dxa" w:w="60"/>
              <w:right w:type="dxa" w:w="100"/>
            </w:tcMar>
            <w:vAlign w:val="center"/>
          </w:tcPr>
          <w:p>
            <w:pPr>
              <w:pStyle w:val="Tabela"/>
              <w:jc w:val="left"/>
            </w:pPr>
            <w:r>
              <w:t xml:space="preserve">0,06</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Sexo</w:t>
            </w:r>
          </w:p>
        </w:tc>
        <w:tc>
          <w:tcPr>
            <w:tcMar>
              <w:top w:type="dxa" w:w="60"/>
              <w:left w:type="dxa" w:w="100"/>
              <w:bottom w:type="dxa" w:w="60"/>
              <w:right w:type="dxa" w:w="100"/>
            </w:tcMar>
            <w:vAlign w:val="center"/>
          </w:tcPr>
          <w:p>
            <w:pPr>
              <w:pStyle w:val="Tabela"/>
              <w:jc w:val="left"/>
            </w:pPr>
            <w:r>
              <w:t xml:space="preserve">Homens</w:t>
            </w:r>
          </w:p>
        </w:tc>
        <w:tc>
          <w:tcPr>
            <w:tcMar>
              <w:top w:type="dxa" w:w="60"/>
              <w:left w:type="dxa" w:w="100"/>
              <w:bottom w:type="dxa" w:w="60"/>
              <w:right w:type="dxa" w:w="100"/>
            </w:tcMar>
            <w:vAlign w:val="center"/>
          </w:tcPr>
          <w:p>
            <w:pPr>
              <w:pStyle w:val="Tabela"/>
              <w:jc w:val="left"/>
            </w:pPr>
            <w:r>
              <w:t xml:space="preserve">52,5</w:t>
            </w:r>
          </w:p>
        </w:tc>
        <w:tc>
          <w:tcPr>
            <w:tcMar>
              <w:top w:type="dxa" w:w="60"/>
              <w:left w:type="dxa" w:w="100"/>
              <w:bottom w:type="dxa" w:w="60"/>
              <w:right w:type="dxa" w:w="100"/>
            </w:tcMar>
            <w:vAlign w:val="center"/>
          </w:tcPr>
          <w:p>
            <w:pPr>
              <w:pStyle w:val="Tabela"/>
              <w:jc w:val="left"/>
            </w:pPr>
            <w:r>
              <w:t xml:space="preserve">50,5</w:t>
            </w:r>
          </w:p>
        </w:tc>
        <w:tc>
          <w:tcPr>
            <w:tcMar>
              <w:top w:type="dxa" w:w="60"/>
              <w:left w:type="dxa" w:w="100"/>
              <w:bottom w:type="dxa" w:w="60"/>
              <w:right w:type="dxa" w:w="100"/>
            </w:tcMar>
            <w:vAlign w:val="center"/>
          </w:tcPr>
          <w:p>
            <w:pPr>
              <w:pStyle w:val="Tabela"/>
              <w:jc w:val="left"/>
            </w:pPr>
            <w:r>
              <w:t xml:space="preserve">1,04</w:t>
            </w:r>
          </w:p>
        </w:tc>
        <w:tc>
          <w:tcPr>
            <w:tcMar>
              <w:top w:type="dxa" w:w="60"/>
              <w:left w:type="dxa" w:w="100"/>
              <w:bottom w:type="dxa" w:w="60"/>
              <w:right w:type="dxa" w:w="100"/>
            </w:tcMar>
            <w:vAlign w:val="center"/>
          </w:tcPr>
          <w:p>
            <w:pPr>
              <w:pStyle w:val="Tabela"/>
              <w:jc w:val="left"/>
            </w:pPr>
            <w:r>
              <w:t xml:space="preserve">0,02</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Cor ou raça</w:t>
            </w:r>
          </w:p>
        </w:tc>
        <w:tc>
          <w:tcPr>
            <w:tcMar>
              <w:top w:type="dxa" w:w="60"/>
              <w:left w:type="dxa" w:w="100"/>
              <w:bottom w:type="dxa" w:w="60"/>
              <w:right w:type="dxa" w:w="100"/>
            </w:tcMar>
            <w:vAlign w:val="center"/>
          </w:tcPr>
          <w:p>
            <w:pPr>
              <w:pStyle w:val="Tabela"/>
              <w:jc w:val="left"/>
            </w:pPr>
            <w:r>
              <w:t xml:space="preserve">Branca</w:t>
            </w:r>
          </w:p>
        </w:tc>
        <w:tc>
          <w:tcPr>
            <w:tcMar>
              <w:top w:type="dxa" w:w="60"/>
              <w:left w:type="dxa" w:w="100"/>
              <w:bottom w:type="dxa" w:w="60"/>
              <w:right w:type="dxa" w:w="100"/>
            </w:tcMar>
            <w:vAlign w:val="center"/>
          </w:tcPr>
          <w:p>
            <w:pPr>
              <w:pStyle w:val="Tabela"/>
              <w:jc w:val="left"/>
            </w:pPr>
            <w:r>
              <w:t xml:space="preserve">20,8</w:t>
            </w:r>
          </w:p>
        </w:tc>
        <w:tc>
          <w:tcPr>
            <w:tcMar>
              <w:top w:type="dxa" w:w="60"/>
              <w:left w:type="dxa" w:w="100"/>
              <w:bottom w:type="dxa" w:w="60"/>
              <w:right w:type="dxa" w:w="100"/>
            </w:tcMar>
            <w:vAlign w:val="center"/>
          </w:tcPr>
          <w:p>
            <w:pPr>
              <w:pStyle w:val="Tabela"/>
              <w:jc w:val="left"/>
            </w:pPr>
            <w:r>
              <w:t xml:space="preserve">23,0</w:t>
            </w:r>
          </w:p>
        </w:tc>
        <w:tc>
          <w:tcPr>
            <w:tcMar>
              <w:top w:type="dxa" w:w="60"/>
              <w:left w:type="dxa" w:w="100"/>
              <w:bottom w:type="dxa" w:w="60"/>
              <w:right w:type="dxa" w:w="100"/>
            </w:tcMar>
            <w:vAlign w:val="center"/>
          </w:tcPr>
          <w:p>
            <w:pPr>
              <w:pStyle w:val="Tabela"/>
              <w:jc w:val="left"/>
            </w:pPr>
            <w:r>
              <w:t xml:space="preserve">0,90</w:t>
            </w:r>
          </w:p>
        </w:tc>
        <w:tc>
          <w:tcPr>
            <w:tcMar>
              <w:top w:type="dxa" w:w="60"/>
              <w:left w:type="dxa" w:w="100"/>
              <w:bottom w:type="dxa" w:w="60"/>
              <w:right w:type="dxa" w:w="100"/>
            </w:tcMar>
            <w:vAlign w:val="center"/>
          </w:tcPr>
          <w:p>
            <w:pPr>
              <w:pStyle w:val="Tabela"/>
              <w:jc w:val="left"/>
            </w:pPr>
            <w:r>
              <w:t xml:space="preserve">0,07</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Trabalha em outro município</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2,0*</w:t>
            </w:r>
          </w:p>
        </w:tc>
        <w:tc>
          <w:tcPr>
            <w:tcMar>
              <w:top w:type="dxa" w:w="60"/>
              <w:left w:type="dxa" w:w="100"/>
              <w:bottom w:type="dxa" w:w="60"/>
              <w:right w:type="dxa" w:w="100"/>
            </w:tcMar>
            <w:vAlign w:val="center"/>
          </w:tcPr>
          <w:p>
            <w:pPr>
              <w:pStyle w:val="Tabela"/>
              <w:jc w:val="left"/>
            </w:pPr>
            <w:r>
              <w:t xml:space="preserve">1,4*</w:t>
            </w:r>
          </w:p>
        </w:tc>
        <w:tc>
          <w:tcPr>
            <w:tcMar>
              <w:top w:type="dxa" w:w="60"/>
              <w:left w:type="dxa" w:w="100"/>
              <w:bottom w:type="dxa" w:w="60"/>
              <w:right w:type="dxa" w:w="100"/>
            </w:tcMar>
            <w:vAlign w:val="center"/>
          </w:tcPr>
          <w:p>
            <w:pPr>
              <w:pStyle w:val="Tabela"/>
              <w:jc w:val="left"/>
            </w:pPr>
            <w:r>
              <w:t xml:space="preserve">1,42</w:t>
            </w:r>
          </w:p>
        </w:tc>
        <w:tc>
          <w:tcPr>
            <w:tcMar>
              <w:top w:type="dxa" w:w="60"/>
              <w:left w:type="dxa" w:w="100"/>
              <w:bottom w:type="dxa" w:w="60"/>
              <w:right w:type="dxa" w:w="100"/>
            </w:tcMar>
            <w:vAlign w:val="center"/>
          </w:tcPr>
          <w:p>
            <w:pPr>
              <w:pStyle w:val="Tabela"/>
              <w:jc w:val="left"/>
            </w:pPr>
            <w:r>
              <w:t xml:space="preserve">0,54</w:t>
            </w:r>
          </w:p>
        </w:tc>
        <w:tc>
          <w:tcPr>
            <w:tcMar>
              <w:top w:type="dxa" w:w="60"/>
              <w:left w:type="dxa" w:w="100"/>
              <w:bottom w:type="dxa" w:w="60"/>
              <w:right w:type="dxa" w:w="100"/>
            </w:tcMar>
            <w:vAlign w:val="center"/>
          </w:tcPr>
          <w:p>
            <w:pPr>
              <w:pStyle w:val="Tabela"/>
              <w:jc w:val="left"/>
            </w:pPr>
            <w:r>
              <w:t xml:space="preserve">não</w:t>
            </w:r>
          </w:p>
        </w:tc>
      </w:tr>
      <w:tr>
        <w:tc>
          <w:tcPr>
            <w:tcMar>
              <w:top w:type="dxa" w:w="60"/>
              <w:left w:type="dxa" w:w="100"/>
              <w:bottom w:type="dxa" w:w="60"/>
              <w:right w:type="dxa" w:w="100"/>
            </w:tcMar>
            <w:vAlign w:val="center"/>
          </w:tcPr>
          <w:p>
            <w:pPr>
              <w:pStyle w:val="Tabela"/>
              <w:jc w:val="left"/>
            </w:pPr>
            <w:r>
              <w:t xml:space="preserve">Idade média (anos)</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28,2</w:t>
            </w:r>
          </w:p>
        </w:tc>
        <w:tc>
          <w:tcPr>
            <w:tcMar>
              <w:top w:type="dxa" w:w="60"/>
              <w:left w:type="dxa" w:w="100"/>
              <w:bottom w:type="dxa" w:w="60"/>
              <w:right w:type="dxa" w:w="100"/>
            </w:tcMar>
            <w:vAlign w:val="center"/>
          </w:tcPr>
          <w:p>
            <w:pPr>
              <w:pStyle w:val="Tabela"/>
              <w:jc w:val="left"/>
            </w:pPr>
            <w:r>
              <w:t xml:space="preserve">31,3</w:t>
            </w:r>
          </w:p>
        </w:tc>
        <w:tc>
          <w:tcPr>
            <w:tcMar>
              <w:top w:type="dxa" w:w="60"/>
              <w:left w:type="dxa" w:w="100"/>
              <w:bottom w:type="dxa" w:w="60"/>
              <w:right w:type="dxa" w:w="100"/>
            </w:tcMar>
            <w:vAlign w:val="center"/>
          </w:tcPr>
          <w:p>
            <w:pPr>
              <w:pStyle w:val="Tabela"/>
              <w:jc w:val="left"/>
            </w:pPr>
            <w:r>
              <w:t xml:space="preserve">0,90</w:t>
            </w:r>
          </w:p>
        </w:tc>
        <w:tc>
          <w:tcPr>
            <w:tcMar>
              <w:top w:type="dxa" w:w="60"/>
              <w:left w:type="dxa" w:w="100"/>
              <w:bottom w:type="dxa" w:w="60"/>
              <w:right w:type="dxa" w:w="100"/>
            </w:tcMar>
            <w:vAlign w:val="center"/>
          </w:tcPr>
          <w:p>
            <w:pPr>
              <w:pStyle w:val="Tabela"/>
              <w:jc w:val="left"/>
            </w:pPr>
            <w:r>
              <w:t xml:space="preserve">0,02</w:t>
            </w:r>
          </w:p>
        </w:tc>
        <w:tc>
          <w:tcPr>
            <w:tcMar>
              <w:top w:type="dxa" w:w="60"/>
              <w:left w:type="dxa" w:w="100"/>
              <w:bottom w:type="dxa" w:w="60"/>
              <w:right w:type="dxa" w:w="100"/>
            </w:tcMar>
            <w:vAlign w:val="center"/>
          </w:tcPr>
          <w:p>
            <w:pPr>
              <w:pStyle w:val="Tabela"/>
              <w:jc w:val="left"/>
            </w:pPr>
            <w:r>
              <w:t xml:space="preserve">sim</w:t>
            </w:r>
          </w:p>
        </w:tc>
      </w:tr>
      <w:tr>
        <w:tc>
          <w:tcPr>
            <w:tcMar>
              <w:top w:type="dxa" w:w="60"/>
              <w:left w:type="dxa" w:w="100"/>
              <w:bottom w:type="dxa" w:w="60"/>
              <w:right w:type="dxa" w:w="100"/>
            </w:tcMar>
            <w:vAlign w:val="center"/>
          </w:tcPr>
          <w:p>
            <w:pPr>
              <w:pStyle w:val="Tabela"/>
              <w:jc w:val="left"/>
            </w:pPr>
            <w:r>
              <w:t xml:space="preserve">Renda média do trabalho (R$ jul/2022)</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2.725</w:t>
            </w:r>
          </w:p>
        </w:tc>
        <w:tc>
          <w:tcPr>
            <w:tcMar>
              <w:top w:type="dxa" w:w="60"/>
              <w:left w:type="dxa" w:w="100"/>
              <w:bottom w:type="dxa" w:w="60"/>
              <w:right w:type="dxa" w:w="100"/>
            </w:tcMar>
            <w:vAlign w:val="center"/>
          </w:tcPr>
          <w:p>
            <w:pPr>
              <w:pStyle w:val="Tabela"/>
              <w:jc w:val="left"/>
            </w:pPr>
            <w:r>
              <w:t xml:space="preserve">2.734</w:t>
            </w:r>
          </w:p>
        </w:tc>
        <w:tc>
          <w:tcPr>
            <w:tcMar>
              <w:top w:type="dxa" w:w="60"/>
              <w:left w:type="dxa" w:w="100"/>
              <w:bottom w:type="dxa" w:w="60"/>
              <w:right w:type="dxa" w:w="100"/>
            </w:tcMar>
            <w:vAlign w:val="center"/>
          </w:tcPr>
          <w:p>
            <w:pPr>
              <w:pStyle w:val="Tabela"/>
              <w:jc w:val="left"/>
            </w:pPr>
            <w:r>
              <w:t xml:space="preserve">1,00</w:t>
            </w:r>
          </w:p>
        </w:tc>
        <w:tc>
          <w:tcPr>
            <w:tcMar>
              <w:top w:type="dxa" w:w="60"/>
              <w:left w:type="dxa" w:w="100"/>
              <w:bottom w:type="dxa" w:w="60"/>
              <w:right w:type="dxa" w:w="100"/>
            </w:tcMar>
            <w:vAlign w:val="center"/>
          </w:tcPr>
          <w:p>
            <w:pPr>
              <w:pStyle w:val="Tabela"/>
              <w:jc w:val="left"/>
            </w:pPr>
            <w:r>
              <w:t xml:space="preserve">0,04</w:t>
            </w:r>
          </w:p>
        </w:tc>
        <w:tc>
          <w:tcPr>
            <w:tcMar>
              <w:top w:type="dxa" w:w="60"/>
              <w:left w:type="dxa" w:w="100"/>
              <w:bottom w:type="dxa" w:w="60"/>
              <w:right w:type="dxa" w:w="100"/>
            </w:tcMar>
            <w:vAlign w:val="center"/>
          </w:tcPr>
          <w:p>
            <w:pPr>
              <w:pStyle w:val="Tabela"/>
              <w:jc w:val="left"/>
            </w:pPr>
            <w:r>
              <w:t xml:space="preserve">não</w:t>
            </w:r>
          </w:p>
        </w:tc>
      </w:tr>
    </w:tbl>
    <w:p>
      <w:pPr>
        <w:spacing w:after="120"/>
      </w:pPr>
    </w:p>
    <w:p>
      <w:pPr>
        <w:pStyle w:val="Corpo"/>
      </w:pPr>
      <w:r>
        <w:t xml:space="preserve">Fonte: Elaboração própria a partir dos microdados da amostra do Censo 2022 (IBGE; acesso controlado).</w:t>
      </w:r>
    </w:p>
    <w:p>
      <w:pPr>
        <w:pStyle w:val="Corpo"/>
      </w:pPr>
      <w:r>
        <w:t xml:space="preserve">Nota: Razão de seletividade = proporção entre migrantes ÷ proporção entre não migrantes; erro-padrão pelo método delta (bootstrap de domicílios, 200 réplicas), supondo independência entre grupos. </w:t>
      </w:r>
      <w:r>
        <w:rPr>
          <w:i/>
          <w:iCs/>
        </w:rPr>
        <w:t xml:space="preserve"> CV 15–30 %; </w:t>
      </w:r>
      <w:r>
        <w:t xml:space="preserve">* CV &gt; 30 %.</w:t>
      </w:r>
    </w:p>
    <w:p>
      <w:pPr>
        <w:spacing w:after="40" w:before="200"/>
        <w:jc w:val="center"/>
      </w:pPr>
      <w:r>
        <w:drawing>
          <wp:inline distT="0" distB="0" distL="0" distR="0">
            <wp:extent cx="5334000" cy="35290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29070"/>
                    </a:xfrm>
                    <a:prstGeom prst="rect">
                      <a:avLst/>
                    </a:prstGeom>
                  </pic:spPr>
                </pic:pic>
              </a:graphicData>
            </a:graphic>
          </wp:inline>
        </w:drawing>
      </w:r>
    </w:p>
    <w:p>
      <w:pPr>
        <w:pStyle w:val="Legenda"/>
        <w:jc w:val="center"/>
      </w:pPr>
      <w:r>
        <w:t xml:space="preserve">Figura 8 — Perfil dos migrantes de data fixa (residiam em outro município em 2017) e dos não migrantes, Canaã dos Carajás, 2022: proporção em cada categoria com IC 95 %; diferença em pontos percentuais (n.s. = não significativa a 95 %). Universos: pessoas de 5+ (sexo, idade, cor, naturalidade), 25+ (instrução), ocupados (setor, posição, formalidade). Fonte: Elaboração própria a partir dos microdados da amostra dos Censos Demográficos (IBGE); estimativas aprovadas pelo controle de revelação.</w:t>
      </w:r>
    </w:p>
    <w:p>
      <w:pPr>
        <w:pStyle w:val="Titulo2"/>
      </w:pPr>
      <w:r>
        <w:t xml:space="preserve">5.6 Inserção ocupacional e a cadeia produtiva da mineração</w:t>
      </w:r>
    </w:p>
    <w:p>
      <w:pPr>
        <w:pStyle w:val="Corpo"/>
      </w:pPr>
      <w:r>
        <w:t xml:space="preserve">A estrutura ocupacional de Canaã foi refeita em duas décadas (Tabela 6, Figura 9). A agropecuária ocupava 55 % dos trabalhadores em 2000, 19 % em 2010 e 3 % em 2022. A extrativa mineral chegou a 7,4 % em 2010 e 10,4 % em 2022, proporção acima da de Parauapebas (7,8 %) e dez vezes a do Pará (1,0 %); a construção, a 12,2 % e 14,1 %; os serviços, de 5,7 % para 25,2 %. A formalização acompanhou: os ocupados com vínculo formal passaram de 7,1 % em 2000 para 41,6 % em 2010 e 60,9 % em 2022, contra 37,1 % no Pará e 59,2 % em Parauapebas, e o trabalho por conta própria caiu de 41 % para 20 %. A renda média do trabalho subiu de R$ 1.949 para R$ 2.732 em reais de 2022 e igualou a de Parauapebas.</w:t>
      </w:r>
    </w:p>
    <w:p>
      <w:pPr>
        <w:pStyle w:val="Corpo"/>
      </w:pPr>
      <w:r>
        <w:rPr>
          <w:b/>
          <w:bCs/>
        </w:rPr>
        <w:t xml:space="preserve">Tabela 6 — Ocupados por setor de atividade e indicadores de inserção, Canaã dos Carajás, Parauapebas e Pará, 2000–2022 (%)</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Setor</w:t>
            </w:r>
          </w:p>
        </w:tc>
        <w:tc>
          <w:tcPr>
            <w:tcMar>
              <w:top w:type="dxa" w:w="60"/>
              <w:left w:type="dxa" w:w="100"/>
              <w:bottom w:type="dxa" w:w="60"/>
              <w:right w:type="dxa" w:w="100"/>
            </w:tcMar>
            <w:vAlign w:val="center"/>
          </w:tcPr>
          <w:p>
            <w:pPr>
              <w:pStyle w:val="TabelaCab"/>
              <w:jc w:val="left"/>
            </w:pPr>
            <w:r>
              <w:t xml:space="preserve">Canaã 2000</w:t>
            </w:r>
          </w:p>
        </w:tc>
        <w:tc>
          <w:tcPr>
            <w:tcMar>
              <w:top w:type="dxa" w:w="60"/>
              <w:left w:type="dxa" w:w="100"/>
              <w:bottom w:type="dxa" w:w="60"/>
              <w:right w:type="dxa" w:w="100"/>
            </w:tcMar>
            <w:vAlign w:val="center"/>
          </w:tcPr>
          <w:p>
            <w:pPr>
              <w:pStyle w:val="TabelaCab"/>
              <w:jc w:val="left"/>
            </w:pPr>
            <w:r>
              <w:t xml:space="preserve">Canaã 2010</w:t>
            </w:r>
          </w:p>
        </w:tc>
        <w:tc>
          <w:tcPr>
            <w:tcMar>
              <w:top w:type="dxa" w:w="60"/>
              <w:left w:type="dxa" w:w="100"/>
              <w:bottom w:type="dxa" w:w="60"/>
              <w:right w:type="dxa" w:w="100"/>
            </w:tcMar>
            <w:vAlign w:val="center"/>
          </w:tcPr>
          <w:p>
            <w:pPr>
              <w:pStyle w:val="TabelaCab"/>
              <w:jc w:val="left"/>
            </w:pPr>
            <w:r>
              <w:t xml:space="preserve">Canaã 2022</w:t>
            </w:r>
          </w:p>
        </w:tc>
        <w:tc>
          <w:tcPr>
            <w:tcMar>
              <w:top w:type="dxa" w:w="60"/>
              <w:left w:type="dxa" w:w="100"/>
              <w:bottom w:type="dxa" w:w="60"/>
              <w:right w:type="dxa" w:w="100"/>
            </w:tcMar>
            <w:vAlign w:val="center"/>
          </w:tcPr>
          <w:p>
            <w:pPr>
              <w:pStyle w:val="TabelaCab"/>
              <w:jc w:val="left"/>
            </w:pPr>
            <w:r>
              <w:t xml:space="preserve">Parauapebas 2000</w:t>
            </w:r>
          </w:p>
        </w:tc>
        <w:tc>
          <w:tcPr>
            <w:tcMar>
              <w:top w:type="dxa" w:w="60"/>
              <w:left w:type="dxa" w:w="100"/>
              <w:bottom w:type="dxa" w:w="60"/>
              <w:right w:type="dxa" w:w="100"/>
            </w:tcMar>
            <w:vAlign w:val="center"/>
          </w:tcPr>
          <w:p>
            <w:pPr>
              <w:pStyle w:val="TabelaCab"/>
              <w:jc w:val="left"/>
            </w:pPr>
            <w:r>
              <w:t xml:space="preserve">Parauapebas 2010</w:t>
            </w:r>
          </w:p>
        </w:tc>
        <w:tc>
          <w:tcPr>
            <w:tcMar>
              <w:top w:type="dxa" w:w="60"/>
              <w:left w:type="dxa" w:w="100"/>
              <w:bottom w:type="dxa" w:w="60"/>
              <w:right w:type="dxa" w:w="100"/>
            </w:tcMar>
            <w:vAlign w:val="center"/>
          </w:tcPr>
          <w:p>
            <w:pPr>
              <w:pStyle w:val="TabelaCab"/>
              <w:jc w:val="left"/>
            </w:pPr>
            <w:r>
              <w:t xml:space="preserve">Parauapebas 2022</w:t>
            </w:r>
          </w:p>
        </w:tc>
        <w:tc>
          <w:tcPr>
            <w:tcMar>
              <w:top w:type="dxa" w:w="60"/>
              <w:left w:type="dxa" w:w="100"/>
              <w:bottom w:type="dxa" w:w="60"/>
              <w:right w:type="dxa" w:w="100"/>
            </w:tcMar>
            <w:vAlign w:val="center"/>
          </w:tcPr>
          <w:p>
            <w:pPr>
              <w:pStyle w:val="TabelaCab"/>
              <w:jc w:val="left"/>
            </w:pPr>
            <w:r>
              <w:t xml:space="preserve">Pará 2000</w:t>
            </w:r>
          </w:p>
        </w:tc>
        <w:tc>
          <w:tcPr>
            <w:tcMar>
              <w:top w:type="dxa" w:w="60"/>
              <w:left w:type="dxa" w:w="100"/>
              <w:bottom w:type="dxa" w:w="60"/>
              <w:right w:type="dxa" w:w="100"/>
            </w:tcMar>
            <w:vAlign w:val="center"/>
          </w:tcPr>
          <w:p>
            <w:pPr>
              <w:pStyle w:val="TabelaCab"/>
              <w:jc w:val="left"/>
            </w:pPr>
            <w:r>
              <w:t xml:space="preserve">Pará 2010</w:t>
            </w:r>
          </w:p>
        </w:tc>
        <w:tc>
          <w:tcPr>
            <w:tcMar>
              <w:top w:type="dxa" w:w="60"/>
              <w:left w:type="dxa" w:w="100"/>
              <w:bottom w:type="dxa" w:w="60"/>
              <w:right w:type="dxa" w:w="100"/>
            </w:tcMar>
            <w:vAlign w:val="center"/>
          </w:tcPr>
          <w:p>
            <w:pPr>
              <w:pStyle w:val="TabelaCab"/>
              <w:jc w:val="left"/>
            </w:pPr>
            <w:r>
              <w:t xml:space="preserve">Pará 2022</w:t>
            </w:r>
          </w:p>
        </w:tc>
      </w:tr>
      <w:tr>
        <w:tc>
          <w:tcPr>
            <w:tcMar>
              <w:top w:type="dxa" w:w="60"/>
              <w:left w:type="dxa" w:w="100"/>
              <w:bottom w:type="dxa" w:w="60"/>
              <w:right w:type="dxa" w:w="100"/>
            </w:tcMar>
            <w:vAlign w:val="center"/>
          </w:tcPr>
          <w:p>
            <w:pPr>
              <w:pStyle w:val="Tabela"/>
              <w:jc w:val="left"/>
            </w:pPr>
            <w:r>
              <w:t xml:space="preserve">Agropecuária</w:t>
            </w:r>
          </w:p>
        </w:tc>
        <w:tc>
          <w:tcPr>
            <w:tcMar>
              <w:top w:type="dxa" w:w="60"/>
              <w:left w:type="dxa" w:w="100"/>
              <w:bottom w:type="dxa" w:w="60"/>
              <w:right w:type="dxa" w:w="100"/>
            </w:tcMar>
            <w:vAlign w:val="center"/>
          </w:tcPr>
          <w:p>
            <w:pPr>
              <w:pStyle w:val="Tabela"/>
              <w:jc w:val="left"/>
            </w:pPr>
            <w:r>
              <w:t xml:space="preserve">55,2</w:t>
            </w:r>
          </w:p>
        </w:tc>
        <w:tc>
          <w:tcPr>
            <w:tcMar>
              <w:top w:type="dxa" w:w="60"/>
              <w:left w:type="dxa" w:w="100"/>
              <w:bottom w:type="dxa" w:w="60"/>
              <w:right w:type="dxa" w:w="100"/>
            </w:tcMar>
            <w:vAlign w:val="center"/>
          </w:tcPr>
          <w:p>
            <w:pPr>
              <w:pStyle w:val="Tabela"/>
              <w:jc w:val="left"/>
            </w:pPr>
            <w:r>
              <w:t xml:space="preserve">19,3</w:t>
            </w:r>
          </w:p>
        </w:tc>
        <w:tc>
          <w:tcPr>
            <w:tcMar>
              <w:top w:type="dxa" w:w="60"/>
              <w:left w:type="dxa" w:w="100"/>
              <w:bottom w:type="dxa" w:w="60"/>
              <w:right w:type="dxa" w:w="100"/>
            </w:tcMar>
            <w:vAlign w:val="center"/>
          </w:tcPr>
          <w:p>
            <w:pPr>
              <w:pStyle w:val="Tabela"/>
              <w:jc w:val="left"/>
            </w:pPr>
            <w:r>
              <w:t xml:space="preserve">3,4</w:t>
            </w:r>
          </w:p>
        </w:tc>
        <w:tc>
          <w:tcPr>
            <w:tcMar>
              <w:top w:type="dxa" w:w="60"/>
              <w:left w:type="dxa" w:w="100"/>
              <w:bottom w:type="dxa" w:w="60"/>
              <w:right w:type="dxa" w:w="100"/>
            </w:tcMar>
            <w:vAlign w:val="center"/>
          </w:tcPr>
          <w:p>
            <w:pPr>
              <w:pStyle w:val="Tabela"/>
              <w:jc w:val="left"/>
            </w:pPr>
            <w:r>
              <w:t xml:space="preserve">14,4</w:t>
            </w:r>
          </w:p>
        </w:tc>
        <w:tc>
          <w:tcPr>
            <w:tcMar>
              <w:top w:type="dxa" w:w="60"/>
              <w:left w:type="dxa" w:w="100"/>
              <w:bottom w:type="dxa" w:w="60"/>
              <w:right w:type="dxa" w:w="100"/>
            </w:tcMar>
            <w:vAlign w:val="center"/>
          </w:tcPr>
          <w:p>
            <w:pPr>
              <w:pStyle w:val="Tabela"/>
              <w:jc w:val="left"/>
            </w:pPr>
            <w:r>
              <w:t xml:space="preserve">5,0</w:t>
            </w:r>
          </w:p>
        </w:tc>
        <w:tc>
          <w:tcPr>
            <w:tcMar>
              <w:top w:type="dxa" w:w="60"/>
              <w:left w:type="dxa" w:w="100"/>
              <w:bottom w:type="dxa" w:w="60"/>
              <w:right w:type="dxa" w:w="100"/>
            </w:tcMar>
            <w:vAlign w:val="center"/>
          </w:tcPr>
          <w:p>
            <w:pPr>
              <w:pStyle w:val="Tabela"/>
              <w:jc w:val="left"/>
            </w:pPr>
            <w:r>
              <w:t xml:space="preserve">2,5</w:t>
            </w:r>
          </w:p>
        </w:tc>
        <w:tc>
          <w:tcPr>
            <w:tcMar>
              <w:top w:type="dxa" w:w="60"/>
              <w:left w:type="dxa" w:w="100"/>
              <w:bottom w:type="dxa" w:w="60"/>
              <w:right w:type="dxa" w:w="100"/>
            </w:tcMar>
            <w:vAlign w:val="center"/>
          </w:tcPr>
          <w:p>
            <w:pPr>
              <w:pStyle w:val="Tabela"/>
              <w:jc w:val="left"/>
            </w:pPr>
            <w:r>
              <w:t xml:space="preserve">28,9</w:t>
            </w:r>
          </w:p>
        </w:tc>
        <w:tc>
          <w:tcPr>
            <w:tcMar>
              <w:top w:type="dxa" w:w="60"/>
              <w:left w:type="dxa" w:w="100"/>
              <w:bottom w:type="dxa" w:w="60"/>
              <w:right w:type="dxa" w:w="100"/>
            </w:tcMar>
            <w:vAlign w:val="center"/>
          </w:tcPr>
          <w:p>
            <w:pPr>
              <w:pStyle w:val="Tabela"/>
              <w:jc w:val="left"/>
            </w:pPr>
            <w:r>
              <w:t xml:space="preserve">26,1</w:t>
            </w:r>
          </w:p>
        </w:tc>
        <w:tc>
          <w:tcPr>
            <w:tcMar>
              <w:top w:type="dxa" w:w="60"/>
              <w:left w:type="dxa" w:w="100"/>
              <w:bottom w:type="dxa" w:w="60"/>
              <w:right w:type="dxa" w:w="100"/>
            </w:tcMar>
            <w:vAlign w:val="center"/>
          </w:tcPr>
          <w:p>
            <w:pPr>
              <w:pStyle w:val="Tabela"/>
              <w:jc w:val="left"/>
            </w:pPr>
            <w:r>
              <w:t xml:space="preserve">14,2</w:t>
            </w:r>
          </w:p>
        </w:tc>
      </w:tr>
      <w:tr>
        <w:tc>
          <w:tcPr>
            <w:tcMar>
              <w:top w:type="dxa" w:w="60"/>
              <w:left w:type="dxa" w:w="100"/>
              <w:bottom w:type="dxa" w:w="60"/>
              <w:right w:type="dxa" w:w="100"/>
            </w:tcMar>
            <w:vAlign w:val="center"/>
          </w:tcPr>
          <w:p>
            <w:pPr>
              <w:pStyle w:val="Tabela"/>
              <w:jc w:val="left"/>
            </w:pPr>
            <w:r>
              <w:t xml:space="preserve">Extrativa mineral</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7,4</w:t>
            </w:r>
          </w:p>
        </w:tc>
        <w:tc>
          <w:tcPr>
            <w:tcMar>
              <w:top w:type="dxa" w:w="60"/>
              <w:left w:type="dxa" w:w="100"/>
              <w:bottom w:type="dxa" w:w="60"/>
              <w:right w:type="dxa" w:w="100"/>
            </w:tcMar>
            <w:vAlign w:val="center"/>
          </w:tcPr>
          <w:p>
            <w:pPr>
              <w:pStyle w:val="Tabela"/>
              <w:jc w:val="left"/>
            </w:pPr>
            <w:r>
              <w:t xml:space="preserve">10,4</w:t>
            </w:r>
          </w:p>
        </w:tc>
        <w:tc>
          <w:tcPr>
            <w:tcMar>
              <w:top w:type="dxa" w:w="60"/>
              <w:left w:type="dxa" w:w="100"/>
              <w:bottom w:type="dxa" w:w="60"/>
              <w:right w:type="dxa" w:w="100"/>
            </w:tcMar>
            <w:vAlign w:val="center"/>
          </w:tcPr>
          <w:p>
            <w:pPr>
              <w:pStyle w:val="Tabela"/>
              <w:jc w:val="left"/>
            </w:pPr>
            <w:r>
              <w:t xml:space="preserve">7,2</w:t>
            </w:r>
          </w:p>
        </w:tc>
        <w:tc>
          <w:tcPr>
            <w:tcMar>
              <w:top w:type="dxa" w:w="60"/>
              <w:left w:type="dxa" w:w="100"/>
              <w:bottom w:type="dxa" w:w="60"/>
              <w:right w:type="dxa" w:w="100"/>
            </w:tcMar>
            <w:vAlign w:val="center"/>
          </w:tcPr>
          <w:p>
            <w:pPr>
              <w:pStyle w:val="Tabela"/>
              <w:jc w:val="left"/>
            </w:pPr>
            <w:r>
              <w:t xml:space="preserve">8,9</w:t>
            </w:r>
          </w:p>
        </w:tc>
        <w:tc>
          <w:tcPr>
            <w:tcMar>
              <w:top w:type="dxa" w:w="60"/>
              <w:left w:type="dxa" w:w="100"/>
              <w:bottom w:type="dxa" w:w="60"/>
              <w:right w:type="dxa" w:w="100"/>
            </w:tcMar>
            <w:vAlign w:val="center"/>
          </w:tcPr>
          <w:p>
            <w:pPr>
              <w:pStyle w:val="Tabela"/>
              <w:jc w:val="left"/>
            </w:pPr>
            <w:r>
              <w:t xml:space="preserve">7,8</w:t>
            </w:r>
          </w:p>
        </w:tc>
        <w:tc>
          <w:tcPr>
            <w:tcMar>
              <w:top w:type="dxa" w:w="60"/>
              <w:left w:type="dxa" w:w="100"/>
              <w:bottom w:type="dxa" w:w="60"/>
              <w:right w:type="dxa" w:w="100"/>
            </w:tcMar>
            <w:vAlign w:val="center"/>
          </w:tcPr>
          <w:p>
            <w:pPr>
              <w:pStyle w:val="Tabela"/>
              <w:jc w:val="left"/>
            </w:pPr>
            <w:r>
              <w:t xml:space="preserve">0,9</w:t>
            </w:r>
          </w:p>
        </w:tc>
        <w:tc>
          <w:tcPr>
            <w:tcMar>
              <w:top w:type="dxa" w:w="60"/>
              <w:left w:type="dxa" w:w="100"/>
              <w:bottom w:type="dxa" w:w="60"/>
              <w:right w:type="dxa" w:w="100"/>
            </w:tcMar>
            <w:vAlign w:val="center"/>
          </w:tcPr>
          <w:p>
            <w:pPr>
              <w:pStyle w:val="Tabela"/>
              <w:jc w:val="left"/>
            </w:pPr>
            <w:r>
              <w:t xml:space="preserve">0,9</w:t>
            </w:r>
          </w:p>
        </w:tc>
        <w:tc>
          <w:tcPr>
            <w:tcMar>
              <w:top w:type="dxa" w:w="60"/>
              <w:left w:type="dxa" w:w="100"/>
              <w:bottom w:type="dxa" w:w="60"/>
              <w:right w:type="dxa" w:w="100"/>
            </w:tcMar>
            <w:vAlign w:val="center"/>
          </w:tcPr>
          <w:p>
            <w:pPr>
              <w:pStyle w:val="Tabela"/>
              <w:jc w:val="left"/>
            </w:pPr>
            <w:r>
              <w:t xml:space="preserve">1,0</w:t>
            </w:r>
          </w:p>
        </w:tc>
      </w:tr>
      <w:tr>
        <w:tc>
          <w:tcPr>
            <w:tcMar>
              <w:top w:type="dxa" w:w="60"/>
              <w:left w:type="dxa" w:w="100"/>
              <w:bottom w:type="dxa" w:w="60"/>
              <w:right w:type="dxa" w:w="100"/>
            </w:tcMar>
            <w:vAlign w:val="center"/>
          </w:tcPr>
          <w:p>
            <w:pPr>
              <w:pStyle w:val="Tabela"/>
              <w:jc w:val="left"/>
            </w:pPr>
            <w:r>
              <w:t xml:space="preserve">Ind. de transformação</w:t>
            </w:r>
          </w:p>
        </w:tc>
        <w:tc>
          <w:tcPr>
            <w:tcMar>
              <w:top w:type="dxa" w:w="60"/>
              <w:left w:type="dxa" w:w="100"/>
              <w:bottom w:type="dxa" w:w="60"/>
              <w:right w:type="dxa" w:w="100"/>
            </w:tcMar>
            <w:vAlign w:val="center"/>
          </w:tcPr>
          <w:p>
            <w:pPr>
              <w:pStyle w:val="Tabela"/>
              <w:jc w:val="left"/>
            </w:pPr>
            <w:r>
              <w:t xml:space="preserve">4,0*</w:t>
            </w:r>
          </w:p>
        </w:tc>
        <w:tc>
          <w:tcPr>
            <w:tcMar>
              <w:top w:type="dxa" w:w="60"/>
              <w:left w:type="dxa" w:w="100"/>
              <w:bottom w:type="dxa" w:w="60"/>
              <w:right w:type="dxa" w:w="100"/>
            </w:tcMar>
            <w:vAlign w:val="center"/>
          </w:tcPr>
          <w:p>
            <w:pPr>
              <w:pStyle w:val="Tabela"/>
              <w:jc w:val="left"/>
            </w:pPr>
            <w:r>
              <w:t xml:space="preserve">4,5*</w:t>
            </w:r>
          </w:p>
        </w:tc>
        <w:tc>
          <w:tcPr>
            <w:tcMar>
              <w:top w:type="dxa" w:w="60"/>
              <w:left w:type="dxa" w:w="100"/>
              <w:bottom w:type="dxa" w:w="60"/>
              <w:right w:type="dxa" w:w="100"/>
            </w:tcMar>
            <w:vAlign w:val="center"/>
          </w:tcPr>
          <w:p>
            <w:pPr>
              <w:pStyle w:val="Tabela"/>
              <w:jc w:val="left"/>
            </w:pPr>
            <w:r>
              <w:t xml:space="preserve">6,6</w:t>
            </w:r>
          </w:p>
        </w:tc>
        <w:tc>
          <w:tcPr>
            <w:tcMar>
              <w:top w:type="dxa" w:w="60"/>
              <w:left w:type="dxa" w:w="100"/>
              <w:bottom w:type="dxa" w:w="60"/>
              <w:right w:type="dxa" w:w="100"/>
            </w:tcMar>
            <w:vAlign w:val="center"/>
          </w:tcPr>
          <w:p>
            <w:pPr>
              <w:pStyle w:val="Tabela"/>
              <w:jc w:val="left"/>
            </w:pPr>
            <w:r>
              <w:t xml:space="preserve">9,2</w:t>
            </w:r>
          </w:p>
        </w:tc>
        <w:tc>
          <w:tcPr>
            <w:tcMar>
              <w:top w:type="dxa" w:w="60"/>
              <w:left w:type="dxa" w:w="100"/>
              <w:bottom w:type="dxa" w:w="60"/>
              <w:right w:type="dxa" w:w="100"/>
            </w:tcMar>
            <w:vAlign w:val="center"/>
          </w:tcPr>
          <w:p>
            <w:pPr>
              <w:pStyle w:val="Tabela"/>
              <w:jc w:val="left"/>
            </w:pPr>
            <w:r>
              <w:t xml:space="preserve">5,5</w:t>
            </w:r>
          </w:p>
        </w:tc>
        <w:tc>
          <w:tcPr>
            <w:tcMar>
              <w:top w:type="dxa" w:w="60"/>
              <w:left w:type="dxa" w:w="100"/>
              <w:bottom w:type="dxa" w:w="60"/>
              <w:right w:type="dxa" w:w="100"/>
            </w:tcMar>
            <w:vAlign w:val="center"/>
          </w:tcPr>
          <w:p>
            <w:pPr>
              <w:pStyle w:val="Tabela"/>
              <w:jc w:val="left"/>
            </w:pPr>
            <w:r>
              <w:t xml:space="preserve">6,5</w:t>
            </w:r>
          </w:p>
        </w:tc>
        <w:tc>
          <w:tcPr>
            <w:tcMar>
              <w:top w:type="dxa" w:w="60"/>
              <w:left w:type="dxa" w:w="100"/>
              <w:bottom w:type="dxa" w:w="60"/>
              <w:right w:type="dxa" w:w="100"/>
            </w:tcMar>
            <w:vAlign w:val="center"/>
          </w:tcPr>
          <w:p>
            <w:pPr>
              <w:pStyle w:val="Tabela"/>
              <w:jc w:val="left"/>
            </w:pPr>
            <w:r>
              <w:t xml:space="preserve">11,0</w:t>
            </w:r>
          </w:p>
        </w:tc>
        <w:tc>
          <w:tcPr>
            <w:tcMar>
              <w:top w:type="dxa" w:w="60"/>
              <w:left w:type="dxa" w:w="100"/>
              <w:bottom w:type="dxa" w:w="60"/>
              <w:right w:type="dxa" w:w="100"/>
            </w:tcMar>
            <w:vAlign w:val="center"/>
          </w:tcPr>
          <w:p>
            <w:pPr>
              <w:pStyle w:val="Tabela"/>
              <w:jc w:val="left"/>
            </w:pPr>
            <w:r>
              <w:t xml:space="preserve">6,5</w:t>
            </w:r>
          </w:p>
        </w:tc>
        <w:tc>
          <w:tcPr>
            <w:tcMar>
              <w:top w:type="dxa" w:w="60"/>
              <w:left w:type="dxa" w:w="100"/>
              <w:bottom w:type="dxa" w:w="60"/>
              <w:right w:type="dxa" w:w="100"/>
            </w:tcMar>
            <w:vAlign w:val="center"/>
          </w:tcPr>
          <w:p>
            <w:pPr>
              <w:pStyle w:val="Tabela"/>
              <w:jc w:val="left"/>
            </w:pPr>
            <w:r>
              <w:t xml:space="preserve">6,3</w:t>
            </w:r>
          </w:p>
        </w:tc>
      </w:tr>
      <w:tr>
        <w:tc>
          <w:tcPr>
            <w:tcMar>
              <w:top w:type="dxa" w:w="60"/>
              <w:left w:type="dxa" w:w="100"/>
              <w:bottom w:type="dxa" w:w="60"/>
              <w:right w:type="dxa" w:w="100"/>
            </w:tcMar>
            <w:vAlign w:val="center"/>
          </w:tcPr>
          <w:p>
            <w:pPr>
              <w:pStyle w:val="Tabela"/>
              <w:jc w:val="left"/>
            </w:pPr>
            <w:r>
              <w:t xml:space="preserve">Construção</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12,2</w:t>
            </w:r>
          </w:p>
        </w:tc>
        <w:tc>
          <w:tcPr>
            <w:tcMar>
              <w:top w:type="dxa" w:w="60"/>
              <w:left w:type="dxa" w:w="100"/>
              <w:bottom w:type="dxa" w:w="60"/>
              <w:right w:type="dxa" w:w="100"/>
            </w:tcMar>
            <w:vAlign w:val="center"/>
          </w:tcPr>
          <w:p>
            <w:pPr>
              <w:pStyle w:val="Tabela"/>
              <w:jc w:val="left"/>
            </w:pPr>
            <w:r>
              <w:t xml:space="preserve">14,1</w:t>
            </w:r>
          </w:p>
        </w:tc>
        <w:tc>
          <w:tcPr>
            <w:tcMar>
              <w:top w:type="dxa" w:w="60"/>
              <w:left w:type="dxa" w:w="100"/>
              <w:bottom w:type="dxa" w:w="60"/>
              <w:right w:type="dxa" w:w="100"/>
            </w:tcMar>
            <w:vAlign w:val="center"/>
          </w:tcPr>
          <w:p>
            <w:pPr>
              <w:pStyle w:val="Tabela"/>
              <w:jc w:val="left"/>
            </w:pPr>
            <w:r>
              <w:t xml:space="preserve">7,8</w:t>
            </w:r>
          </w:p>
        </w:tc>
        <w:tc>
          <w:tcPr>
            <w:tcMar>
              <w:top w:type="dxa" w:w="60"/>
              <w:left w:type="dxa" w:w="100"/>
              <w:bottom w:type="dxa" w:w="60"/>
              <w:right w:type="dxa" w:w="100"/>
            </w:tcMar>
            <w:vAlign w:val="center"/>
          </w:tcPr>
          <w:p>
            <w:pPr>
              <w:pStyle w:val="Tabela"/>
              <w:jc w:val="left"/>
            </w:pPr>
            <w:r>
              <w:t xml:space="preserve">15,9</w:t>
            </w:r>
          </w:p>
        </w:tc>
        <w:tc>
          <w:tcPr>
            <w:tcMar>
              <w:top w:type="dxa" w:w="60"/>
              <w:left w:type="dxa" w:w="100"/>
              <w:bottom w:type="dxa" w:w="60"/>
              <w:right w:type="dxa" w:w="100"/>
            </w:tcMar>
            <w:vAlign w:val="center"/>
          </w:tcPr>
          <w:p>
            <w:pPr>
              <w:pStyle w:val="Tabela"/>
              <w:jc w:val="left"/>
            </w:pPr>
            <w:r>
              <w:t xml:space="preserve">12,4</w:t>
            </w:r>
          </w:p>
        </w:tc>
        <w:tc>
          <w:tcPr>
            <w:tcMar>
              <w:top w:type="dxa" w:w="60"/>
              <w:left w:type="dxa" w:w="100"/>
              <w:bottom w:type="dxa" w:w="60"/>
              <w:right w:type="dxa" w:w="100"/>
            </w:tcMar>
            <w:vAlign w:val="center"/>
          </w:tcPr>
          <w:p>
            <w:pPr>
              <w:pStyle w:val="Tabela"/>
              <w:jc w:val="left"/>
            </w:pPr>
            <w:r>
              <w:t xml:space="preserve">5,2</w:t>
            </w:r>
          </w:p>
        </w:tc>
        <w:tc>
          <w:tcPr>
            <w:tcMar>
              <w:top w:type="dxa" w:w="60"/>
              <w:left w:type="dxa" w:w="100"/>
              <w:bottom w:type="dxa" w:w="60"/>
              <w:right w:type="dxa" w:w="100"/>
            </w:tcMar>
            <w:vAlign w:val="center"/>
          </w:tcPr>
          <w:p>
            <w:pPr>
              <w:pStyle w:val="Tabela"/>
              <w:jc w:val="left"/>
            </w:pPr>
            <w:r>
              <w:t xml:space="preserve">6,9</w:t>
            </w:r>
          </w:p>
        </w:tc>
        <w:tc>
          <w:tcPr>
            <w:tcMar>
              <w:top w:type="dxa" w:w="60"/>
              <w:left w:type="dxa" w:w="100"/>
              <w:bottom w:type="dxa" w:w="60"/>
              <w:right w:type="dxa" w:w="100"/>
            </w:tcMar>
            <w:vAlign w:val="center"/>
          </w:tcPr>
          <w:p>
            <w:pPr>
              <w:pStyle w:val="Tabela"/>
              <w:jc w:val="left"/>
            </w:pPr>
            <w:r>
              <w:t xml:space="preserve">8,4</w:t>
            </w:r>
          </w:p>
        </w:tc>
      </w:tr>
      <w:tr>
        <w:tc>
          <w:tcPr>
            <w:tcMar>
              <w:top w:type="dxa" w:w="60"/>
              <w:left w:type="dxa" w:w="100"/>
              <w:bottom w:type="dxa" w:w="60"/>
              <w:right w:type="dxa" w:w="100"/>
            </w:tcMar>
            <w:vAlign w:val="center"/>
          </w:tcPr>
          <w:p>
            <w:pPr>
              <w:pStyle w:val="Tabela"/>
              <w:jc w:val="left"/>
            </w:pPr>
            <w:r>
              <w:t xml:space="preserve">Comércio</w:t>
            </w:r>
          </w:p>
        </w:tc>
        <w:tc>
          <w:tcPr>
            <w:tcMar>
              <w:top w:type="dxa" w:w="60"/>
              <w:left w:type="dxa" w:w="100"/>
              <w:bottom w:type="dxa" w:w="60"/>
              <w:right w:type="dxa" w:w="100"/>
            </w:tcMar>
            <w:vAlign w:val="center"/>
          </w:tcPr>
          <w:p>
            <w:pPr>
              <w:pStyle w:val="Tabela"/>
              <w:jc w:val="left"/>
            </w:pPr>
            <w:r>
              <w:t xml:space="preserve">10,0</w:t>
            </w:r>
          </w:p>
        </w:tc>
        <w:tc>
          <w:tcPr>
            <w:tcMar>
              <w:top w:type="dxa" w:w="60"/>
              <w:left w:type="dxa" w:w="100"/>
              <w:bottom w:type="dxa" w:w="60"/>
              <w:right w:type="dxa" w:w="100"/>
            </w:tcMar>
            <w:vAlign w:val="center"/>
          </w:tcPr>
          <w:p>
            <w:pPr>
              <w:pStyle w:val="Tabela"/>
              <w:jc w:val="left"/>
            </w:pPr>
            <w:r>
              <w:t xml:space="preserve">14,7</w:t>
            </w:r>
          </w:p>
        </w:tc>
        <w:tc>
          <w:tcPr>
            <w:tcMar>
              <w:top w:type="dxa" w:w="60"/>
              <w:left w:type="dxa" w:w="100"/>
              <w:bottom w:type="dxa" w:w="60"/>
              <w:right w:type="dxa" w:w="100"/>
            </w:tcMar>
            <w:vAlign w:val="center"/>
          </w:tcPr>
          <w:p>
            <w:pPr>
              <w:pStyle w:val="Tabela"/>
              <w:jc w:val="left"/>
            </w:pPr>
            <w:r>
              <w:t xml:space="preserve">14,5</w:t>
            </w:r>
          </w:p>
        </w:tc>
        <w:tc>
          <w:tcPr>
            <w:tcMar>
              <w:top w:type="dxa" w:w="60"/>
              <w:left w:type="dxa" w:w="100"/>
              <w:bottom w:type="dxa" w:w="60"/>
              <w:right w:type="dxa" w:w="100"/>
            </w:tcMar>
            <w:vAlign w:val="center"/>
          </w:tcPr>
          <w:p>
            <w:pPr>
              <w:pStyle w:val="Tabela"/>
              <w:jc w:val="left"/>
            </w:pPr>
            <w:r>
              <w:t xml:space="preserve">19,1</w:t>
            </w:r>
          </w:p>
        </w:tc>
        <w:tc>
          <w:tcPr>
            <w:tcMar>
              <w:top w:type="dxa" w:w="60"/>
              <w:left w:type="dxa" w:w="100"/>
              <w:bottom w:type="dxa" w:w="60"/>
              <w:right w:type="dxa" w:w="100"/>
            </w:tcMar>
            <w:vAlign w:val="center"/>
          </w:tcPr>
          <w:p>
            <w:pPr>
              <w:pStyle w:val="Tabela"/>
              <w:jc w:val="left"/>
            </w:pPr>
            <w:r>
              <w:t xml:space="preserve">17,5</w:t>
            </w:r>
          </w:p>
        </w:tc>
        <w:tc>
          <w:tcPr>
            <w:tcMar>
              <w:top w:type="dxa" w:w="60"/>
              <w:left w:type="dxa" w:w="100"/>
              <w:bottom w:type="dxa" w:w="60"/>
              <w:right w:type="dxa" w:w="100"/>
            </w:tcMar>
            <w:vAlign w:val="center"/>
          </w:tcPr>
          <w:p>
            <w:pPr>
              <w:pStyle w:val="Tabela"/>
              <w:jc w:val="left"/>
            </w:pPr>
            <w:r>
              <w:t xml:space="preserve">18,2</w:t>
            </w:r>
          </w:p>
        </w:tc>
        <w:tc>
          <w:tcPr>
            <w:tcMar>
              <w:top w:type="dxa" w:w="60"/>
              <w:left w:type="dxa" w:w="100"/>
              <w:bottom w:type="dxa" w:w="60"/>
              <w:right w:type="dxa" w:w="100"/>
            </w:tcMar>
            <w:vAlign w:val="center"/>
          </w:tcPr>
          <w:p>
            <w:pPr>
              <w:pStyle w:val="Tabela"/>
              <w:jc w:val="left"/>
            </w:pPr>
            <w:r>
              <w:t xml:space="preserve">17,1</w:t>
            </w:r>
          </w:p>
        </w:tc>
        <w:tc>
          <w:tcPr>
            <w:tcMar>
              <w:top w:type="dxa" w:w="60"/>
              <w:left w:type="dxa" w:w="100"/>
              <w:bottom w:type="dxa" w:w="60"/>
              <w:right w:type="dxa" w:w="100"/>
            </w:tcMar>
            <w:vAlign w:val="center"/>
          </w:tcPr>
          <w:p>
            <w:pPr>
              <w:pStyle w:val="Tabela"/>
              <w:jc w:val="left"/>
            </w:pPr>
            <w:r>
              <w:t xml:space="preserve">18,2</w:t>
            </w:r>
          </w:p>
        </w:tc>
        <w:tc>
          <w:tcPr>
            <w:tcMar>
              <w:top w:type="dxa" w:w="60"/>
              <w:left w:type="dxa" w:w="100"/>
              <w:bottom w:type="dxa" w:w="60"/>
              <w:right w:type="dxa" w:w="100"/>
            </w:tcMar>
            <w:vAlign w:val="center"/>
          </w:tcPr>
          <w:p>
            <w:pPr>
              <w:pStyle w:val="Tabela"/>
              <w:jc w:val="left"/>
            </w:pPr>
            <w:r>
              <w:t xml:space="preserve">18,2</w:t>
            </w:r>
          </w:p>
        </w:tc>
      </w:tr>
      <w:tr>
        <w:tc>
          <w:tcPr>
            <w:tcMar>
              <w:top w:type="dxa" w:w="60"/>
              <w:left w:type="dxa" w:w="100"/>
              <w:bottom w:type="dxa" w:w="60"/>
              <w:right w:type="dxa" w:w="100"/>
            </w:tcMar>
            <w:vAlign w:val="center"/>
          </w:tcPr>
          <w:p>
            <w:pPr>
              <w:pStyle w:val="Tabela"/>
              <w:jc w:val="left"/>
            </w:pPr>
            <w:r>
              <w:t xml:space="preserve">Serviços</w:t>
            </w:r>
          </w:p>
        </w:tc>
        <w:tc>
          <w:tcPr>
            <w:tcMar>
              <w:top w:type="dxa" w:w="60"/>
              <w:left w:type="dxa" w:w="100"/>
              <w:bottom w:type="dxa" w:w="60"/>
              <w:right w:type="dxa" w:w="100"/>
            </w:tcMar>
            <w:vAlign w:val="center"/>
          </w:tcPr>
          <w:p>
            <w:pPr>
              <w:pStyle w:val="Tabela"/>
              <w:jc w:val="left"/>
            </w:pPr>
            <w:r>
              <w:t xml:space="preserve">5,7*</w:t>
            </w:r>
          </w:p>
        </w:tc>
        <w:tc>
          <w:tcPr>
            <w:tcMar>
              <w:top w:type="dxa" w:w="60"/>
              <w:left w:type="dxa" w:w="100"/>
              <w:bottom w:type="dxa" w:w="60"/>
              <w:right w:type="dxa" w:w="100"/>
            </w:tcMar>
            <w:vAlign w:val="center"/>
          </w:tcPr>
          <w:p>
            <w:pPr>
              <w:pStyle w:val="Tabela"/>
              <w:jc w:val="left"/>
            </w:pPr>
            <w:r>
              <w:t xml:space="preserve">16,4</w:t>
            </w:r>
          </w:p>
        </w:tc>
        <w:tc>
          <w:tcPr>
            <w:tcMar>
              <w:top w:type="dxa" w:w="60"/>
              <w:left w:type="dxa" w:w="100"/>
              <w:bottom w:type="dxa" w:w="60"/>
              <w:right w:type="dxa" w:w="100"/>
            </w:tcMar>
            <w:vAlign w:val="center"/>
          </w:tcPr>
          <w:p>
            <w:pPr>
              <w:pStyle w:val="Tabela"/>
              <w:jc w:val="left"/>
            </w:pPr>
            <w:r>
              <w:t xml:space="preserve">25,2</w:t>
            </w:r>
          </w:p>
        </w:tc>
        <w:tc>
          <w:tcPr>
            <w:tcMar>
              <w:top w:type="dxa" w:w="60"/>
              <w:left w:type="dxa" w:w="100"/>
              <w:bottom w:type="dxa" w:w="60"/>
              <w:right w:type="dxa" w:w="100"/>
            </w:tcMar>
            <w:vAlign w:val="center"/>
          </w:tcPr>
          <w:p>
            <w:pPr>
              <w:pStyle w:val="Tabela"/>
              <w:jc w:val="left"/>
            </w:pPr>
            <w:r>
              <w:t xml:space="preserve">17,9</w:t>
            </w:r>
          </w:p>
        </w:tc>
        <w:tc>
          <w:tcPr>
            <w:tcMar>
              <w:top w:type="dxa" w:w="60"/>
              <w:left w:type="dxa" w:w="100"/>
              <w:bottom w:type="dxa" w:w="60"/>
              <w:right w:type="dxa" w:w="100"/>
            </w:tcMar>
            <w:vAlign w:val="center"/>
          </w:tcPr>
          <w:p>
            <w:pPr>
              <w:pStyle w:val="Tabela"/>
              <w:jc w:val="left"/>
            </w:pPr>
            <w:r>
              <w:t xml:space="preserve">19,6</w:t>
            </w:r>
          </w:p>
        </w:tc>
        <w:tc>
          <w:tcPr>
            <w:tcMar>
              <w:top w:type="dxa" w:w="60"/>
              <w:left w:type="dxa" w:w="100"/>
              <w:bottom w:type="dxa" w:w="60"/>
              <w:right w:type="dxa" w:w="100"/>
            </w:tcMar>
            <w:vAlign w:val="center"/>
          </w:tcPr>
          <w:p>
            <w:pPr>
              <w:pStyle w:val="Tabela"/>
              <w:jc w:val="left"/>
            </w:pPr>
            <w:r>
              <w:t xml:space="preserve">25,1</w:t>
            </w:r>
          </w:p>
        </w:tc>
        <w:tc>
          <w:tcPr>
            <w:tcMar>
              <w:top w:type="dxa" w:w="60"/>
              <w:left w:type="dxa" w:w="100"/>
              <w:bottom w:type="dxa" w:w="60"/>
              <w:right w:type="dxa" w:w="100"/>
            </w:tcMar>
            <w:vAlign w:val="center"/>
          </w:tcPr>
          <w:p>
            <w:pPr>
              <w:pStyle w:val="Tabela"/>
              <w:jc w:val="left"/>
            </w:pPr>
            <w:r>
              <w:t xml:space="preserve">15,2</w:t>
            </w:r>
          </w:p>
        </w:tc>
        <w:tc>
          <w:tcPr>
            <w:tcMar>
              <w:top w:type="dxa" w:w="60"/>
              <w:left w:type="dxa" w:w="100"/>
              <w:bottom w:type="dxa" w:w="60"/>
              <w:right w:type="dxa" w:w="100"/>
            </w:tcMar>
            <w:vAlign w:val="center"/>
          </w:tcPr>
          <w:p>
            <w:pPr>
              <w:pStyle w:val="Tabela"/>
              <w:jc w:val="left"/>
            </w:pPr>
            <w:r>
              <w:t xml:space="preserve">14,9</w:t>
            </w:r>
          </w:p>
        </w:tc>
        <w:tc>
          <w:tcPr>
            <w:tcMar>
              <w:top w:type="dxa" w:w="60"/>
              <w:left w:type="dxa" w:w="100"/>
              <w:bottom w:type="dxa" w:w="60"/>
              <w:right w:type="dxa" w:w="100"/>
            </w:tcMar>
            <w:vAlign w:val="center"/>
          </w:tcPr>
          <w:p>
            <w:pPr>
              <w:pStyle w:val="Tabela"/>
              <w:jc w:val="left"/>
            </w:pPr>
            <w:r>
              <w:t xml:space="preserve">23,2</w:t>
            </w:r>
          </w:p>
        </w:tc>
      </w:tr>
      <w:tr>
        <w:tc>
          <w:tcPr>
            <w:tcMar>
              <w:top w:type="dxa" w:w="60"/>
              <w:left w:type="dxa" w:w="100"/>
              <w:bottom w:type="dxa" w:w="60"/>
              <w:right w:type="dxa" w:w="100"/>
            </w:tcMar>
            <w:vAlign w:val="center"/>
          </w:tcPr>
          <w:p>
            <w:pPr>
              <w:pStyle w:val="Tabela"/>
              <w:jc w:val="left"/>
            </w:pPr>
            <w:r>
              <w:t xml:space="preserve">Adm. pública, educação e saúde</w:t>
            </w:r>
          </w:p>
        </w:tc>
        <w:tc>
          <w:tcPr>
            <w:tcMar>
              <w:top w:type="dxa" w:w="60"/>
              <w:left w:type="dxa" w:w="100"/>
              <w:bottom w:type="dxa" w:w="60"/>
              <w:right w:type="dxa" w:w="100"/>
            </w:tcMar>
            <w:vAlign w:val="center"/>
          </w:tcPr>
          <w:p>
            <w:pPr>
              <w:pStyle w:val="Tabela"/>
              <w:jc w:val="left"/>
            </w:pPr>
            <w:r>
              <w:t xml:space="preserve">13,0</w:t>
            </w:r>
          </w:p>
        </w:tc>
        <w:tc>
          <w:tcPr>
            <w:tcMar>
              <w:top w:type="dxa" w:w="60"/>
              <w:left w:type="dxa" w:w="100"/>
              <w:bottom w:type="dxa" w:w="60"/>
              <w:right w:type="dxa" w:w="100"/>
            </w:tcMar>
            <w:vAlign w:val="center"/>
          </w:tcPr>
          <w:p>
            <w:pPr>
              <w:pStyle w:val="Tabela"/>
              <w:jc w:val="left"/>
            </w:pPr>
            <w:r>
              <w:t xml:space="preserve">11,9</w:t>
            </w:r>
          </w:p>
        </w:tc>
        <w:tc>
          <w:tcPr>
            <w:tcMar>
              <w:top w:type="dxa" w:w="60"/>
              <w:left w:type="dxa" w:w="100"/>
              <w:bottom w:type="dxa" w:w="60"/>
              <w:right w:type="dxa" w:w="100"/>
            </w:tcMar>
            <w:vAlign w:val="center"/>
          </w:tcPr>
          <w:p>
            <w:pPr>
              <w:pStyle w:val="Tabela"/>
              <w:jc w:val="left"/>
            </w:pPr>
            <w:r>
              <w:t xml:space="preserve">13,0</w:t>
            </w:r>
          </w:p>
        </w:tc>
        <w:tc>
          <w:tcPr>
            <w:tcMar>
              <w:top w:type="dxa" w:w="60"/>
              <w:left w:type="dxa" w:w="100"/>
              <w:bottom w:type="dxa" w:w="60"/>
              <w:right w:type="dxa" w:w="100"/>
            </w:tcMar>
            <w:vAlign w:val="center"/>
          </w:tcPr>
          <w:p>
            <w:pPr>
              <w:pStyle w:val="Tabela"/>
              <w:jc w:val="left"/>
            </w:pPr>
            <w:r>
              <w:t xml:space="preserve">14,5</w:t>
            </w:r>
          </w:p>
        </w:tc>
        <w:tc>
          <w:tcPr>
            <w:tcMar>
              <w:top w:type="dxa" w:w="60"/>
              <w:left w:type="dxa" w:w="100"/>
              <w:bottom w:type="dxa" w:w="60"/>
              <w:right w:type="dxa" w:w="100"/>
            </w:tcMar>
            <w:vAlign w:val="center"/>
          </w:tcPr>
          <w:p>
            <w:pPr>
              <w:pStyle w:val="Tabela"/>
              <w:jc w:val="left"/>
            </w:pPr>
            <w:r>
              <w:t xml:space="preserve">10,9</w:t>
            </w:r>
          </w:p>
        </w:tc>
        <w:tc>
          <w:tcPr>
            <w:tcMar>
              <w:top w:type="dxa" w:w="60"/>
              <w:left w:type="dxa" w:w="100"/>
              <w:bottom w:type="dxa" w:w="60"/>
              <w:right w:type="dxa" w:w="100"/>
            </w:tcMar>
            <w:vAlign w:val="center"/>
          </w:tcPr>
          <w:p>
            <w:pPr>
              <w:pStyle w:val="Tabela"/>
              <w:jc w:val="left"/>
            </w:pPr>
            <w:r>
              <w:t xml:space="preserve">13,5</w:t>
            </w:r>
          </w:p>
        </w:tc>
        <w:tc>
          <w:tcPr>
            <w:tcMar>
              <w:top w:type="dxa" w:w="60"/>
              <w:left w:type="dxa" w:w="100"/>
              <w:bottom w:type="dxa" w:w="60"/>
              <w:right w:type="dxa" w:w="100"/>
            </w:tcMar>
            <w:vAlign w:val="center"/>
          </w:tcPr>
          <w:p>
            <w:pPr>
              <w:pStyle w:val="Tabela"/>
              <w:jc w:val="left"/>
            </w:pPr>
            <w:r>
              <w:t xml:space="preserve">12,9</w:t>
            </w:r>
          </w:p>
        </w:tc>
        <w:tc>
          <w:tcPr>
            <w:tcMar>
              <w:top w:type="dxa" w:w="60"/>
              <w:left w:type="dxa" w:w="100"/>
              <w:bottom w:type="dxa" w:w="60"/>
              <w:right w:type="dxa" w:w="100"/>
            </w:tcMar>
            <w:vAlign w:val="center"/>
          </w:tcPr>
          <w:p>
            <w:pPr>
              <w:pStyle w:val="Tabela"/>
              <w:jc w:val="left"/>
            </w:pPr>
            <w:r>
              <w:t xml:space="preserve">13,6</w:t>
            </w:r>
          </w:p>
        </w:tc>
        <w:tc>
          <w:tcPr>
            <w:tcMar>
              <w:top w:type="dxa" w:w="60"/>
              <w:left w:type="dxa" w:w="100"/>
              <w:bottom w:type="dxa" w:w="60"/>
              <w:right w:type="dxa" w:w="100"/>
            </w:tcMar>
            <w:vAlign w:val="center"/>
          </w:tcPr>
          <w:p>
            <w:pPr>
              <w:pStyle w:val="Tabela"/>
              <w:jc w:val="left"/>
            </w:pPr>
            <w:r>
              <w:t xml:space="preserve">16,4</w:t>
            </w:r>
          </w:p>
        </w:tc>
      </w:tr>
      <w:tr>
        <w:tc>
          <w:tcPr>
            <w:tcMar>
              <w:top w:type="dxa" w:w="60"/>
              <w:left w:type="dxa" w:w="100"/>
              <w:bottom w:type="dxa" w:w="60"/>
              <w:right w:type="dxa" w:w="100"/>
            </w:tcMar>
            <w:vAlign w:val="center"/>
          </w:tcPr>
          <w:p>
            <w:pPr>
              <w:pStyle w:val="Tabela"/>
              <w:jc w:val="left"/>
            </w:pPr>
            <w:r>
              <w:t xml:space="preserve">Serviços domésticos</w:t>
            </w:r>
          </w:p>
        </w:tc>
        <w:tc>
          <w:tcPr>
            <w:tcMar>
              <w:top w:type="dxa" w:w="60"/>
              <w:left w:type="dxa" w:w="100"/>
              <w:bottom w:type="dxa" w:w="60"/>
              <w:right w:type="dxa" w:w="100"/>
            </w:tcMar>
            <w:vAlign w:val="center"/>
          </w:tcPr>
          <w:p>
            <w:pPr>
              <w:pStyle w:val="Tabela"/>
              <w:jc w:val="left"/>
            </w:pPr>
            <w:r>
              <w:t xml:space="preserve">4,2*</w:t>
            </w:r>
          </w:p>
        </w:tc>
        <w:tc>
          <w:tcPr>
            <w:tcMar>
              <w:top w:type="dxa" w:w="60"/>
              <w:left w:type="dxa" w:w="100"/>
              <w:bottom w:type="dxa" w:w="60"/>
              <w:right w:type="dxa" w:w="100"/>
            </w:tcMar>
            <w:vAlign w:val="center"/>
          </w:tcPr>
          <w:p>
            <w:pPr>
              <w:pStyle w:val="Tabela"/>
              <w:jc w:val="left"/>
            </w:pPr>
            <w:r>
              <w:t xml:space="preserve">4,6</w:t>
            </w:r>
          </w:p>
        </w:tc>
        <w:tc>
          <w:tcPr>
            <w:tcMar>
              <w:top w:type="dxa" w:w="60"/>
              <w:left w:type="dxa" w:w="100"/>
              <w:bottom w:type="dxa" w:w="60"/>
              <w:right w:type="dxa" w:w="100"/>
            </w:tcMar>
            <w:vAlign w:val="center"/>
          </w:tcPr>
          <w:p>
            <w:pPr>
              <w:pStyle w:val="Tabela"/>
              <w:jc w:val="left"/>
            </w:pPr>
            <w:r>
              <w:t xml:space="preserve">2,9</w:t>
            </w:r>
          </w:p>
        </w:tc>
        <w:tc>
          <w:tcPr>
            <w:tcMar>
              <w:top w:type="dxa" w:w="60"/>
              <w:left w:type="dxa" w:w="100"/>
              <w:bottom w:type="dxa" w:w="60"/>
              <w:right w:type="dxa" w:w="100"/>
            </w:tcMar>
            <w:vAlign w:val="center"/>
          </w:tcPr>
          <w:p>
            <w:pPr>
              <w:pStyle w:val="Tabela"/>
              <w:jc w:val="left"/>
            </w:pPr>
            <w:r>
              <w:t xml:space="preserve">6,5</w:t>
            </w:r>
          </w:p>
        </w:tc>
        <w:tc>
          <w:tcPr>
            <w:tcMar>
              <w:top w:type="dxa" w:w="60"/>
              <w:left w:type="dxa" w:w="100"/>
              <w:bottom w:type="dxa" w:w="60"/>
              <w:right w:type="dxa" w:w="100"/>
            </w:tcMar>
            <w:vAlign w:val="center"/>
          </w:tcPr>
          <w:p>
            <w:pPr>
              <w:pStyle w:val="Tabela"/>
              <w:jc w:val="left"/>
            </w:pPr>
            <w:r>
              <w:t xml:space="preserve">5,0</w:t>
            </w:r>
          </w:p>
        </w:tc>
        <w:tc>
          <w:tcPr>
            <w:tcMar>
              <w:top w:type="dxa" w:w="60"/>
              <w:left w:type="dxa" w:w="100"/>
              <w:bottom w:type="dxa" w:w="60"/>
              <w:right w:type="dxa" w:w="100"/>
            </w:tcMar>
            <w:vAlign w:val="center"/>
          </w:tcPr>
          <w:p>
            <w:pPr>
              <w:pStyle w:val="Tabela"/>
              <w:jc w:val="left"/>
            </w:pPr>
            <w:r>
              <w:t xml:space="preserve">2,7</w:t>
            </w:r>
          </w:p>
        </w:tc>
        <w:tc>
          <w:tcPr>
            <w:tcMar>
              <w:top w:type="dxa" w:w="60"/>
              <w:left w:type="dxa" w:w="100"/>
              <w:bottom w:type="dxa" w:w="60"/>
              <w:right w:type="dxa" w:w="100"/>
            </w:tcMar>
            <w:vAlign w:val="center"/>
          </w:tcPr>
          <w:p>
            <w:pPr>
              <w:pStyle w:val="Tabela"/>
              <w:jc w:val="left"/>
            </w:pPr>
            <w:r>
              <w:t xml:space="preserve">6,9</w:t>
            </w:r>
          </w:p>
        </w:tc>
        <w:tc>
          <w:tcPr>
            <w:tcMar>
              <w:top w:type="dxa" w:w="60"/>
              <w:left w:type="dxa" w:w="100"/>
              <w:bottom w:type="dxa" w:w="60"/>
              <w:right w:type="dxa" w:w="100"/>
            </w:tcMar>
            <w:vAlign w:val="center"/>
          </w:tcPr>
          <w:p>
            <w:pPr>
              <w:pStyle w:val="Tabela"/>
              <w:jc w:val="left"/>
            </w:pPr>
            <w:r>
              <w:t xml:space="preserve">6,5</w:t>
            </w:r>
          </w:p>
        </w:tc>
        <w:tc>
          <w:tcPr>
            <w:tcMar>
              <w:top w:type="dxa" w:w="60"/>
              <w:left w:type="dxa" w:w="100"/>
              <w:bottom w:type="dxa" w:w="60"/>
              <w:right w:type="dxa" w:w="100"/>
            </w:tcMar>
            <w:vAlign w:val="center"/>
          </w:tcPr>
          <w:p>
            <w:pPr>
              <w:pStyle w:val="Tabela"/>
              <w:jc w:val="left"/>
            </w:pPr>
            <w:r>
              <w:t xml:space="preserve">4,9</w:t>
            </w:r>
          </w:p>
        </w:tc>
      </w:tr>
      <w:tr>
        <w:tc>
          <w:tcPr>
            <w:tcMar>
              <w:top w:type="dxa" w:w="60"/>
              <w:left w:type="dxa" w:w="100"/>
              <w:bottom w:type="dxa" w:w="60"/>
              <w:right w:type="dxa" w:w="100"/>
            </w:tcMar>
            <w:vAlign w:val="center"/>
          </w:tcPr>
          <w:p>
            <w:pPr>
              <w:pStyle w:val="Tabela"/>
              <w:jc w:val="left"/>
            </w:pPr>
            <w:r>
              <w:t xml:space="preserve">Outras atividades</w:t>
            </w:r>
          </w:p>
        </w:tc>
        <w:tc>
          <w:tcPr>
            <w:tcMar>
              <w:top w:type="dxa" w:w="60"/>
              <w:left w:type="dxa" w:w="100"/>
              <w:bottom w:type="dxa" w:w="60"/>
              <w:right w:type="dxa" w:w="100"/>
            </w:tcMar>
            <w:vAlign w:val="center"/>
          </w:tcPr>
          <w:p>
            <w:pPr>
              <w:pStyle w:val="Tabela"/>
              <w:jc w:val="left"/>
            </w:pPr>
            <w:r>
              <w:t xml:space="preserve">3,4*</w:t>
            </w:r>
          </w:p>
        </w:tc>
        <w:tc>
          <w:tcPr>
            <w:tcMar>
              <w:top w:type="dxa" w:w="60"/>
              <w:left w:type="dxa" w:w="100"/>
              <w:bottom w:type="dxa" w:w="60"/>
              <w:right w:type="dxa" w:w="100"/>
            </w:tcMar>
            <w:vAlign w:val="center"/>
          </w:tcPr>
          <w:p>
            <w:pPr>
              <w:pStyle w:val="Tabela"/>
              <w:jc w:val="left"/>
            </w:pPr>
            <w:r>
              <w:t xml:space="preserve">8,9</w:t>
            </w:r>
          </w:p>
        </w:tc>
        <w:tc>
          <w:tcPr>
            <w:tcMar>
              <w:top w:type="dxa" w:w="60"/>
              <w:left w:type="dxa" w:w="100"/>
              <w:bottom w:type="dxa" w:w="60"/>
              <w:right w:type="dxa" w:w="100"/>
            </w:tcMar>
            <w:vAlign w:val="center"/>
          </w:tcPr>
          <w:p>
            <w:pPr>
              <w:pStyle w:val="Tabela"/>
              <w:jc w:val="left"/>
            </w:pPr>
            <w:r>
              <w:t xml:space="preserve">9,8</w:t>
            </w:r>
          </w:p>
        </w:tc>
        <w:tc>
          <w:tcPr>
            <w:tcMar>
              <w:top w:type="dxa" w:w="60"/>
              <w:left w:type="dxa" w:w="100"/>
              <w:bottom w:type="dxa" w:w="60"/>
              <w:right w:type="dxa" w:w="100"/>
            </w:tcMar>
            <w:vAlign w:val="center"/>
          </w:tcPr>
          <w:p>
            <w:pPr>
              <w:pStyle w:val="Tabela"/>
              <w:jc w:val="left"/>
            </w:pPr>
            <w:r>
              <w:t xml:space="preserve">3,1</w:t>
            </w:r>
          </w:p>
        </w:tc>
        <w:tc>
          <w:tcPr>
            <w:tcMar>
              <w:top w:type="dxa" w:w="60"/>
              <w:left w:type="dxa" w:w="100"/>
              <w:bottom w:type="dxa" w:w="60"/>
              <w:right w:type="dxa" w:w="100"/>
            </w:tcMar>
            <w:vAlign w:val="center"/>
          </w:tcPr>
          <w:p>
            <w:pPr>
              <w:pStyle w:val="Tabela"/>
              <w:jc w:val="left"/>
            </w:pPr>
            <w:r>
              <w:t xml:space="preserve">11,7</w:t>
            </w:r>
          </w:p>
        </w:tc>
        <w:tc>
          <w:tcPr>
            <w:tcMar>
              <w:top w:type="dxa" w:w="60"/>
              <w:left w:type="dxa" w:w="100"/>
              <w:bottom w:type="dxa" w:w="60"/>
              <w:right w:type="dxa" w:w="100"/>
            </w:tcMar>
            <w:vAlign w:val="center"/>
          </w:tcPr>
          <w:p>
            <w:pPr>
              <w:pStyle w:val="Tabela"/>
              <w:jc w:val="left"/>
            </w:pPr>
            <w:r>
              <w:t xml:space="preserve">11,3</w:t>
            </w:r>
          </w:p>
        </w:tc>
        <w:tc>
          <w:tcPr>
            <w:tcMar>
              <w:top w:type="dxa" w:w="60"/>
              <w:left w:type="dxa" w:w="100"/>
              <w:bottom w:type="dxa" w:w="60"/>
              <w:right w:type="dxa" w:w="100"/>
            </w:tcMar>
            <w:vAlign w:val="center"/>
          </w:tcPr>
          <w:p>
            <w:pPr>
              <w:pStyle w:val="Tabela"/>
              <w:jc w:val="left"/>
            </w:pPr>
            <w:r>
              <w:t xml:space="preserve">1,9</w:t>
            </w:r>
          </w:p>
        </w:tc>
        <w:tc>
          <w:tcPr>
            <w:tcMar>
              <w:top w:type="dxa" w:w="60"/>
              <w:left w:type="dxa" w:w="100"/>
              <w:bottom w:type="dxa" w:w="60"/>
              <w:right w:type="dxa" w:w="100"/>
            </w:tcMar>
            <w:vAlign w:val="center"/>
          </w:tcPr>
          <w:p>
            <w:pPr>
              <w:pStyle w:val="Tabela"/>
              <w:jc w:val="left"/>
            </w:pPr>
            <w:r>
              <w:t xml:space="preserve">6,5</w:t>
            </w:r>
          </w:p>
        </w:tc>
        <w:tc>
          <w:tcPr>
            <w:tcMar>
              <w:top w:type="dxa" w:w="60"/>
              <w:left w:type="dxa" w:w="100"/>
              <w:bottom w:type="dxa" w:w="60"/>
              <w:right w:type="dxa" w:w="100"/>
            </w:tcMar>
            <w:vAlign w:val="center"/>
          </w:tcPr>
          <w:p>
            <w:pPr>
              <w:pStyle w:val="Tabela"/>
              <w:jc w:val="left"/>
            </w:pPr>
            <w:r>
              <w:t xml:space="preserve">7,4</w:t>
            </w:r>
          </w:p>
        </w:tc>
      </w:tr>
      <w:tr>
        <w:tc>
          <w:tcPr>
            <w:tcMar>
              <w:top w:type="dxa" w:w="60"/>
              <w:left w:type="dxa" w:w="100"/>
              <w:bottom w:type="dxa" w:w="60"/>
              <w:right w:type="dxa" w:w="100"/>
            </w:tcMar>
            <w:vAlign w:val="center"/>
          </w:tcPr>
          <w:p>
            <w:pPr>
              <w:pStyle w:val="Tabela"/>
              <w:jc w:val="left"/>
            </w:pPr>
            <w:r>
              <w:t xml:space="preserve">Outros (categorias fundidas pelo sigilo)</w:t>
            </w:r>
          </w:p>
        </w:tc>
        <w:tc>
          <w:tcPr>
            <w:tcMar>
              <w:top w:type="dxa" w:w="60"/>
              <w:left w:type="dxa" w:w="100"/>
              <w:bottom w:type="dxa" w:w="60"/>
              <w:right w:type="dxa" w:w="100"/>
            </w:tcMar>
            <w:vAlign w:val="center"/>
          </w:tcPr>
          <w:p>
            <w:pPr>
              <w:pStyle w:val="Tabela"/>
              <w:jc w:val="left"/>
            </w:pPr>
            <w:r>
              <w:t xml:space="preserve">4,3</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Ocupados com vínculo formal (%)</w:t>
            </w:r>
          </w:p>
        </w:tc>
        <w:tc>
          <w:tcPr>
            <w:tcMar>
              <w:top w:type="dxa" w:w="60"/>
              <w:left w:type="dxa" w:w="100"/>
              <w:bottom w:type="dxa" w:w="60"/>
              <w:right w:type="dxa" w:w="100"/>
            </w:tcMar>
            <w:vAlign w:val="center"/>
          </w:tcPr>
          <w:p>
            <w:pPr>
              <w:pStyle w:val="Tabela"/>
              <w:jc w:val="left"/>
            </w:pPr>
            <w:r>
              <w:t xml:space="preserve">7,1</w:t>
            </w:r>
          </w:p>
        </w:tc>
        <w:tc>
          <w:tcPr>
            <w:tcMar>
              <w:top w:type="dxa" w:w="60"/>
              <w:left w:type="dxa" w:w="100"/>
              <w:bottom w:type="dxa" w:w="60"/>
              <w:right w:type="dxa" w:w="100"/>
            </w:tcMar>
            <w:vAlign w:val="center"/>
          </w:tcPr>
          <w:p>
            <w:pPr>
              <w:pStyle w:val="Tabela"/>
              <w:jc w:val="left"/>
            </w:pPr>
            <w:r>
              <w:t xml:space="preserve">41,6</w:t>
            </w:r>
          </w:p>
        </w:tc>
        <w:tc>
          <w:tcPr>
            <w:tcMar>
              <w:top w:type="dxa" w:w="60"/>
              <w:left w:type="dxa" w:w="100"/>
              <w:bottom w:type="dxa" w:w="60"/>
              <w:right w:type="dxa" w:w="100"/>
            </w:tcMar>
            <w:vAlign w:val="center"/>
          </w:tcPr>
          <w:p>
            <w:pPr>
              <w:pStyle w:val="Tabela"/>
              <w:jc w:val="left"/>
            </w:pPr>
            <w:r>
              <w:t xml:space="preserve">60,9</w:t>
            </w:r>
          </w:p>
        </w:tc>
        <w:tc>
          <w:tcPr>
            <w:tcMar>
              <w:top w:type="dxa" w:w="60"/>
              <w:left w:type="dxa" w:w="100"/>
              <w:bottom w:type="dxa" w:w="60"/>
              <w:right w:type="dxa" w:w="100"/>
            </w:tcMar>
            <w:vAlign w:val="center"/>
          </w:tcPr>
          <w:p>
            <w:pPr>
              <w:pStyle w:val="Tabela"/>
              <w:jc w:val="left"/>
            </w:pPr>
            <w:r>
              <w:t xml:space="preserve">28,6</w:t>
            </w:r>
          </w:p>
        </w:tc>
        <w:tc>
          <w:tcPr>
            <w:tcMar>
              <w:top w:type="dxa" w:w="60"/>
              <w:left w:type="dxa" w:w="100"/>
              <w:bottom w:type="dxa" w:w="60"/>
              <w:right w:type="dxa" w:w="100"/>
            </w:tcMar>
            <w:vAlign w:val="center"/>
          </w:tcPr>
          <w:p>
            <w:pPr>
              <w:pStyle w:val="Tabela"/>
              <w:jc w:val="left"/>
            </w:pPr>
            <w:r>
              <w:t xml:space="preserve">57,1</w:t>
            </w:r>
          </w:p>
        </w:tc>
        <w:tc>
          <w:tcPr>
            <w:tcMar>
              <w:top w:type="dxa" w:w="60"/>
              <w:left w:type="dxa" w:w="100"/>
              <w:bottom w:type="dxa" w:w="60"/>
              <w:right w:type="dxa" w:w="100"/>
            </w:tcMar>
            <w:vAlign w:val="center"/>
          </w:tcPr>
          <w:p>
            <w:pPr>
              <w:pStyle w:val="Tabela"/>
              <w:jc w:val="left"/>
            </w:pPr>
            <w:r>
              <w:t xml:space="preserve">59,2</w:t>
            </w:r>
          </w:p>
        </w:tc>
        <w:tc>
          <w:tcPr>
            <w:tcMar>
              <w:top w:type="dxa" w:w="60"/>
              <w:left w:type="dxa" w:w="100"/>
              <w:bottom w:type="dxa" w:w="60"/>
              <w:right w:type="dxa" w:w="100"/>
            </w:tcMar>
            <w:vAlign w:val="center"/>
          </w:tcPr>
          <w:p>
            <w:pPr>
              <w:pStyle w:val="Tabela"/>
              <w:jc w:val="left"/>
            </w:pPr>
            <w:r>
              <w:t xml:space="preserve">18,0</w:t>
            </w:r>
          </w:p>
        </w:tc>
        <w:tc>
          <w:tcPr>
            <w:tcMar>
              <w:top w:type="dxa" w:w="60"/>
              <w:left w:type="dxa" w:w="100"/>
              <w:bottom w:type="dxa" w:w="60"/>
              <w:right w:type="dxa" w:w="100"/>
            </w:tcMar>
            <w:vAlign w:val="center"/>
          </w:tcPr>
          <w:p>
            <w:pPr>
              <w:pStyle w:val="Tabela"/>
              <w:jc w:val="left"/>
            </w:pPr>
            <w:r>
              <w:t xml:space="preserve">31,7</w:t>
            </w:r>
          </w:p>
        </w:tc>
        <w:tc>
          <w:tcPr>
            <w:tcMar>
              <w:top w:type="dxa" w:w="60"/>
              <w:left w:type="dxa" w:w="100"/>
              <w:bottom w:type="dxa" w:w="60"/>
              <w:right w:type="dxa" w:w="100"/>
            </w:tcMar>
            <w:vAlign w:val="center"/>
          </w:tcPr>
          <w:p>
            <w:pPr>
              <w:pStyle w:val="Tabela"/>
              <w:jc w:val="left"/>
            </w:pPr>
            <w:r>
              <w:t xml:space="preserve">37,1</w:t>
            </w:r>
          </w:p>
        </w:tc>
      </w:tr>
      <w:tr>
        <w:tc>
          <w:tcPr>
            <w:tcMar>
              <w:top w:type="dxa" w:w="60"/>
              <w:left w:type="dxa" w:w="100"/>
              <w:bottom w:type="dxa" w:w="60"/>
              <w:right w:type="dxa" w:w="100"/>
            </w:tcMar>
            <w:vAlign w:val="center"/>
          </w:tcPr>
          <w:p>
            <w:pPr>
              <w:pStyle w:val="Tabela"/>
              <w:jc w:val="left"/>
            </w:pPr>
            <w:r>
              <w:t xml:space="preserve">Empregados com carteira (%)</w:t>
            </w:r>
          </w:p>
        </w:tc>
        <w:tc>
          <w:tcPr>
            <w:tcMar>
              <w:top w:type="dxa" w:w="60"/>
              <w:left w:type="dxa" w:w="100"/>
              <w:bottom w:type="dxa" w:w="60"/>
              <w:right w:type="dxa" w:w="100"/>
            </w:tcMar>
            <w:vAlign w:val="center"/>
          </w:tcPr>
          <w:p>
            <w:pPr>
              <w:pStyle w:val="Tabela"/>
              <w:jc w:val="left"/>
            </w:pPr>
            <w:r>
              <w:t xml:space="preserve">7,1</w:t>
            </w:r>
          </w:p>
        </w:tc>
        <w:tc>
          <w:tcPr>
            <w:tcMar>
              <w:top w:type="dxa" w:w="60"/>
              <w:left w:type="dxa" w:w="100"/>
              <w:bottom w:type="dxa" w:w="60"/>
              <w:right w:type="dxa" w:w="100"/>
            </w:tcMar>
            <w:vAlign w:val="center"/>
          </w:tcPr>
          <w:p>
            <w:pPr>
              <w:pStyle w:val="Tabela"/>
              <w:jc w:val="left"/>
            </w:pPr>
            <w:r>
              <w:t xml:space="preserve">34,9</w:t>
            </w:r>
          </w:p>
        </w:tc>
        <w:tc>
          <w:tcPr>
            <w:tcMar>
              <w:top w:type="dxa" w:w="60"/>
              <w:left w:type="dxa" w:w="100"/>
              <w:bottom w:type="dxa" w:w="60"/>
              <w:right w:type="dxa" w:w="100"/>
            </w:tcMar>
            <w:vAlign w:val="center"/>
          </w:tcPr>
          <w:p>
            <w:pPr>
              <w:pStyle w:val="Tabela"/>
              <w:jc w:val="left"/>
            </w:pPr>
            <w:r>
              <w:t xml:space="preserve">52,6</w:t>
            </w:r>
          </w:p>
        </w:tc>
        <w:tc>
          <w:tcPr>
            <w:tcMar>
              <w:top w:type="dxa" w:w="60"/>
              <w:left w:type="dxa" w:w="100"/>
              <w:bottom w:type="dxa" w:w="60"/>
              <w:right w:type="dxa" w:w="100"/>
            </w:tcMar>
            <w:vAlign w:val="center"/>
          </w:tcPr>
          <w:p>
            <w:pPr>
              <w:pStyle w:val="Tabela"/>
              <w:jc w:val="left"/>
            </w:pPr>
            <w:r>
              <w:t xml:space="preserve">28,6</w:t>
            </w:r>
          </w:p>
        </w:tc>
        <w:tc>
          <w:tcPr>
            <w:tcMar>
              <w:top w:type="dxa" w:w="60"/>
              <w:left w:type="dxa" w:w="100"/>
              <w:bottom w:type="dxa" w:w="60"/>
              <w:right w:type="dxa" w:w="100"/>
            </w:tcMar>
            <w:vAlign w:val="center"/>
          </w:tcPr>
          <w:p>
            <w:pPr>
              <w:pStyle w:val="Tabela"/>
              <w:jc w:val="left"/>
            </w:pPr>
            <w:r>
              <w:t xml:space="preserve">51,6</w:t>
            </w:r>
          </w:p>
        </w:tc>
        <w:tc>
          <w:tcPr>
            <w:tcMar>
              <w:top w:type="dxa" w:w="60"/>
              <w:left w:type="dxa" w:w="100"/>
              <w:bottom w:type="dxa" w:w="60"/>
              <w:right w:type="dxa" w:w="100"/>
            </w:tcMar>
            <w:vAlign w:val="center"/>
          </w:tcPr>
          <w:p>
            <w:pPr>
              <w:pStyle w:val="Tabela"/>
              <w:jc w:val="left"/>
            </w:pPr>
            <w:r>
              <w:t xml:space="preserve">51,5</w:t>
            </w:r>
          </w:p>
        </w:tc>
        <w:tc>
          <w:tcPr>
            <w:tcMar>
              <w:top w:type="dxa" w:w="60"/>
              <w:left w:type="dxa" w:w="100"/>
              <w:bottom w:type="dxa" w:w="60"/>
              <w:right w:type="dxa" w:w="100"/>
            </w:tcMar>
            <w:vAlign w:val="center"/>
          </w:tcPr>
          <w:p>
            <w:pPr>
              <w:pStyle w:val="Tabela"/>
              <w:jc w:val="left"/>
            </w:pPr>
            <w:r>
              <w:t xml:space="preserve">18,0</w:t>
            </w:r>
          </w:p>
        </w:tc>
        <w:tc>
          <w:tcPr>
            <w:tcMar>
              <w:top w:type="dxa" w:w="60"/>
              <w:left w:type="dxa" w:w="100"/>
              <w:bottom w:type="dxa" w:w="60"/>
              <w:right w:type="dxa" w:w="100"/>
            </w:tcMar>
            <w:vAlign w:val="center"/>
          </w:tcPr>
          <w:p>
            <w:pPr>
              <w:pStyle w:val="Tabela"/>
              <w:jc w:val="left"/>
            </w:pPr>
            <w:r>
              <w:t xml:space="preserve">25,0</w:t>
            </w:r>
          </w:p>
        </w:tc>
        <w:tc>
          <w:tcPr>
            <w:tcMar>
              <w:top w:type="dxa" w:w="60"/>
              <w:left w:type="dxa" w:w="100"/>
              <w:bottom w:type="dxa" w:w="60"/>
              <w:right w:type="dxa" w:w="100"/>
            </w:tcMar>
            <w:vAlign w:val="center"/>
          </w:tcPr>
          <w:p>
            <w:pPr>
              <w:pStyle w:val="Tabela"/>
              <w:jc w:val="left"/>
            </w:pPr>
            <w:r>
              <w:t xml:space="preserve">26,1</w:t>
            </w:r>
          </w:p>
        </w:tc>
      </w:tr>
      <w:tr>
        <w:tc>
          <w:tcPr>
            <w:tcMar>
              <w:top w:type="dxa" w:w="60"/>
              <w:left w:type="dxa" w:w="100"/>
              <w:bottom w:type="dxa" w:w="60"/>
              <w:right w:type="dxa" w:w="100"/>
            </w:tcMar>
            <w:vAlign w:val="center"/>
          </w:tcPr>
          <w:p>
            <w:pPr>
              <w:pStyle w:val="Tabela"/>
              <w:jc w:val="left"/>
            </w:pPr>
            <w:r>
              <w:t xml:space="preserve">Conta própria (%)</w:t>
            </w:r>
          </w:p>
        </w:tc>
        <w:tc>
          <w:tcPr>
            <w:tcMar>
              <w:top w:type="dxa" w:w="60"/>
              <w:left w:type="dxa" w:w="100"/>
              <w:bottom w:type="dxa" w:w="60"/>
              <w:right w:type="dxa" w:w="100"/>
            </w:tcMar>
            <w:vAlign w:val="center"/>
          </w:tcPr>
          <w:p>
            <w:pPr>
              <w:pStyle w:val="Tabela"/>
              <w:jc w:val="left"/>
            </w:pPr>
            <w:r>
              <w:t xml:space="preserve">41,1</w:t>
            </w:r>
          </w:p>
        </w:tc>
        <w:tc>
          <w:tcPr>
            <w:tcMar>
              <w:top w:type="dxa" w:w="60"/>
              <w:left w:type="dxa" w:w="100"/>
              <w:bottom w:type="dxa" w:w="60"/>
              <w:right w:type="dxa" w:w="100"/>
            </w:tcMar>
            <w:vAlign w:val="center"/>
          </w:tcPr>
          <w:p>
            <w:pPr>
              <w:pStyle w:val="Tabela"/>
              <w:jc w:val="left"/>
            </w:pPr>
            <w:r>
              <w:t xml:space="preserve">21,4</w:t>
            </w:r>
          </w:p>
        </w:tc>
        <w:tc>
          <w:tcPr>
            <w:tcMar>
              <w:top w:type="dxa" w:w="60"/>
              <w:left w:type="dxa" w:w="100"/>
              <w:bottom w:type="dxa" w:w="60"/>
              <w:right w:type="dxa" w:w="100"/>
            </w:tcMar>
            <w:vAlign w:val="center"/>
          </w:tcPr>
          <w:p>
            <w:pPr>
              <w:pStyle w:val="Tabela"/>
              <w:jc w:val="left"/>
            </w:pPr>
            <w:r>
              <w:t xml:space="preserve">19,9</w:t>
            </w:r>
          </w:p>
        </w:tc>
        <w:tc>
          <w:tcPr>
            <w:tcMar>
              <w:top w:type="dxa" w:w="60"/>
              <w:left w:type="dxa" w:w="100"/>
              <w:bottom w:type="dxa" w:w="60"/>
              <w:right w:type="dxa" w:w="100"/>
            </w:tcMar>
            <w:vAlign w:val="center"/>
          </w:tcPr>
          <w:p>
            <w:pPr>
              <w:pStyle w:val="Tabela"/>
              <w:jc w:val="left"/>
            </w:pPr>
            <w:r>
              <w:t xml:space="preserve">19,1</w:t>
            </w:r>
          </w:p>
        </w:tc>
        <w:tc>
          <w:tcPr>
            <w:tcMar>
              <w:top w:type="dxa" w:w="60"/>
              <w:left w:type="dxa" w:w="100"/>
              <w:bottom w:type="dxa" w:w="60"/>
              <w:right w:type="dxa" w:w="100"/>
            </w:tcMar>
            <w:vAlign w:val="center"/>
          </w:tcPr>
          <w:p>
            <w:pPr>
              <w:pStyle w:val="Tabela"/>
              <w:jc w:val="left"/>
            </w:pPr>
            <w:r>
              <w:t xml:space="preserve">18,0</w:t>
            </w:r>
          </w:p>
        </w:tc>
        <w:tc>
          <w:tcPr>
            <w:tcMar>
              <w:top w:type="dxa" w:w="60"/>
              <w:left w:type="dxa" w:w="100"/>
              <w:bottom w:type="dxa" w:w="60"/>
              <w:right w:type="dxa" w:w="100"/>
            </w:tcMar>
            <w:vAlign w:val="center"/>
          </w:tcPr>
          <w:p>
            <w:pPr>
              <w:pStyle w:val="Tabela"/>
              <w:jc w:val="left"/>
            </w:pPr>
            <w:r>
              <w:t xml:space="preserve">20,8</w:t>
            </w:r>
          </w:p>
        </w:tc>
        <w:tc>
          <w:tcPr>
            <w:tcMar>
              <w:top w:type="dxa" w:w="60"/>
              <w:left w:type="dxa" w:w="100"/>
              <w:bottom w:type="dxa" w:w="60"/>
              <w:right w:type="dxa" w:w="100"/>
            </w:tcMar>
            <w:vAlign w:val="center"/>
          </w:tcPr>
          <w:p>
            <w:pPr>
              <w:pStyle w:val="Tabela"/>
              <w:jc w:val="left"/>
            </w:pPr>
            <w:r>
              <w:t xml:space="preserve">32,0</w:t>
            </w:r>
          </w:p>
        </w:tc>
        <w:tc>
          <w:tcPr>
            <w:tcMar>
              <w:top w:type="dxa" w:w="60"/>
              <w:left w:type="dxa" w:w="100"/>
              <w:bottom w:type="dxa" w:w="60"/>
              <w:right w:type="dxa" w:w="100"/>
            </w:tcMar>
            <w:vAlign w:val="center"/>
          </w:tcPr>
          <w:p>
            <w:pPr>
              <w:pStyle w:val="Tabela"/>
              <w:jc w:val="left"/>
            </w:pPr>
            <w:r>
              <w:t xml:space="preserve">30,4</w:t>
            </w:r>
          </w:p>
        </w:tc>
        <w:tc>
          <w:tcPr>
            <w:tcMar>
              <w:top w:type="dxa" w:w="60"/>
              <w:left w:type="dxa" w:w="100"/>
              <w:bottom w:type="dxa" w:w="60"/>
              <w:right w:type="dxa" w:w="100"/>
            </w:tcMar>
            <w:vAlign w:val="center"/>
          </w:tcPr>
          <w:p>
            <w:pPr>
              <w:pStyle w:val="Tabela"/>
              <w:jc w:val="left"/>
            </w:pPr>
            <w:r>
              <w:t xml:space="preserve">33,6</w:t>
            </w:r>
          </w:p>
        </w:tc>
      </w:tr>
      <w:tr>
        <w:tc>
          <w:tcPr>
            <w:tcMar>
              <w:top w:type="dxa" w:w="60"/>
              <w:left w:type="dxa" w:w="100"/>
              <w:bottom w:type="dxa" w:w="60"/>
              <w:right w:type="dxa" w:w="100"/>
            </w:tcMar>
            <w:vAlign w:val="center"/>
          </w:tcPr>
          <w:p>
            <w:pPr>
              <w:pStyle w:val="Tabela"/>
              <w:jc w:val="left"/>
            </w:pPr>
            <w:r>
              <w:t xml:space="preserve">Taxa de ocupação, 10 anos ou mais (%)</w:t>
            </w:r>
          </w:p>
        </w:tc>
        <w:tc>
          <w:tcPr>
            <w:tcMar>
              <w:top w:type="dxa" w:w="60"/>
              <w:left w:type="dxa" w:w="100"/>
              <w:bottom w:type="dxa" w:w="60"/>
              <w:right w:type="dxa" w:w="100"/>
            </w:tcMar>
            <w:vAlign w:val="center"/>
          </w:tcPr>
          <w:p>
            <w:pPr>
              <w:pStyle w:val="Tabela"/>
              <w:jc w:val="left"/>
            </w:pPr>
            <w:r>
              <w:t xml:space="preserve">46,1</w:t>
            </w:r>
          </w:p>
        </w:tc>
        <w:tc>
          <w:tcPr>
            <w:tcMar>
              <w:top w:type="dxa" w:w="60"/>
              <w:left w:type="dxa" w:w="100"/>
              <w:bottom w:type="dxa" w:w="60"/>
              <w:right w:type="dxa" w:w="100"/>
            </w:tcMar>
            <w:vAlign w:val="center"/>
          </w:tcPr>
          <w:p>
            <w:pPr>
              <w:pStyle w:val="Tabela"/>
              <w:jc w:val="left"/>
            </w:pPr>
            <w:r>
              <w:t xml:space="preserve">52,5</w:t>
            </w:r>
          </w:p>
        </w:tc>
        <w:tc>
          <w:tcPr>
            <w:tcMar>
              <w:top w:type="dxa" w:w="60"/>
              <w:left w:type="dxa" w:w="100"/>
              <w:bottom w:type="dxa" w:w="60"/>
              <w:right w:type="dxa" w:w="100"/>
            </w:tcMar>
            <w:vAlign w:val="center"/>
          </w:tcPr>
          <w:p>
            <w:pPr>
              <w:pStyle w:val="Tabela"/>
              <w:jc w:val="left"/>
            </w:pPr>
            <w:r>
              <w:t xml:space="preserve">55,4</w:t>
            </w:r>
          </w:p>
        </w:tc>
        <w:tc>
          <w:tcPr>
            <w:tcMar>
              <w:top w:type="dxa" w:w="60"/>
              <w:left w:type="dxa" w:w="100"/>
              <w:bottom w:type="dxa" w:w="60"/>
              <w:right w:type="dxa" w:w="100"/>
            </w:tcMar>
            <w:vAlign w:val="center"/>
          </w:tcPr>
          <w:p>
            <w:pPr>
              <w:pStyle w:val="Tabela"/>
              <w:jc w:val="left"/>
            </w:pPr>
            <w:r>
              <w:t xml:space="preserve">49,5</w:t>
            </w:r>
          </w:p>
        </w:tc>
        <w:tc>
          <w:tcPr>
            <w:tcMar>
              <w:top w:type="dxa" w:w="60"/>
              <w:left w:type="dxa" w:w="100"/>
              <w:bottom w:type="dxa" w:w="60"/>
              <w:right w:type="dxa" w:w="100"/>
            </w:tcMar>
            <w:vAlign w:val="center"/>
          </w:tcPr>
          <w:p>
            <w:pPr>
              <w:pStyle w:val="Tabela"/>
              <w:jc w:val="left"/>
            </w:pPr>
            <w:r>
              <w:t xml:space="preserve">52,3</w:t>
            </w:r>
          </w:p>
        </w:tc>
        <w:tc>
          <w:tcPr>
            <w:tcMar>
              <w:top w:type="dxa" w:w="60"/>
              <w:left w:type="dxa" w:w="100"/>
              <w:bottom w:type="dxa" w:w="60"/>
              <w:right w:type="dxa" w:w="100"/>
            </w:tcMar>
            <w:vAlign w:val="center"/>
          </w:tcPr>
          <w:p>
            <w:pPr>
              <w:pStyle w:val="Tabela"/>
              <w:jc w:val="left"/>
            </w:pPr>
            <w:r>
              <w:t xml:space="preserve">51,7</w:t>
            </w:r>
          </w:p>
        </w:tc>
        <w:tc>
          <w:tcPr>
            <w:tcMar>
              <w:top w:type="dxa" w:w="60"/>
              <w:left w:type="dxa" w:w="100"/>
              <w:bottom w:type="dxa" w:w="60"/>
              <w:right w:type="dxa" w:w="100"/>
            </w:tcMar>
            <w:vAlign w:val="center"/>
          </w:tcPr>
          <w:p>
            <w:pPr>
              <w:pStyle w:val="Tabela"/>
              <w:jc w:val="left"/>
            </w:pPr>
            <w:r>
              <w:t xml:space="preserve">44,8</w:t>
            </w:r>
          </w:p>
        </w:tc>
        <w:tc>
          <w:tcPr>
            <w:tcMar>
              <w:top w:type="dxa" w:w="60"/>
              <w:left w:type="dxa" w:w="100"/>
              <w:bottom w:type="dxa" w:w="60"/>
              <w:right w:type="dxa" w:w="100"/>
            </w:tcMar>
            <w:vAlign w:val="center"/>
          </w:tcPr>
          <w:p>
            <w:pPr>
              <w:pStyle w:val="Tabela"/>
              <w:jc w:val="left"/>
            </w:pPr>
            <w:r>
              <w:t xml:space="preserve">47,9</w:t>
            </w:r>
          </w:p>
        </w:tc>
        <w:tc>
          <w:tcPr>
            <w:tcMar>
              <w:top w:type="dxa" w:w="60"/>
              <w:left w:type="dxa" w:w="100"/>
              <w:bottom w:type="dxa" w:w="60"/>
              <w:right w:type="dxa" w:w="100"/>
            </w:tcMar>
            <w:vAlign w:val="center"/>
          </w:tcPr>
          <w:p>
            <w:pPr>
              <w:pStyle w:val="Tabela"/>
              <w:jc w:val="left"/>
            </w:pPr>
            <w:r>
              <w:t xml:space="preserve">43,1</w:t>
            </w:r>
          </w:p>
        </w:tc>
      </w:tr>
      <w:tr>
        <w:tc>
          <w:tcPr>
            <w:tcMar>
              <w:top w:type="dxa" w:w="60"/>
              <w:left w:type="dxa" w:w="100"/>
              <w:bottom w:type="dxa" w:w="60"/>
              <w:right w:type="dxa" w:w="100"/>
            </w:tcMar>
            <w:vAlign w:val="center"/>
          </w:tcPr>
          <w:p>
            <w:pPr>
              <w:pStyle w:val="Tabela"/>
              <w:jc w:val="left"/>
            </w:pPr>
            <w:r>
              <w:t xml:space="preserve">Renda média do trabalho (R$ jul/2022)</w:t>
            </w:r>
          </w:p>
        </w:tc>
        <w:tc>
          <w:tcPr>
            <w:tcMar>
              <w:top w:type="dxa" w:w="60"/>
              <w:left w:type="dxa" w:w="100"/>
              <w:bottom w:type="dxa" w:w="60"/>
              <w:right w:type="dxa" w:w="100"/>
            </w:tcMar>
            <w:vAlign w:val="center"/>
          </w:tcPr>
          <w:p>
            <w:pPr>
              <w:pStyle w:val="Tabela"/>
              <w:jc w:val="left"/>
            </w:pPr>
            <w:r>
              <w:t xml:space="preserve">1.949</w:t>
            </w:r>
          </w:p>
        </w:tc>
        <w:tc>
          <w:tcPr>
            <w:tcMar>
              <w:top w:type="dxa" w:w="60"/>
              <w:left w:type="dxa" w:w="100"/>
              <w:bottom w:type="dxa" w:w="60"/>
              <w:right w:type="dxa" w:w="100"/>
            </w:tcMar>
            <w:vAlign w:val="center"/>
          </w:tcPr>
          <w:p>
            <w:pPr>
              <w:pStyle w:val="Tabela"/>
              <w:jc w:val="left"/>
            </w:pPr>
            <w:r>
              <w:t xml:space="preserve">2.274</w:t>
            </w:r>
          </w:p>
        </w:tc>
        <w:tc>
          <w:tcPr>
            <w:tcMar>
              <w:top w:type="dxa" w:w="60"/>
              <w:left w:type="dxa" w:w="100"/>
              <w:bottom w:type="dxa" w:w="60"/>
              <w:right w:type="dxa" w:w="100"/>
            </w:tcMar>
            <w:vAlign w:val="center"/>
          </w:tcPr>
          <w:p>
            <w:pPr>
              <w:pStyle w:val="Tabela"/>
              <w:jc w:val="left"/>
            </w:pPr>
            <w:r>
              <w:t xml:space="preserve">2.732</w:t>
            </w:r>
          </w:p>
        </w:tc>
        <w:tc>
          <w:tcPr>
            <w:tcMar>
              <w:top w:type="dxa" w:w="60"/>
              <w:left w:type="dxa" w:w="100"/>
              <w:bottom w:type="dxa" w:w="60"/>
              <w:right w:type="dxa" w:w="100"/>
            </w:tcMar>
            <w:vAlign w:val="center"/>
          </w:tcPr>
          <w:p>
            <w:pPr>
              <w:pStyle w:val="Tabela"/>
              <w:jc w:val="left"/>
            </w:pPr>
            <w:r>
              <w:t xml:space="preserve">2.381</w:t>
            </w:r>
          </w:p>
        </w:tc>
        <w:tc>
          <w:tcPr>
            <w:tcMar>
              <w:top w:type="dxa" w:w="60"/>
              <w:left w:type="dxa" w:w="100"/>
              <w:bottom w:type="dxa" w:w="60"/>
              <w:right w:type="dxa" w:w="100"/>
            </w:tcMar>
            <w:vAlign w:val="center"/>
          </w:tcPr>
          <w:p>
            <w:pPr>
              <w:pStyle w:val="Tabela"/>
              <w:jc w:val="left"/>
            </w:pPr>
            <w:r>
              <w:t xml:space="preserve">2.590</w:t>
            </w:r>
          </w:p>
        </w:tc>
        <w:tc>
          <w:tcPr>
            <w:tcMar>
              <w:top w:type="dxa" w:w="60"/>
              <w:left w:type="dxa" w:w="100"/>
              <w:bottom w:type="dxa" w:w="60"/>
              <w:right w:type="dxa" w:w="100"/>
            </w:tcMar>
            <w:vAlign w:val="center"/>
          </w:tcPr>
          <w:p>
            <w:pPr>
              <w:pStyle w:val="Tabela"/>
              <w:jc w:val="left"/>
            </w:pPr>
            <w:r>
              <w:t xml:space="preserve">2.729</w:t>
            </w:r>
          </w:p>
        </w:tc>
        <w:tc>
          <w:tcPr>
            <w:tcMar>
              <w:top w:type="dxa" w:w="60"/>
              <w:left w:type="dxa" w:w="100"/>
              <w:bottom w:type="dxa" w:w="60"/>
              <w:right w:type="dxa" w:w="100"/>
            </w:tcMar>
            <w:vAlign w:val="center"/>
          </w:tcPr>
          <w:p>
            <w:pPr>
              <w:pStyle w:val="Tabela"/>
              <w:jc w:val="left"/>
            </w:pPr>
            <w:r>
              <w:t xml:space="preserve">1.801</w:t>
            </w:r>
          </w:p>
        </w:tc>
        <w:tc>
          <w:tcPr>
            <w:tcMar>
              <w:top w:type="dxa" w:w="60"/>
              <w:left w:type="dxa" w:w="100"/>
              <w:bottom w:type="dxa" w:w="60"/>
              <w:right w:type="dxa" w:w="100"/>
            </w:tcMar>
            <w:vAlign w:val="center"/>
          </w:tcPr>
          <w:p>
            <w:pPr>
              <w:pStyle w:val="Tabela"/>
              <w:jc w:val="left"/>
            </w:pPr>
            <w:r>
              <w:t xml:space="preserve">1.918</w:t>
            </w:r>
          </w:p>
        </w:tc>
        <w:tc>
          <w:tcPr>
            <w:tcMar>
              <w:top w:type="dxa" w:w="60"/>
              <w:left w:type="dxa" w:w="100"/>
              <w:bottom w:type="dxa" w:w="60"/>
              <w:right w:type="dxa" w:w="100"/>
            </w:tcMar>
            <w:vAlign w:val="center"/>
          </w:tcPr>
          <w:p>
            <w:pPr>
              <w:pStyle w:val="Tabela"/>
              <w:jc w:val="left"/>
            </w:pPr>
            <w:r>
              <w:t xml:space="preserve">2.066</w:t>
            </w:r>
          </w:p>
        </w:tc>
      </w:tr>
    </w:tbl>
    <w:p>
      <w:pPr>
        <w:spacing w:after="120"/>
      </w:pPr>
    </w:p>
    <w:p>
      <w:pPr>
        <w:pStyle w:val="Corpo"/>
      </w:pPr>
      <w:r>
        <w:t xml:space="preserve">Fonte: Elaboração própria a partir dos microdados da amostra dos Censos 2000, 2010 e 2022 (IBGE).</w:t>
      </w:r>
    </w:p>
    <w:p>
      <w:pPr>
        <w:pStyle w:val="Corpo"/>
      </w:pPr>
      <w:r>
        <w:t xml:space="preserve">Nota: Setores harmonizados (CNAE-Dom 1.0/2.0 e seção CNAE 2022). Categorias com n insuficiente foram fundidas em 'Outros' pelo controle de revelação. </w:t>
      </w:r>
      <w:r>
        <w:rPr>
          <w:i/>
          <w:iCs/>
        </w:rPr>
        <w:t xml:space="preserve"> CV 15–30 %; </w:t>
      </w:r>
      <w:r>
        <w:t xml:space="preserve">* CV &gt; 30 %.</w:t>
      </w:r>
    </w:p>
    <w:p>
      <w:pPr>
        <w:spacing w:after="40" w:before="200"/>
        <w:jc w:val="center"/>
      </w:pPr>
      <w:r>
        <w:drawing>
          <wp:inline distT="0" distB="0" distL="0" distR="0">
            <wp:extent cx="5334000" cy="20835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083524"/>
                    </a:xfrm>
                    <a:prstGeom prst="rect">
                      <a:avLst/>
                    </a:prstGeom>
                  </pic:spPr>
                </pic:pic>
              </a:graphicData>
            </a:graphic>
          </wp:inline>
        </w:drawing>
      </w:r>
    </w:p>
    <w:p>
      <w:pPr>
        <w:pStyle w:val="Legenda"/>
        <w:jc w:val="center"/>
      </w:pPr>
      <w:r>
        <w:t xml:space="preserve">Figura 9 — Ocupados por setor de atividade (CNAE harmonizada), Canaã dos Carajás, Parauapebas e Pará, Censos 2000, 2010 e 2022. Comércio e serviços agrega comércio, serviços, serviços domésticos e outras atividades; cinza: categorias fundidas pelo controle de revelação (Canaã 2000: extrativa + construção). Fonte: Elaboração própria a partir dos microdados da amostra dos Censos Demográficos (IBGE); estimativas aprovadas pelo controle de revelação.</w:t>
      </w:r>
    </w:p>
    <w:p>
      <w:pPr>
        <w:pStyle w:val="Corpo"/>
      </w:pPr>
      <w:r>
        <w:t xml:space="preserve">A Tabela 12 e a Figura 15 examinam a inserção de migrantes e não migrantes na cadeia produtiva da mineração. Em 2022, 36,0 % dos migrantes de data fixa ocupados estavam na cadeia (extrativa, construção ou transformação), contra 29,1 % dos não migrantes: razão de seletividade de 1,23 (± 0,17), significativa. A diferença se distribui pelos três elos (extrativa 12,0 % contra 9,8 %; construção 16,1 % contra 13,3 %; transformação 7,9 % contra 6,0 %), com razões entre 1,20 e 1,32 que, isoladamente, não são significativas. Os migrantes de data fixa eram 28,6 % dos ocupados em 2022 e 33 % dos ocupados de cada elo da cadeia. Em 2010 a seletividade era maior e concentrada no núcleo: 11,2 % dos migrantes ocupados estavam na extrativa contra 5,4 % dos não migrantes (razão 2,10 ± 0,99), e metade dos trabalhadores da extrativa (51 %) havia chegado ao município nos cinco anos anteriores, contra um terço em 2022. A mão de obra da mina se "localizou" com o tempo, seja porque migrantes das primeiras coortes deixaram de contar como recentes, seja porque a operação do S11D passou a recrutar mais entre residentes. A origem importa: entre os migrantes de outras UFs ou do exterior, 41 % estavam na cadeia, sobretudo pela construção (19,9 %), contra 32 % dos migrantes intraestaduais e 29 % dos não migrantes. O vínculo com a cadeia é máximo entre quem mora no município há um a nove anos (32 a 34 % dos ocupados) e mínimo entre quem mora há dez a dezenove anos (26 %). Os trabalhadores da extrativa são o segmento mais qualificado e mais bem pago da cidade: 86 % têm o ensino médio completo ou mais (contra 62 % nos demais setores), 26 % têm superior completo, e a renda média do trabalho é de R$ 3.782, 45 % acima dos demais setores; a construção, elo em que os migrantes mais entram, paga R$ 2.171.</w:t>
      </w:r>
    </w:p>
    <w:p>
      <w:pPr>
        <w:pStyle w:val="Corpo"/>
      </w:pPr>
      <w:r>
        <w:rPr>
          <w:b/>
          <w:bCs/>
        </w:rPr>
        <w:t xml:space="preserve">Tabela 12 — Inserção de migrantes de data fixa e não migrantes na cadeia produtiva da mineração, Canaã dos Carajás, 2000–2022 (% dos ocupados de cada grupo)</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Censo</w:t>
            </w:r>
          </w:p>
        </w:tc>
        <w:tc>
          <w:tcPr>
            <w:tcMar>
              <w:top w:type="dxa" w:w="60"/>
              <w:left w:type="dxa" w:w="100"/>
              <w:bottom w:type="dxa" w:w="60"/>
              <w:right w:type="dxa" w:w="100"/>
            </w:tcMar>
            <w:vAlign w:val="center"/>
          </w:tcPr>
          <w:p>
            <w:pPr>
              <w:pStyle w:val="TabelaCab"/>
              <w:jc w:val="left"/>
            </w:pPr>
            <w:r>
              <w:t xml:space="preserve">Elo da cadeia</w:t>
            </w:r>
          </w:p>
        </w:tc>
        <w:tc>
          <w:tcPr>
            <w:tcMar>
              <w:top w:type="dxa" w:w="60"/>
              <w:left w:type="dxa" w:w="100"/>
              <w:bottom w:type="dxa" w:w="60"/>
              <w:right w:type="dxa" w:w="100"/>
            </w:tcMar>
            <w:vAlign w:val="center"/>
          </w:tcPr>
          <w:p>
            <w:pPr>
              <w:pStyle w:val="TabelaCab"/>
              <w:jc w:val="left"/>
            </w:pPr>
            <w:r>
              <w:t xml:space="preserve">Migrantes (%)</w:t>
            </w:r>
          </w:p>
        </w:tc>
        <w:tc>
          <w:tcPr>
            <w:tcMar>
              <w:top w:type="dxa" w:w="60"/>
              <w:left w:type="dxa" w:w="100"/>
              <w:bottom w:type="dxa" w:w="60"/>
              <w:right w:type="dxa" w:w="100"/>
            </w:tcMar>
            <w:vAlign w:val="center"/>
          </w:tcPr>
          <w:p>
            <w:pPr>
              <w:pStyle w:val="TabelaCab"/>
              <w:jc w:val="left"/>
            </w:pPr>
            <w:r>
              <w:t xml:space="preserve">Não migrantes (%)</w:t>
            </w:r>
          </w:p>
        </w:tc>
        <w:tc>
          <w:tcPr>
            <w:tcMar>
              <w:top w:type="dxa" w:w="60"/>
              <w:left w:type="dxa" w:w="100"/>
              <w:bottom w:type="dxa" w:w="60"/>
              <w:right w:type="dxa" w:w="100"/>
            </w:tcMar>
            <w:vAlign w:val="center"/>
          </w:tcPr>
          <w:p>
            <w:pPr>
              <w:pStyle w:val="TabelaCab"/>
              <w:jc w:val="left"/>
            </w:pPr>
            <w:r>
              <w:t xml:space="preserve">Razão de seletividade</w:t>
            </w:r>
          </w:p>
        </w:tc>
        <w:tc>
          <w:tcPr>
            <w:tcMar>
              <w:top w:type="dxa" w:w="60"/>
              <w:left w:type="dxa" w:w="100"/>
              <w:bottom w:type="dxa" w:w="60"/>
              <w:right w:type="dxa" w:w="100"/>
            </w:tcMar>
            <w:vAlign w:val="center"/>
          </w:tcPr>
          <w:p>
            <w:pPr>
              <w:pStyle w:val="TabelaCab"/>
              <w:jc w:val="left"/>
            </w:pPr>
            <w:r>
              <w:t xml:space="preserve">Diferença (p.p.)</w:t>
            </w:r>
          </w:p>
        </w:tc>
        <w:tc>
          <w:tcPr>
            <w:tcMar>
              <w:top w:type="dxa" w:w="60"/>
              <w:left w:type="dxa" w:w="100"/>
              <w:bottom w:type="dxa" w:w="60"/>
              <w:right w:type="dxa" w:w="100"/>
            </w:tcMar>
            <w:vAlign w:val="center"/>
          </w:tcPr>
          <w:p>
            <w:pPr>
              <w:pStyle w:val="TabelaCab"/>
              <w:jc w:val="left"/>
            </w:pPr>
            <w:r>
              <w:t xml:space="preserve">Signif. 95 %</w:t>
            </w:r>
          </w:p>
        </w:tc>
        <w:tc>
          <w:tcPr>
            <w:tcMar>
              <w:top w:type="dxa" w:w="60"/>
              <w:left w:type="dxa" w:w="100"/>
              <w:bottom w:type="dxa" w:w="60"/>
              <w:right w:type="dxa" w:w="100"/>
            </w:tcMar>
            <w:vAlign w:val="center"/>
          </w:tcPr>
          <w:p>
            <w:pPr>
              <w:pStyle w:val="TabelaCab"/>
              <w:jc w:val="left"/>
            </w:pPr>
            <w:r>
              <w:t xml:space="preserve">Migrantes no elo (%)</w:t>
            </w:r>
          </w:p>
        </w:tc>
      </w:tr>
      <w:tr>
        <w:tc>
          <w:tcPr>
            <w:tcMar>
              <w:top w:type="dxa" w:w="60"/>
              <w:left w:type="dxa" w:w="100"/>
              <w:bottom w:type="dxa" w:w="60"/>
              <w:right w:type="dxa" w:w="100"/>
            </w:tcMar>
            <w:vAlign w:val="center"/>
          </w:tcPr>
          <w:p>
            <w:pPr>
              <w:pStyle w:val="Tabela"/>
              <w:jc w:val="left"/>
            </w:pPr>
            <w:r>
              <w:t xml:space="preserve">2000</w:t>
            </w:r>
          </w:p>
        </w:tc>
        <w:tc>
          <w:tcPr>
            <w:tcMar>
              <w:top w:type="dxa" w:w="60"/>
              <w:left w:type="dxa" w:w="100"/>
              <w:bottom w:type="dxa" w:w="60"/>
              <w:right w:type="dxa" w:w="100"/>
            </w:tcMar>
            <w:vAlign w:val="center"/>
          </w:tcPr>
          <w:p>
            <w:pPr>
              <w:pStyle w:val="Tabela"/>
              <w:jc w:val="left"/>
            </w:pPr>
            <w:r>
              <w:t xml:space="preserve">extrativa mineral (B)</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2000</w:t>
            </w:r>
          </w:p>
        </w:tc>
        <w:tc>
          <w:tcPr>
            <w:tcMar>
              <w:top w:type="dxa" w:w="60"/>
              <w:left w:type="dxa" w:w="100"/>
              <w:bottom w:type="dxa" w:w="60"/>
              <w:right w:type="dxa" w:w="100"/>
            </w:tcMar>
            <w:vAlign w:val="center"/>
          </w:tcPr>
          <w:p>
            <w:pPr>
              <w:pStyle w:val="Tabela"/>
              <w:jc w:val="left"/>
            </w:pPr>
            <w:r>
              <w:t xml:space="preserve">construção (F)</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2000</w:t>
            </w:r>
          </w:p>
        </w:tc>
        <w:tc>
          <w:tcPr>
            <w:tcMar>
              <w:top w:type="dxa" w:w="60"/>
              <w:left w:type="dxa" w:w="100"/>
              <w:bottom w:type="dxa" w:w="60"/>
              <w:right w:type="dxa" w:w="100"/>
            </w:tcMar>
            <w:vAlign w:val="center"/>
          </w:tcPr>
          <w:p>
            <w:pPr>
              <w:pStyle w:val="Tabela"/>
              <w:jc w:val="left"/>
            </w:pPr>
            <w:r>
              <w:t xml:space="preserve">transformação (C)</w:t>
            </w:r>
          </w:p>
        </w:tc>
        <w:tc>
          <w:tcPr>
            <w:tcMar>
              <w:top w:type="dxa" w:w="60"/>
              <w:left w:type="dxa" w:w="100"/>
              <w:bottom w:type="dxa" w:w="60"/>
              <w:right w:type="dxa" w:w="100"/>
            </w:tcMar>
            <w:vAlign w:val="center"/>
          </w:tcPr>
          <w:p>
            <w:pPr>
              <w:pStyle w:val="Tabela"/>
              <w:jc w:val="left"/>
            </w:pPr>
            <w:r>
              <w:t xml:space="preserve">10,2**</w:t>
            </w:r>
          </w:p>
        </w:tc>
        <w:tc>
          <w:tcPr>
            <w:tcMar>
              <w:top w:type="dxa" w:w="60"/>
              <w:left w:type="dxa" w:w="100"/>
              <w:bottom w:type="dxa" w:w="60"/>
              <w:right w:type="dxa" w:w="100"/>
            </w:tcMar>
            <w:vAlign w:val="center"/>
          </w:tcPr>
          <w:p>
            <w:pPr>
              <w:pStyle w:val="Tabela"/>
              <w:jc w:val="left"/>
            </w:pPr>
            <w:r>
              <w:t xml:space="preserve">2,8*</w:t>
            </w:r>
          </w:p>
        </w:tc>
        <w:tc>
          <w:tcPr>
            <w:tcMar>
              <w:top w:type="dxa" w:w="60"/>
              <w:left w:type="dxa" w:w="100"/>
              <w:bottom w:type="dxa" w:w="60"/>
              <w:right w:type="dxa" w:w="100"/>
            </w:tcMar>
            <w:vAlign w:val="center"/>
          </w:tcPr>
          <w:p>
            <w:pPr>
              <w:pStyle w:val="Tabela"/>
              <w:jc w:val="left"/>
            </w:pPr>
            <w:r>
              <w:t xml:space="preserve">3,66 ± 3,08</w:t>
            </w:r>
          </w:p>
        </w:tc>
        <w:tc>
          <w:tcPr>
            <w:tcMar>
              <w:top w:type="dxa" w:w="60"/>
              <w:left w:type="dxa" w:w="100"/>
              <w:bottom w:type="dxa" w:w="60"/>
              <w:right w:type="dxa" w:w="100"/>
            </w:tcMar>
            <w:vAlign w:val="center"/>
          </w:tcPr>
          <w:p>
            <w:pPr>
              <w:pStyle w:val="Tabela"/>
              <w:jc w:val="left"/>
            </w:pPr>
            <w:r>
              <w:t xml:space="preserve">+7,4</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43,8</w:t>
            </w:r>
          </w:p>
        </w:tc>
      </w:tr>
      <w:tr>
        <w:tc>
          <w:tcPr>
            <w:tcMar>
              <w:top w:type="dxa" w:w="60"/>
              <w:left w:type="dxa" w:w="100"/>
              <w:bottom w:type="dxa" w:w="60"/>
              <w:right w:type="dxa" w:w="100"/>
            </w:tcMar>
            <w:vAlign w:val="center"/>
          </w:tcPr>
          <w:p>
            <w:pPr>
              <w:pStyle w:val="Tabela"/>
              <w:jc w:val="left"/>
            </w:pPr>
            <w:r>
              <w:t xml:space="preserve">2000</w:t>
            </w:r>
          </w:p>
        </w:tc>
        <w:tc>
          <w:tcPr>
            <w:tcMar>
              <w:top w:type="dxa" w:w="60"/>
              <w:left w:type="dxa" w:w="100"/>
              <w:bottom w:type="dxa" w:w="60"/>
              <w:right w:type="dxa" w:w="100"/>
            </w:tcMar>
            <w:vAlign w:val="center"/>
          </w:tcPr>
          <w:p>
            <w:pPr>
              <w:pStyle w:val="Tabela"/>
              <w:jc w:val="left"/>
            </w:pPr>
            <w:r>
              <w:t xml:space="preserve">cadeia ampliada (B + F + C) (sem extrativa_mineral, construcao)</w:t>
            </w:r>
          </w:p>
        </w:tc>
        <w:tc>
          <w:tcPr>
            <w:tcMar>
              <w:top w:type="dxa" w:w="60"/>
              <w:left w:type="dxa" w:w="100"/>
              <w:bottom w:type="dxa" w:w="60"/>
              <w:right w:type="dxa" w:w="100"/>
            </w:tcMar>
            <w:vAlign w:val="center"/>
          </w:tcPr>
          <w:p>
            <w:pPr>
              <w:pStyle w:val="Tabela"/>
              <w:jc w:val="left"/>
            </w:pPr>
            <w:r>
              <w:t xml:space="preserve">10,2**</w:t>
            </w:r>
          </w:p>
        </w:tc>
        <w:tc>
          <w:tcPr>
            <w:tcMar>
              <w:top w:type="dxa" w:w="60"/>
              <w:left w:type="dxa" w:w="100"/>
              <w:bottom w:type="dxa" w:w="60"/>
              <w:right w:type="dxa" w:w="100"/>
            </w:tcMar>
            <w:vAlign w:val="center"/>
          </w:tcPr>
          <w:p>
            <w:pPr>
              <w:pStyle w:val="Tabela"/>
              <w:jc w:val="left"/>
            </w:pPr>
            <w:r>
              <w:t xml:space="preserve">7,4*</w:t>
            </w:r>
          </w:p>
        </w:tc>
        <w:tc>
          <w:tcPr>
            <w:tcMar>
              <w:top w:type="dxa" w:w="60"/>
              <w:left w:type="dxa" w:w="100"/>
              <w:bottom w:type="dxa" w:w="60"/>
              <w:right w:type="dxa" w:w="100"/>
            </w:tcMar>
            <w:vAlign w:val="center"/>
          </w:tcPr>
          <w:p>
            <w:pPr>
              <w:pStyle w:val="Tabela"/>
              <w:jc w:val="left"/>
            </w:pPr>
            <w:r>
              <w:t xml:space="preserve">1,38 ± 1,08</w:t>
            </w:r>
          </w:p>
        </w:tc>
        <w:tc>
          <w:tcPr>
            <w:tcMar>
              <w:top w:type="dxa" w:w="60"/>
              <w:left w:type="dxa" w:w="100"/>
              <w:bottom w:type="dxa" w:w="60"/>
              <w:right w:type="dxa" w:w="100"/>
            </w:tcMar>
            <w:vAlign w:val="center"/>
          </w:tcPr>
          <w:p>
            <w:pPr>
              <w:pStyle w:val="Tabela"/>
              <w:jc w:val="left"/>
            </w:pPr>
            <w:r>
              <w:t xml:space="preserve">+2,8</w:t>
            </w:r>
          </w:p>
        </w:tc>
        <w:tc>
          <w:tcPr>
            <w:tcMar>
              <w:top w:type="dxa" w:w="60"/>
              <w:left w:type="dxa" w:w="100"/>
              <w:bottom w:type="dxa" w:w="60"/>
              <w:right w:type="dxa" w:w="100"/>
            </w:tcMar>
            <w:vAlign w:val="center"/>
          </w:tcPr>
          <w:p>
            <w:pPr>
              <w:pStyle w:val="Tabela"/>
              <w:jc w:val="left"/>
            </w:pPr>
            <w:r>
              <w:t xml:space="preserve">não</w:t>
            </w:r>
          </w:p>
        </w:tc>
        <w:tc>
          <w:tcPr>
            <w:tcMar>
              <w:top w:type="dxa" w:w="60"/>
              <w:left w:type="dxa" w:w="100"/>
              <w:bottom w:type="dxa" w:w="60"/>
              <w:right w:type="dxa" w:w="100"/>
            </w:tcMar>
            <w:vAlign w:val="center"/>
          </w:tcPr>
          <w:p>
            <w:pPr>
              <w:pStyle w:val="Tabela"/>
              <w:jc w:val="left"/>
            </w:pPr>
            <w:r>
              <w:t xml:space="preserve">22,6</w:t>
            </w:r>
          </w:p>
        </w:tc>
      </w:tr>
      <w:tr>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extrativa mineral (B)</w:t>
            </w:r>
          </w:p>
        </w:tc>
        <w:tc>
          <w:tcPr>
            <w:tcMar>
              <w:top w:type="dxa" w:w="60"/>
              <w:left w:type="dxa" w:w="100"/>
              <w:bottom w:type="dxa" w:w="60"/>
              <w:right w:type="dxa" w:w="100"/>
            </w:tcMar>
            <w:vAlign w:val="center"/>
          </w:tcPr>
          <w:p>
            <w:pPr>
              <w:pStyle w:val="Tabela"/>
              <w:jc w:val="left"/>
            </w:pPr>
            <w:r>
              <w:t xml:space="preserve">11,2*</w:t>
            </w:r>
          </w:p>
        </w:tc>
        <w:tc>
          <w:tcPr>
            <w:tcMar>
              <w:top w:type="dxa" w:w="60"/>
              <w:left w:type="dxa" w:w="100"/>
              <w:bottom w:type="dxa" w:w="60"/>
              <w:right w:type="dxa" w:w="100"/>
            </w:tcMar>
            <w:vAlign w:val="center"/>
          </w:tcPr>
          <w:p>
            <w:pPr>
              <w:pStyle w:val="Tabela"/>
              <w:jc w:val="left"/>
            </w:pPr>
            <w:r>
              <w:t xml:space="preserve">5,4*</w:t>
            </w:r>
          </w:p>
        </w:tc>
        <w:tc>
          <w:tcPr>
            <w:tcMar>
              <w:top w:type="dxa" w:w="60"/>
              <w:left w:type="dxa" w:w="100"/>
              <w:bottom w:type="dxa" w:w="60"/>
              <w:right w:type="dxa" w:w="100"/>
            </w:tcMar>
            <w:vAlign w:val="center"/>
          </w:tcPr>
          <w:p>
            <w:pPr>
              <w:pStyle w:val="Tabela"/>
              <w:jc w:val="left"/>
            </w:pPr>
            <w:r>
              <w:t xml:space="preserve">2,10 ± 0,99</w:t>
            </w:r>
          </w:p>
        </w:tc>
        <w:tc>
          <w:tcPr>
            <w:tcMar>
              <w:top w:type="dxa" w:w="60"/>
              <w:left w:type="dxa" w:w="100"/>
              <w:bottom w:type="dxa" w:w="60"/>
              <w:right w:type="dxa" w:w="100"/>
            </w:tcMar>
            <w:vAlign w:val="center"/>
          </w:tcPr>
          <w:p>
            <w:pPr>
              <w:pStyle w:val="Tabela"/>
              <w:jc w:val="left"/>
            </w:pPr>
            <w:r>
              <w:t xml:space="preserve">+5,9</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51,2</w:t>
            </w:r>
          </w:p>
        </w:tc>
      </w:tr>
      <w:tr>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construção (F)</w:t>
            </w:r>
          </w:p>
        </w:tc>
        <w:tc>
          <w:tcPr>
            <w:tcMar>
              <w:top w:type="dxa" w:w="60"/>
              <w:left w:type="dxa" w:w="100"/>
              <w:bottom w:type="dxa" w:w="60"/>
              <w:right w:type="dxa" w:w="100"/>
            </w:tcMar>
            <w:vAlign w:val="center"/>
          </w:tcPr>
          <w:p>
            <w:pPr>
              <w:pStyle w:val="Tabela"/>
              <w:jc w:val="left"/>
            </w:pPr>
            <w:r>
              <w:t xml:space="preserve">12,4</w:t>
            </w:r>
          </w:p>
        </w:tc>
        <w:tc>
          <w:tcPr>
            <w:tcMar>
              <w:top w:type="dxa" w:w="60"/>
              <w:left w:type="dxa" w:w="100"/>
              <w:bottom w:type="dxa" w:w="60"/>
              <w:right w:type="dxa" w:w="100"/>
            </w:tcMar>
            <w:vAlign w:val="center"/>
          </w:tcPr>
          <w:p>
            <w:pPr>
              <w:pStyle w:val="Tabela"/>
              <w:jc w:val="left"/>
            </w:pPr>
            <w:r>
              <w:t xml:space="preserve">12,1</w:t>
            </w:r>
          </w:p>
        </w:tc>
        <w:tc>
          <w:tcPr>
            <w:tcMar>
              <w:top w:type="dxa" w:w="60"/>
              <w:left w:type="dxa" w:w="100"/>
              <w:bottom w:type="dxa" w:w="60"/>
              <w:right w:type="dxa" w:w="100"/>
            </w:tcMar>
            <w:vAlign w:val="center"/>
          </w:tcPr>
          <w:p>
            <w:pPr>
              <w:pStyle w:val="Tabela"/>
              <w:jc w:val="left"/>
            </w:pPr>
            <w:r>
              <w:t xml:space="preserve">1,03 ± 0,36</w:t>
            </w:r>
          </w:p>
        </w:tc>
        <w:tc>
          <w:tcPr>
            <w:tcMar>
              <w:top w:type="dxa" w:w="60"/>
              <w:left w:type="dxa" w:w="100"/>
              <w:bottom w:type="dxa" w:w="60"/>
              <w:right w:type="dxa" w:w="100"/>
            </w:tcMar>
            <w:vAlign w:val="center"/>
          </w:tcPr>
          <w:p>
            <w:pPr>
              <w:pStyle w:val="Tabela"/>
              <w:jc w:val="left"/>
            </w:pPr>
            <w:r>
              <w:t xml:space="preserve">+0,3</w:t>
            </w:r>
          </w:p>
        </w:tc>
        <w:tc>
          <w:tcPr>
            <w:tcMar>
              <w:top w:type="dxa" w:w="60"/>
              <w:left w:type="dxa" w:w="100"/>
              <w:bottom w:type="dxa" w:w="60"/>
              <w:right w:type="dxa" w:w="100"/>
            </w:tcMar>
            <w:vAlign w:val="center"/>
          </w:tcPr>
          <w:p>
            <w:pPr>
              <w:pStyle w:val="Tabela"/>
              <w:jc w:val="left"/>
            </w:pPr>
            <w:r>
              <w:t xml:space="preserve">não</w:t>
            </w:r>
          </w:p>
        </w:tc>
        <w:tc>
          <w:tcPr>
            <w:tcMar>
              <w:top w:type="dxa" w:w="60"/>
              <w:left w:type="dxa" w:w="100"/>
              <w:bottom w:type="dxa" w:w="60"/>
              <w:right w:type="dxa" w:w="100"/>
            </w:tcMar>
            <w:vAlign w:val="center"/>
          </w:tcPr>
          <w:p>
            <w:pPr>
              <w:pStyle w:val="Tabela"/>
              <w:jc w:val="left"/>
            </w:pPr>
            <w:r>
              <w:t xml:space="preserve">34,3</w:t>
            </w:r>
          </w:p>
        </w:tc>
      </w:tr>
      <w:tr>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transformação (C)</w:t>
            </w:r>
          </w:p>
        </w:tc>
        <w:tc>
          <w:tcPr>
            <w:tcMar>
              <w:top w:type="dxa" w:w="60"/>
              <w:left w:type="dxa" w:w="100"/>
              <w:bottom w:type="dxa" w:w="60"/>
              <w:right w:type="dxa" w:w="100"/>
            </w:tcMar>
            <w:vAlign w:val="center"/>
          </w:tcPr>
          <w:p>
            <w:pPr>
              <w:pStyle w:val="Tabela"/>
              <w:jc w:val="left"/>
            </w:pPr>
            <w:r>
              <w:t xml:space="preserve">5,0*</w:t>
            </w:r>
          </w:p>
        </w:tc>
        <w:tc>
          <w:tcPr>
            <w:tcMar>
              <w:top w:type="dxa" w:w="60"/>
              <w:left w:type="dxa" w:w="100"/>
              <w:bottom w:type="dxa" w:w="60"/>
              <w:right w:type="dxa" w:w="100"/>
            </w:tcMar>
            <w:vAlign w:val="center"/>
          </w:tcPr>
          <w:p>
            <w:pPr>
              <w:pStyle w:val="Tabela"/>
              <w:jc w:val="left"/>
            </w:pPr>
            <w:r>
              <w:t xml:space="preserve">4,2*</w:t>
            </w:r>
          </w:p>
        </w:tc>
        <w:tc>
          <w:tcPr>
            <w:tcMar>
              <w:top w:type="dxa" w:w="60"/>
              <w:left w:type="dxa" w:w="100"/>
              <w:bottom w:type="dxa" w:w="60"/>
              <w:right w:type="dxa" w:w="100"/>
            </w:tcMar>
            <w:vAlign w:val="center"/>
          </w:tcPr>
          <w:p>
            <w:pPr>
              <w:pStyle w:val="Tabela"/>
              <w:jc w:val="left"/>
            </w:pPr>
            <w:r>
              <w:t xml:space="preserve">1,19 ± 0,72</w:t>
            </w:r>
          </w:p>
        </w:tc>
        <w:tc>
          <w:tcPr>
            <w:tcMar>
              <w:top w:type="dxa" w:w="60"/>
              <w:left w:type="dxa" w:w="100"/>
              <w:bottom w:type="dxa" w:w="60"/>
              <w:right w:type="dxa" w:w="100"/>
            </w:tcMar>
            <w:vAlign w:val="center"/>
          </w:tcPr>
          <w:p>
            <w:pPr>
              <w:pStyle w:val="Tabela"/>
              <w:jc w:val="left"/>
            </w:pPr>
            <w:r>
              <w:t xml:space="preserve">+0,8</w:t>
            </w:r>
          </w:p>
        </w:tc>
        <w:tc>
          <w:tcPr>
            <w:tcMar>
              <w:top w:type="dxa" w:w="60"/>
              <w:left w:type="dxa" w:w="100"/>
              <w:bottom w:type="dxa" w:w="60"/>
              <w:right w:type="dxa" w:w="100"/>
            </w:tcMar>
            <w:vAlign w:val="center"/>
          </w:tcPr>
          <w:p>
            <w:pPr>
              <w:pStyle w:val="Tabela"/>
              <w:jc w:val="left"/>
            </w:pPr>
            <w:r>
              <w:t xml:space="preserve">não</w:t>
            </w:r>
          </w:p>
        </w:tc>
        <w:tc>
          <w:tcPr>
            <w:tcMar>
              <w:top w:type="dxa" w:w="60"/>
              <w:left w:type="dxa" w:w="100"/>
              <w:bottom w:type="dxa" w:w="60"/>
              <w:right w:type="dxa" w:w="100"/>
            </w:tcMar>
            <w:vAlign w:val="center"/>
          </w:tcPr>
          <w:p>
            <w:pPr>
              <w:pStyle w:val="Tabela"/>
              <w:jc w:val="left"/>
            </w:pPr>
            <w:r>
              <w:t xml:space="preserve">38,0</w:t>
            </w:r>
          </w:p>
        </w:tc>
      </w:tr>
      <w:tr>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cadeia ampliada (B + F + C)</w:t>
            </w:r>
          </w:p>
        </w:tc>
        <w:tc>
          <w:tcPr>
            <w:tcMar>
              <w:top w:type="dxa" w:w="60"/>
              <w:left w:type="dxa" w:w="100"/>
              <w:bottom w:type="dxa" w:w="60"/>
              <w:right w:type="dxa" w:w="100"/>
            </w:tcMar>
            <w:vAlign w:val="center"/>
          </w:tcPr>
          <w:p>
            <w:pPr>
              <w:pStyle w:val="Tabela"/>
              <w:jc w:val="left"/>
            </w:pPr>
            <w:r>
              <w:t xml:space="preserve">28,7</w:t>
            </w:r>
          </w:p>
        </w:tc>
        <w:tc>
          <w:tcPr>
            <w:tcMar>
              <w:top w:type="dxa" w:w="60"/>
              <w:left w:type="dxa" w:w="100"/>
              <w:bottom w:type="dxa" w:w="60"/>
              <w:right w:type="dxa" w:w="100"/>
            </w:tcMar>
            <w:vAlign w:val="center"/>
          </w:tcPr>
          <w:p>
            <w:pPr>
              <w:pStyle w:val="Tabela"/>
              <w:jc w:val="left"/>
            </w:pPr>
            <w:r>
              <w:t xml:space="preserve">21,7</w:t>
            </w:r>
          </w:p>
        </w:tc>
        <w:tc>
          <w:tcPr>
            <w:tcMar>
              <w:top w:type="dxa" w:w="60"/>
              <w:left w:type="dxa" w:w="100"/>
              <w:bottom w:type="dxa" w:w="60"/>
              <w:right w:type="dxa" w:w="100"/>
            </w:tcMar>
            <w:vAlign w:val="center"/>
          </w:tcPr>
          <w:p>
            <w:pPr>
              <w:pStyle w:val="Tabela"/>
              <w:jc w:val="left"/>
            </w:pPr>
            <w:r>
              <w:t xml:space="preserve">1,32 ± 0,34</w:t>
            </w:r>
          </w:p>
        </w:tc>
        <w:tc>
          <w:tcPr>
            <w:tcMar>
              <w:top w:type="dxa" w:w="60"/>
              <w:left w:type="dxa" w:w="100"/>
              <w:bottom w:type="dxa" w:w="60"/>
              <w:right w:type="dxa" w:w="100"/>
            </w:tcMar>
            <w:vAlign w:val="center"/>
          </w:tcPr>
          <w:p>
            <w:pPr>
              <w:pStyle w:val="Tabela"/>
              <w:jc w:val="left"/>
            </w:pPr>
            <w:r>
              <w:t xml:space="preserve">+7,0</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40,2</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extrativa mineral (B)</w:t>
            </w:r>
          </w:p>
        </w:tc>
        <w:tc>
          <w:tcPr>
            <w:tcMar>
              <w:top w:type="dxa" w:w="60"/>
              <w:left w:type="dxa" w:w="100"/>
              <w:bottom w:type="dxa" w:w="60"/>
              <w:right w:type="dxa" w:w="100"/>
            </w:tcMar>
            <w:vAlign w:val="center"/>
          </w:tcPr>
          <w:p>
            <w:pPr>
              <w:pStyle w:val="Tabela"/>
              <w:jc w:val="left"/>
            </w:pPr>
            <w:r>
              <w:t xml:space="preserve">12,0</w:t>
            </w:r>
          </w:p>
        </w:tc>
        <w:tc>
          <w:tcPr>
            <w:tcMar>
              <w:top w:type="dxa" w:w="60"/>
              <w:left w:type="dxa" w:w="100"/>
              <w:bottom w:type="dxa" w:w="60"/>
              <w:right w:type="dxa" w:w="100"/>
            </w:tcMar>
            <w:vAlign w:val="center"/>
          </w:tcPr>
          <w:p>
            <w:pPr>
              <w:pStyle w:val="Tabela"/>
              <w:jc w:val="left"/>
            </w:pPr>
            <w:r>
              <w:t xml:space="preserve">9,8</w:t>
            </w:r>
          </w:p>
        </w:tc>
        <w:tc>
          <w:tcPr>
            <w:tcMar>
              <w:top w:type="dxa" w:w="60"/>
              <w:left w:type="dxa" w:w="100"/>
              <w:bottom w:type="dxa" w:w="60"/>
              <w:right w:type="dxa" w:w="100"/>
            </w:tcMar>
            <w:vAlign w:val="center"/>
          </w:tcPr>
          <w:p>
            <w:pPr>
              <w:pStyle w:val="Tabela"/>
              <w:jc w:val="left"/>
            </w:pPr>
            <w:r>
              <w:t xml:space="preserve">1,22 ± 0,31</w:t>
            </w:r>
          </w:p>
        </w:tc>
        <w:tc>
          <w:tcPr>
            <w:tcMar>
              <w:top w:type="dxa" w:w="60"/>
              <w:left w:type="dxa" w:w="100"/>
              <w:bottom w:type="dxa" w:w="60"/>
              <w:right w:type="dxa" w:w="100"/>
            </w:tcMar>
            <w:vAlign w:val="center"/>
          </w:tcPr>
          <w:p>
            <w:pPr>
              <w:pStyle w:val="Tabela"/>
              <w:jc w:val="left"/>
            </w:pPr>
            <w:r>
              <w:t xml:space="preserve">+2,2</w:t>
            </w:r>
          </w:p>
        </w:tc>
        <w:tc>
          <w:tcPr>
            <w:tcMar>
              <w:top w:type="dxa" w:w="60"/>
              <w:left w:type="dxa" w:w="100"/>
              <w:bottom w:type="dxa" w:w="60"/>
              <w:right w:type="dxa" w:w="100"/>
            </w:tcMar>
            <w:vAlign w:val="center"/>
          </w:tcPr>
          <w:p>
            <w:pPr>
              <w:pStyle w:val="Tabela"/>
              <w:jc w:val="left"/>
            </w:pPr>
            <w:r>
              <w:t xml:space="preserve">não</w:t>
            </w:r>
          </w:p>
        </w:tc>
        <w:tc>
          <w:tcPr>
            <w:tcMar>
              <w:top w:type="dxa" w:w="60"/>
              <w:left w:type="dxa" w:w="100"/>
              <w:bottom w:type="dxa" w:w="60"/>
              <w:right w:type="dxa" w:w="100"/>
            </w:tcMar>
            <w:vAlign w:val="center"/>
          </w:tcPr>
          <w:p>
            <w:pPr>
              <w:pStyle w:val="Tabela"/>
              <w:jc w:val="left"/>
            </w:pPr>
            <w:r>
              <w:t xml:space="preserve">33,0</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construção (F)</w:t>
            </w:r>
          </w:p>
        </w:tc>
        <w:tc>
          <w:tcPr>
            <w:tcMar>
              <w:top w:type="dxa" w:w="60"/>
              <w:left w:type="dxa" w:w="100"/>
              <w:bottom w:type="dxa" w:w="60"/>
              <w:right w:type="dxa" w:w="100"/>
            </w:tcMar>
            <w:vAlign w:val="center"/>
          </w:tcPr>
          <w:p>
            <w:pPr>
              <w:pStyle w:val="Tabela"/>
              <w:jc w:val="left"/>
            </w:pPr>
            <w:r>
              <w:t xml:space="preserve">16,1</w:t>
            </w:r>
          </w:p>
        </w:tc>
        <w:tc>
          <w:tcPr>
            <w:tcMar>
              <w:top w:type="dxa" w:w="60"/>
              <w:left w:type="dxa" w:w="100"/>
              <w:bottom w:type="dxa" w:w="60"/>
              <w:right w:type="dxa" w:w="100"/>
            </w:tcMar>
            <w:vAlign w:val="center"/>
          </w:tcPr>
          <w:p>
            <w:pPr>
              <w:pStyle w:val="Tabela"/>
              <w:jc w:val="left"/>
            </w:pPr>
            <w:r>
              <w:t xml:space="preserve">13,3</w:t>
            </w:r>
          </w:p>
        </w:tc>
        <w:tc>
          <w:tcPr>
            <w:tcMar>
              <w:top w:type="dxa" w:w="60"/>
              <w:left w:type="dxa" w:w="100"/>
              <w:bottom w:type="dxa" w:w="60"/>
              <w:right w:type="dxa" w:w="100"/>
            </w:tcMar>
            <w:vAlign w:val="center"/>
          </w:tcPr>
          <w:p>
            <w:pPr>
              <w:pStyle w:val="Tabela"/>
              <w:jc w:val="left"/>
            </w:pPr>
            <w:r>
              <w:t xml:space="preserve">1,20 ± 0,22</w:t>
            </w:r>
          </w:p>
        </w:tc>
        <w:tc>
          <w:tcPr>
            <w:tcMar>
              <w:top w:type="dxa" w:w="60"/>
              <w:left w:type="dxa" w:w="100"/>
              <w:bottom w:type="dxa" w:w="60"/>
              <w:right w:type="dxa" w:w="100"/>
            </w:tcMar>
            <w:vAlign w:val="center"/>
          </w:tcPr>
          <w:p>
            <w:pPr>
              <w:pStyle w:val="Tabela"/>
              <w:jc w:val="left"/>
            </w:pPr>
            <w:r>
              <w:t xml:space="preserve">+2,7</w:t>
            </w:r>
          </w:p>
        </w:tc>
        <w:tc>
          <w:tcPr>
            <w:tcMar>
              <w:top w:type="dxa" w:w="60"/>
              <w:left w:type="dxa" w:w="100"/>
              <w:bottom w:type="dxa" w:w="60"/>
              <w:right w:type="dxa" w:w="100"/>
            </w:tcMar>
            <w:vAlign w:val="center"/>
          </w:tcPr>
          <w:p>
            <w:pPr>
              <w:pStyle w:val="Tabela"/>
              <w:jc w:val="left"/>
            </w:pPr>
            <w:r>
              <w:t xml:space="preserve">não</w:t>
            </w:r>
          </w:p>
        </w:tc>
        <w:tc>
          <w:tcPr>
            <w:tcMar>
              <w:top w:type="dxa" w:w="60"/>
              <w:left w:type="dxa" w:w="100"/>
              <w:bottom w:type="dxa" w:w="60"/>
              <w:right w:type="dxa" w:w="100"/>
            </w:tcMar>
            <w:vAlign w:val="center"/>
          </w:tcPr>
          <w:p>
            <w:pPr>
              <w:pStyle w:val="Tabela"/>
              <w:jc w:val="left"/>
            </w:pPr>
            <w:r>
              <w:t xml:space="preserve">32,4</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transformação (C)</w:t>
            </w:r>
          </w:p>
        </w:tc>
        <w:tc>
          <w:tcPr>
            <w:tcMar>
              <w:top w:type="dxa" w:w="60"/>
              <w:left w:type="dxa" w:w="100"/>
              <w:bottom w:type="dxa" w:w="60"/>
              <w:right w:type="dxa" w:w="100"/>
            </w:tcMar>
            <w:vAlign w:val="center"/>
          </w:tcPr>
          <w:p>
            <w:pPr>
              <w:pStyle w:val="Tabela"/>
              <w:jc w:val="left"/>
            </w:pPr>
            <w:r>
              <w:t xml:space="preserve">7,9</w:t>
            </w:r>
          </w:p>
        </w:tc>
        <w:tc>
          <w:tcPr>
            <w:tcMar>
              <w:top w:type="dxa" w:w="60"/>
              <w:left w:type="dxa" w:w="100"/>
              <w:bottom w:type="dxa" w:w="60"/>
              <w:right w:type="dxa" w:w="100"/>
            </w:tcMar>
            <w:vAlign w:val="center"/>
          </w:tcPr>
          <w:p>
            <w:pPr>
              <w:pStyle w:val="Tabela"/>
              <w:jc w:val="left"/>
            </w:pPr>
            <w:r>
              <w:t xml:space="preserve">6,0</w:t>
            </w:r>
          </w:p>
        </w:tc>
        <w:tc>
          <w:tcPr>
            <w:tcMar>
              <w:top w:type="dxa" w:w="60"/>
              <w:left w:type="dxa" w:w="100"/>
              <w:bottom w:type="dxa" w:w="60"/>
              <w:right w:type="dxa" w:w="100"/>
            </w:tcMar>
            <w:vAlign w:val="center"/>
          </w:tcPr>
          <w:p>
            <w:pPr>
              <w:pStyle w:val="Tabela"/>
              <w:jc w:val="left"/>
            </w:pPr>
            <w:r>
              <w:t xml:space="preserve">1,32 ± 0,39</w:t>
            </w:r>
          </w:p>
        </w:tc>
        <w:tc>
          <w:tcPr>
            <w:tcMar>
              <w:top w:type="dxa" w:w="60"/>
              <w:left w:type="dxa" w:w="100"/>
              <w:bottom w:type="dxa" w:w="60"/>
              <w:right w:type="dxa" w:w="100"/>
            </w:tcMar>
            <w:vAlign w:val="center"/>
          </w:tcPr>
          <w:p>
            <w:pPr>
              <w:pStyle w:val="Tabela"/>
              <w:jc w:val="left"/>
            </w:pPr>
            <w:r>
              <w:t xml:space="preserve">+1,9</w:t>
            </w:r>
          </w:p>
        </w:tc>
        <w:tc>
          <w:tcPr>
            <w:tcMar>
              <w:top w:type="dxa" w:w="60"/>
              <w:left w:type="dxa" w:w="100"/>
              <w:bottom w:type="dxa" w:w="60"/>
              <w:right w:type="dxa" w:w="100"/>
            </w:tcMar>
            <w:vAlign w:val="center"/>
          </w:tcPr>
          <w:p>
            <w:pPr>
              <w:pStyle w:val="Tabela"/>
              <w:jc w:val="left"/>
            </w:pPr>
            <w:r>
              <w:t xml:space="preserve">não</w:t>
            </w:r>
          </w:p>
        </w:tc>
        <w:tc>
          <w:tcPr>
            <w:tcMar>
              <w:top w:type="dxa" w:w="60"/>
              <w:left w:type="dxa" w:w="100"/>
              <w:bottom w:type="dxa" w:w="60"/>
              <w:right w:type="dxa" w:w="100"/>
            </w:tcMar>
            <w:vAlign w:val="center"/>
          </w:tcPr>
          <w:p>
            <w:pPr>
              <w:pStyle w:val="Tabela"/>
              <w:jc w:val="left"/>
            </w:pPr>
            <w:r>
              <w:t xml:space="preserve">34,6</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cadeia ampliada (B + F + C)</w:t>
            </w:r>
          </w:p>
        </w:tc>
        <w:tc>
          <w:tcPr>
            <w:tcMar>
              <w:top w:type="dxa" w:w="60"/>
              <w:left w:type="dxa" w:w="100"/>
              <w:bottom w:type="dxa" w:w="60"/>
              <w:right w:type="dxa" w:w="100"/>
            </w:tcMar>
            <w:vAlign w:val="center"/>
          </w:tcPr>
          <w:p>
            <w:pPr>
              <w:pStyle w:val="Tabela"/>
              <w:jc w:val="left"/>
            </w:pPr>
            <w:r>
              <w:t xml:space="preserve">36,0</w:t>
            </w:r>
          </w:p>
        </w:tc>
        <w:tc>
          <w:tcPr>
            <w:tcMar>
              <w:top w:type="dxa" w:w="60"/>
              <w:left w:type="dxa" w:w="100"/>
              <w:bottom w:type="dxa" w:w="60"/>
              <w:right w:type="dxa" w:w="100"/>
            </w:tcMar>
            <w:vAlign w:val="center"/>
          </w:tcPr>
          <w:p>
            <w:pPr>
              <w:pStyle w:val="Tabela"/>
              <w:jc w:val="left"/>
            </w:pPr>
            <w:r>
              <w:t xml:space="preserve">29,1</w:t>
            </w:r>
          </w:p>
        </w:tc>
        <w:tc>
          <w:tcPr>
            <w:tcMar>
              <w:top w:type="dxa" w:w="60"/>
              <w:left w:type="dxa" w:w="100"/>
              <w:bottom w:type="dxa" w:w="60"/>
              <w:right w:type="dxa" w:w="100"/>
            </w:tcMar>
            <w:vAlign w:val="center"/>
          </w:tcPr>
          <w:p>
            <w:pPr>
              <w:pStyle w:val="Tabela"/>
              <w:jc w:val="left"/>
            </w:pPr>
            <w:r>
              <w:t xml:space="preserve">1,23 ± 0,17</w:t>
            </w:r>
          </w:p>
        </w:tc>
        <w:tc>
          <w:tcPr>
            <w:tcMar>
              <w:top w:type="dxa" w:w="60"/>
              <w:left w:type="dxa" w:w="100"/>
              <w:bottom w:type="dxa" w:w="60"/>
              <w:right w:type="dxa" w:w="100"/>
            </w:tcMar>
            <w:vAlign w:val="center"/>
          </w:tcPr>
          <w:p>
            <w:pPr>
              <w:pStyle w:val="Tabela"/>
              <w:jc w:val="left"/>
            </w:pPr>
            <w:r>
              <w:t xml:space="preserve">+6,8</w:t>
            </w:r>
          </w:p>
        </w:tc>
        <w:tc>
          <w:tcPr>
            <w:tcMar>
              <w:top w:type="dxa" w:w="60"/>
              <w:left w:type="dxa" w:w="100"/>
              <w:bottom w:type="dxa" w:w="60"/>
              <w:right w:type="dxa" w:w="100"/>
            </w:tcMar>
            <w:vAlign w:val="center"/>
          </w:tcPr>
          <w:p>
            <w:pPr>
              <w:pStyle w:val="Tabela"/>
              <w:jc w:val="left"/>
            </w:pPr>
            <w:r>
              <w:t xml:space="preserve">sim</w:t>
            </w:r>
          </w:p>
        </w:tc>
        <w:tc>
          <w:tcPr>
            <w:tcMar>
              <w:top w:type="dxa" w:w="60"/>
              <w:left w:type="dxa" w:w="100"/>
              <w:bottom w:type="dxa" w:w="60"/>
              <w:right w:type="dxa" w:w="100"/>
            </w:tcMar>
            <w:vAlign w:val="center"/>
          </w:tcPr>
          <w:p>
            <w:pPr>
              <w:pStyle w:val="Tabela"/>
              <w:jc w:val="left"/>
            </w:pPr>
            <w:r>
              <w:t xml:space="preserve">33,1</w:t>
            </w:r>
          </w:p>
        </w:tc>
      </w:tr>
    </w:tbl>
    <w:p>
      <w:pPr>
        <w:spacing w:after="120"/>
      </w:pPr>
    </w:p>
    <w:p>
      <w:pPr>
        <w:pStyle w:val="Corpo"/>
      </w:pPr>
      <w:r>
        <w:t xml:space="preserve">Fonte: Elaboração própria a partir dos microdados da amostra dos Censos 2000, 2010 e 2022 (IBGE).</w:t>
      </w:r>
    </w:p>
    <w:p>
      <w:pPr>
        <w:pStyle w:val="Corpo"/>
      </w:pPr>
      <w:r>
        <w:t xml:space="preserve">Nota: Cadeia = extrativa mineral (seção B, inclui atividades de apoio à extração) + construção (F) + indústria de transformação (C); fornecedores de serviços e transporte à mina não são identificáveis no CNAE-Dom, logo a cadeia ampliada é um limite inferior. Migrante = residia em outro município cinco anos antes. Razão = proporção entre migrantes ÷ proporção entre não migrantes (± IC 95 %, método delta). Participação dos migrantes no total de ocupados: 2000: 17,0 %; 2010: 33,6 %; 2022: 28,6 %. </w:t>
      </w:r>
      <w:r>
        <w:rPr>
          <w:i/>
          <w:iCs/>
        </w:rPr>
        <w:t xml:space="preserve"> CV 15–30 %; </w:t>
      </w:r>
      <w:r>
        <w:t xml:space="preserve">* CV &gt; 30 %; '—' = célula suprimida pelo controle de revelação.</w:t>
      </w:r>
    </w:p>
    <w:p>
      <w:pPr>
        <w:spacing w:after="40" w:before="200"/>
        <w:jc w:val="center"/>
      </w:pPr>
      <w:r>
        <w:drawing>
          <wp:inline distT="0" distB="0" distL="0" distR="0">
            <wp:extent cx="5334000" cy="20824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82497"/>
                    </a:xfrm>
                    <a:prstGeom prst="rect">
                      <a:avLst/>
                    </a:prstGeom>
                  </pic:spPr>
                </pic:pic>
              </a:graphicData>
            </a:graphic>
          </wp:inline>
        </w:drawing>
      </w:r>
    </w:p>
    <w:p>
      <w:pPr>
        <w:pStyle w:val="Legenda"/>
        <w:jc w:val="center"/>
      </w:pPr>
      <w:r>
        <w:t xml:space="preserve">Figura 15 — Ocupados na cadeia produtiva da mineração (extrativa mineral, construção e indústria de transformação), Canaã dos Carajás. Esquerda: migrantes de data fixa e não migrantes por elo, 2010 e 2022 (IC 95 %; × = razão de seletividade; n.s. = não significativa). Centro: por origem do migrante, 2022. Direita: por tempo de moradia, 2022 (com menos de 1 ano, só a construção é publicável). Fornecedores de serviços e transporte à mina não são identificáveis no CNAE-Dom. Fonte: Elaboração própria a partir dos microdados da amostra dos Censos Demográficos (IBGE); estimativas aprovadas pelo controle de revelação.</w:t>
      </w:r>
    </w:p>
    <w:p>
      <w:pPr>
        <w:pStyle w:val="Titulo2"/>
      </w:pPr>
      <w:r>
        <w:t xml:space="preserve">5.7 Condições domiciliares</w:t>
      </w:r>
    </w:p>
    <w:p>
      <w:pPr>
        <w:pStyle w:val="Corpo"/>
      </w:pPr>
      <w:r>
        <w:t xml:space="preserve">A infraestrutura domiciliar convergiu (Tabela 7, Figura 10). A água da rede geral atendia 2,4 % dos domicílios em 2000, 29,0 % em 2010 e 67,1 % em 2022; o esgoto por rede ou fossa séptica, 6,9 %, 36,2 % e 78,2 %; a coleta de lixo, 24,9 %, 84,6 % e 93,3 %; a internet, 10,8 % em 2010 e 93,3 % em 2022. Os domicílios adequados nos três serviços passaram de 10,2 % em 2010 para 56,1 % em 2022. Nesses indicadores os domicílios com e sem migrante recente não diferem. A diferença está na forma de morar: o aluguel passou de 4,0 % dos domicílios em 2000 para 25,9 % em 2010 e 31,5 % em 2022, e entre os domicílios com migrante recente chega a 51,1 %, contra 20,4 % nos demais; os domicílios com migrante recente têm mais moradores (3,32 contra 3,05), mais moradores por dormitório (2,01 contra 1,76) e o dobro da proporção com mais de três moradores por dormitório (8,0 % contra 3,8 %). A cessão pelo empregador, que abrigava 16 % dos domicílios com migrante em 2000, caiu para 4 % em 2022: a cidade absorveu a moradia dos trabalhadores por meio do mercado de aluguel, não de alojamentos de empresa.</w:t>
      </w:r>
    </w:p>
    <w:p>
      <w:pPr>
        <w:pStyle w:val="Corpo"/>
      </w:pPr>
      <w:r>
        <w:rPr>
          <w:b/>
          <w:bCs/>
        </w:rPr>
        <w:t xml:space="preserve">Tabela 7 — Condições dos domicílios particulares permanentes, por presença de migrante de data fixa, Canaã dos Carajás, 2000–2022</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Indicador</w:t>
            </w:r>
          </w:p>
        </w:tc>
        <w:tc>
          <w:tcPr>
            <w:tcMar>
              <w:top w:type="dxa" w:w="60"/>
              <w:left w:type="dxa" w:w="100"/>
              <w:bottom w:type="dxa" w:w="60"/>
              <w:right w:type="dxa" w:w="100"/>
            </w:tcMar>
            <w:vAlign w:val="center"/>
          </w:tcPr>
          <w:p>
            <w:pPr>
              <w:pStyle w:val="TabelaCab"/>
              <w:jc w:val="left"/>
            </w:pPr>
            <w:r>
              <w:t xml:space="preserve">2000 c/ migr.</w:t>
            </w:r>
          </w:p>
        </w:tc>
        <w:tc>
          <w:tcPr>
            <w:tcMar>
              <w:top w:type="dxa" w:w="60"/>
              <w:left w:type="dxa" w:w="100"/>
              <w:bottom w:type="dxa" w:w="60"/>
              <w:right w:type="dxa" w:w="100"/>
            </w:tcMar>
            <w:vAlign w:val="center"/>
          </w:tcPr>
          <w:p>
            <w:pPr>
              <w:pStyle w:val="TabelaCab"/>
              <w:jc w:val="left"/>
            </w:pPr>
            <w:r>
              <w:t xml:space="preserve">2000 s/ migr.</w:t>
            </w:r>
          </w:p>
        </w:tc>
        <w:tc>
          <w:tcPr>
            <w:tcMar>
              <w:top w:type="dxa" w:w="60"/>
              <w:left w:type="dxa" w:w="100"/>
              <w:bottom w:type="dxa" w:w="60"/>
              <w:right w:type="dxa" w:w="100"/>
            </w:tcMar>
            <w:vAlign w:val="center"/>
          </w:tcPr>
          <w:p>
            <w:pPr>
              <w:pStyle w:val="TabelaCab"/>
              <w:jc w:val="left"/>
            </w:pPr>
            <w:r>
              <w:t xml:space="preserve">2010 c/ migr.</w:t>
            </w:r>
          </w:p>
        </w:tc>
        <w:tc>
          <w:tcPr>
            <w:tcMar>
              <w:top w:type="dxa" w:w="60"/>
              <w:left w:type="dxa" w:w="100"/>
              <w:bottom w:type="dxa" w:w="60"/>
              <w:right w:type="dxa" w:w="100"/>
            </w:tcMar>
            <w:vAlign w:val="center"/>
          </w:tcPr>
          <w:p>
            <w:pPr>
              <w:pStyle w:val="TabelaCab"/>
              <w:jc w:val="left"/>
            </w:pPr>
            <w:r>
              <w:t xml:space="preserve">2010 s/ migr.</w:t>
            </w:r>
          </w:p>
        </w:tc>
        <w:tc>
          <w:tcPr>
            <w:tcMar>
              <w:top w:type="dxa" w:w="60"/>
              <w:left w:type="dxa" w:w="100"/>
              <w:bottom w:type="dxa" w:w="60"/>
              <w:right w:type="dxa" w:w="100"/>
            </w:tcMar>
            <w:vAlign w:val="center"/>
          </w:tcPr>
          <w:p>
            <w:pPr>
              <w:pStyle w:val="TabelaCab"/>
              <w:jc w:val="left"/>
            </w:pPr>
            <w:r>
              <w:t xml:space="preserve">2022 c/ migr.</w:t>
            </w:r>
          </w:p>
        </w:tc>
        <w:tc>
          <w:tcPr>
            <w:tcMar>
              <w:top w:type="dxa" w:w="60"/>
              <w:left w:type="dxa" w:w="100"/>
              <w:bottom w:type="dxa" w:w="60"/>
              <w:right w:type="dxa" w:w="100"/>
            </w:tcMar>
            <w:vAlign w:val="center"/>
          </w:tcPr>
          <w:p>
            <w:pPr>
              <w:pStyle w:val="TabelaCab"/>
              <w:jc w:val="left"/>
            </w:pPr>
            <w:r>
              <w:t xml:space="preserve">2022 s/ migr.</w:t>
            </w:r>
          </w:p>
        </w:tc>
      </w:tr>
      <w:tr>
        <w:tc>
          <w:tcPr>
            <w:tcMar>
              <w:top w:type="dxa" w:w="60"/>
              <w:left w:type="dxa" w:w="100"/>
              <w:bottom w:type="dxa" w:w="60"/>
              <w:right w:type="dxa" w:w="100"/>
            </w:tcMar>
            <w:vAlign w:val="center"/>
          </w:tcPr>
          <w:p>
            <w:pPr>
              <w:pStyle w:val="Tabela"/>
              <w:jc w:val="left"/>
            </w:pPr>
            <w:r>
              <w:t xml:space="preserve">Água da rede geral</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2,5**</w:t>
            </w:r>
          </w:p>
        </w:tc>
        <w:tc>
          <w:tcPr>
            <w:tcMar>
              <w:top w:type="dxa" w:w="60"/>
              <w:left w:type="dxa" w:w="100"/>
              <w:bottom w:type="dxa" w:w="60"/>
              <w:right w:type="dxa" w:w="100"/>
            </w:tcMar>
            <w:vAlign w:val="center"/>
          </w:tcPr>
          <w:p>
            <w:pPr>
              <w:pStyle w:val="Tabela"/>
              <w:jc w:val="left"/>
            </w:pPr>
            <w:r>
              <w:t xml:space="preserve">32,1</w:t>
            </w:r>
          </w:p>
        </w:tc>
        <w:tc>
          <w:tcPr>
            <w:tcMar>
              <w:top w:type="dxa" w:w="60"/>
              <w:left w:type="dxa" w:w="100"/>
              <w:bottom w:type="dxa" w:w="60"/>
              <w:right w:type="dxa" w:w="100"/>
            </w:tcMar>
            <w:vAlign w:val="center"/>
          </w:tcPr>
          <w:p>
            <w:pPr>
              <w:pStyle w:val="Tabela"/>
              <w:jc w:val="left"/>
            </w:pPr>
            <w:r>
              <w:t xml:space="preserve">26,7</w:t>
            </w:r>
          </w:p>
        </w:tc>
        <w:tc>
          <w:tcPr>
            <w:tcMar>
              <w:top w:type="dxa" w:w="60"/>
              <w:left w:type="dxa" w:w="100"/>
              <w:bottom w:type="dxa" w:w="60"/>
              <w:right w:type="dxa" w:w="100"/>
            </w:tcMar>
            <w:vAlign w:val="center"/>
          </w:tcPr>
          <w:p>
            <w:pPr>
              <w:pStyle w:val="Tabela"/>
              <w:jc w:val="left"/>
            </w:pPr>
            <w:r>
              <w:t xml:space="preserve">69,5</w:t>
            </w:r>
          </w:p>
        </w:tc>
        <w:tc>
          <w:tcPr>
            <w:tcMar>
              <w:top w:type="dxa" w:w="60"/>
              <w:left w:type="dxa" w:w="100"/>
              <w:bottom w:type="dxa" w:w="60"/>
              <w:right w:type="dxa" w:w="100"/>
            </w:tcMar>
            <w:vAlign w:val="center"/>
          </w:tcPr>
          <w:p>
            <w:pPr>
              <w:pStyle w:val="Tabela"/>
              <w:jc w:val="left"/>
            </w:pPr>
            <w:r>
              <w:t xml:space="preserve">65,7</w:t>
            </w:r>
          </w:p>
        </w:tc>
      </w:tr>
      <w:tr>
        <w:tc>
          <w:tcPr>
            <w:tcMar>
              <w:top w:type="dxa" w:w="60"/>
              <w:left w:type="dxa" w:w="100"/>
              <w:bottom w:type="dxa" w:w="60"/>
              <w:right w:type="dxa" w:w="100"/>
            </w:tcMar>
            <w:vAlign w:val="center"/>
          </w:tcPr>
          <w:p>
            <w:pPr>
              <w:pStyle w:val="Tabela"/>
              <w:jc w:val="left"/>
            </w:pPr>
            <w:r>
              <w:t xml:space="preserve">Esgoto por rede ou fossa séptica</w:t>
            </w:r>
          </w:p>
        </w:tc>
        <w:tc>
          <w:tcPr>
            <w:tcMar>
              <w:top w:type="dxa" w:w="60"/>
              <w:left w:type="dxa" w:w="100"/>
              <w:bottom w:type="dxa" w:w="60"/>
              <w:right w:type="dxa" w:w="100"/>
            </w:tcMar>
            <w:vAlign w:val="center"/>
          </w:tcPr>
          <w:p>
            <w:pPr>
              <w:pStyle w:val="Tabela"/>
              <w:jc w:val="left"/>
            </w:pPr>
            <w:r>
              <w:t xml:space="preserve">10,0**</w:t>
            </w:r>
          </w:p>
        </w:tc>
        <w:tc>
          <w:tcPr>
            <w:tcMar>
              <w:top w:type="dxa" w:w="60"/>
              <w:left w:type="dxa" w:w="100"/>
              <w:bottom w:type="dxa" w:w="60"/>
              <w:right w:type="dxa" w:w="100"/>
            </w:tcMar>
            <w:vAlign w:val="center"/>
          </w:tcPr>
          <w:p>
            <w:pPr>
              <w:pStyle w:val="Tabela"/>
              <w:jc w:val="left"/>
            </w:pPr>
            <w:r>
              <w:t xml:space="preserve">5,9*</w:t>
            </w:r>
          </w:p>
        </w:tc>
        <w:tc>
          <w:tcPr>
            <w:tcMar>
              <w:top w:type="dxa" w:w="60"/>
              <w:left w:type="dxa" w:w="100"/>
              <w:bottom w:type="dxa" w:w="60"/>
              <w:right w:type="dxa" w:w="100"/>
            </w:tcMar>
            <w:vAlign w:val="center"/>
          </w:tcPr>
          <w:p>
            <w:pPr>
              <w:pStyle w:val="Tabela"/>
              <w:jc w:val="left"/>
            </w:pPr>
            <w:r>
              <w:t xml:space="preserve">38,1</w:t>
            </w:r>
          </w:p>
        </w:tc>
        <w:tc>
          <w:tcPr>
            <w:tcMar>
              <w:top w:type="dxa" w:w="60"/>
              <w:left w:type="dxa" w:w="100"/>
              <w:bottom w:type="dxa" w:w="60"/>
              <w:right w:type="dxa" w:w="100"/>
            </w:tcMar>
            <w:vAlign w:val="center"/>
          </w:tcPr>
          <w:p>
            <w:pPr>
              <w:pStyle w:val="Tabela"/>
              <w:jc w:val="left"/>
            </w:pPr>
            <w:r>
              <w:t xml:space="preserve">34,9</w:t>
            </w:r>
          </w:p>
        </w:tc>
        <w:tc>
          <w:tcPr>
            <w:tcMar>
              <w:top w:type="dxa" w:w="60"/>
              <w:left w:type="dxa" w:w="100"/>
              <w:bottom w:type="dxa" w:w="60"/>
              <w:right w:type="dxa" w:w="100"/>
            </w:tcMar>
            <w:vAlign w:val="center"/>
          </w:tcPr>
          <w:p>
            <w:pPr>
              <w:pStyle w:val="Tabela"/>
              <w:jc w:val="left"/>
            </w:pPr>
            <w:r>
              <w:t xml:space="preserve">76,7</w:t>
            </w:r>
          </w:p>
        </w:tc>
        <w:tc>
          <w:tcPr>
            <w:tcMar>
              <w:top w:type="dxa" w:w="60"/>
              <w:left w:type="dxa" w:w="100"/>
              <w:bottom w:type="dxa" w:w="60"/>
              <w:right w:type="dxa" w:w="100"/>
            </w:tcMar>
            <w:vAlign w:val="center"/>
          </w:tcPr>
          <w:p>
            <w:pPr>
              <w:pStyle w:val="Tabela"/>
              <w:jc w:val="left"/>
            </w:pPr>
            <w:r>
              <w:t xml:space="preserve">79,1</w:t>
            </w:r>
          </w:p>
        </w:tc>
      </w:tr>
      <w:tr>
        <w:tc>
          <w:tcPr>
            <w:tcMar>
              <w:top w:type="dxa" w:w="60"/>
              <w:left w:type="dxa" w:w="100"/>
              <w:bottom w:type="dxa" w:w="60"/>
              <w:right w:type="dxa" w:w="100"/>
            </w:tcMar>
            <w:vAlign w:val="center"/>
          </w:tcPr>
          <w:p>
            <w:pPr>
              <w:pStyle w:val="Tabela"/>
              <w:jc w:val="left"/>
            </w:pPr>
            <w:r>
              <w:t xml:space="preserve">Lixo coletado</w:t>
            </w:r>
          </w:p>
        </w:tc>
        <w:tc>
          <w:tcPr>
            <w:tcMar>
              <w:top w:type="dxa" w:w="60"/>
              <w:left w:type="dxa" w:w="100"/>
              <w:bottom w:type="dxa" w:w="60"/>
              <w:right w:type="dxa" w:w="100"/>
            </w:tcMar>
            <w:vAlign w:val="center"/>
          </w:tcPr>
          <w:p>
            <w:pPr>
              <w:pStyle w:val="Tabela"/>
              <w:jc w:val="left"/>
            </w:pPr>
            <w:r>
              <w:t xml:space="preserve">33,3</w:t>
            </w:r>
          </w:p>
        </w:tc>
        <w:tc>
          <w:tcPr>
            <w:tcMar>
              <w:top w:type="dxa" w:w="60"/>
              <w:left w:type="dxa" w:w="100"/>
              <w:bottom w:type="dxa" w:w="60"/>
              <w:right w:type="dxa" w:w="100"/>
            </w:tcMar>
            <w:vAlign w:val="center"/>
          </w:tcPr>
          <w:p>
            <w:pPr>
              <w:pStyle w:val="Tabela"/>
              <w:jc w:val="left"/>
            </w:pPr>
            <w:r>
              <w:t xml:space="preserve">22,4</w:t>
            </w:r>
          </w:p>
        </w:tc>
        <w:tc>
          <w:tcPr>
            <w:tcMar>
              <w:top w:type="dxa" w:w="60"/>
              <w:left w:type="dxa" w:w="100"/>
              <w:bottom w:type="dxa" w:w="60"/>
              <w:right w:type="dxa" w:w="100"/>
            </w:tcMar>
            <w:vAlign w:val="center"/>
          </w:tcPr>
          <w:p>
            <w:pPr>
              <w:pStyle w:val="Tabela"/>
              <w:jc w:val="left"/>
            </w:pPr>
            <w:r>
              <w:t xml:space="preserve">84,1</w:t>
            </w:r>
          </w:p>
        </w:tc>
        <w:tc>
          <w:tcPr>
            <w:tcMar>
              <w:top w:type="dxa" w:w="60"/>
              <w:left w:type="dxa" w:w="100"/>
              <w:bottom w:type="dxa" w:w="60"/>
              <w:right w:type="dxa" w:w="100"/>
            </w:tcMar>
            <w:vAlign w:val="center"/>
          </w:tcPr>
          <w:p>
            <w:pPr>
              <w:pStyle w:val="Tabela"/>
              <w:jc w:val="left"/>
            </w:pPr>
            <w:r>
              <w:t xml:space="preserve">84,9</w:t>
            </w:r>
          </w:p>
        </w:tc>
        <w:tc>
          <w:tcPr>
            <w:tcMar>
              <w:top w:type="dxa" w:w="60"/>
              <w:left w:type="dxa" w:w="100"/>
              <w:bottom w:type="dxa" w:w="60"/>
              <w:right w:type="dxa" w:w="100"/>
            </w:tcMar>
            <w:vAlign w:val="center"/>
          </w:tcPr>
          <w:p>
            <w:pPr>
              <w:pStyle w:val="Tabela"/>
              <w:jc w:val="left"/>
            </w:pPr>
            <w:r>
              <w:t xml:space="preserve">94,4</w:t>
            </w:r>
          </w:p>
        </w:tc>
        <w:tc>
          <w:tcPr>
            <w:tcMar>
              <w:top w:type="dxa" w:w="60"/>
              <w:left w:type="dxa" w:w="100"/>
              <w:bottom w:type="dxa" w:w="60"/>
              <w:right w:type="dxa" w:w="100"/>
            </w:tcMar>
            <w:vAlign w:val="center"/>
          </w:tcPr>
          <w:p>
            <w:pPr>
              <w:pStyle w:val="Tabela"/>
              <w:jc w:val="left"/>
            </w:pPr>
            <w:r>
              <w:t xml:space="preserve">92,6</w:t>
            </w:r>
          </w:p>
        </w:tc>
      </w:tr>
      <w:tr>
        <w:tc>
          <w:tcPr>
            <w:tcMar>
              <w:top w:type="dxa" w:w="60"/>
              <w:left w:type="dxa" w:w="100"/>
              <w:bottom w:type="dxa" w:w="60"/>
              <w:right w:type="dxa" w:w="100"/>
            </w:tcMar>
            <w:vAlign w:val="center"/>
          </w:tcPr>
          <w:p>
            <w:pPr>
              <w:pStyle w:val="Tabela"/>
              <w:jc w:val="left"/>
            </w:pPr>
            <w:r>
              <w:t xml:space="preserve">Energia elétrica</w:t>
            </w:r>
          </w:p>
        </w:tc>
        <w:tc>
          <w:tcPr>
            <w:tcMar>
              <w:top w:type="dxa" w:w="60"/>
              <w:left w:type="dxa" w:w="100"/>
              <w:bottom w:type="dxa" w:w="60"/>
              <w:right w:type="dxa" w:w="100"/>
            </w:tcMar>
            <w:vAlign w:val="center"/>
          </w:tcPr>
          <w:p>
            <w:pPr>
              <w:pStyle w:val="Tabela"/>
              <w:jc w:val="left"/>
            </w:pPr>
            <w:r>
              <w:t xml:space="preserve">76,3</w:t>
            </w:r>
          </w:p>
        </w:tc>
        <w:tc>
          <w:tcPr>
            <w:tcMar>
              <w:top w:type="dxa" w:w="60"/>
              <w:left w:type="dxa" w:w="100"/>
              <w:bottom w:type="dxa" w:w="60"/>
              <w:right w:type="dxa" w:w="100"/>
            </w:tcMar>
            <w:vAlign w:val="center"/>
          </w:tcPr>
          <w:p>
            <w:pPr>
              <w:pStyle w:val="Tabela"/>
              <w:jc w:val="left"/>
            </w:pPr>
            <w:r>
              <w:t xml:space="preserve">58,0</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98,4</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Internet no domicílio</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12,5</w:t>
            </w:r>
          </w:p>
        </w:tc>
        <w:tc>
          <w:tcPr>
            <w:tcMar>
              <w:top w:type="dxa" w:w="60"/>
              <w:left w:type="dxa" w:w="100"/>
              <w:bottom w:type="dxa" w:w="60"/>
              <w:right w:type="dxa" w:w="100"/>
            </w:tcMar>
            <w:vAlign w:val="center"/>
          </w:tcPr>
          <w:p>
            <w:pPr>
              <w:pStyle w:val="Tabela"/>
              <w:jc w:val="left"/>
            </w:pPr>
            <w:r>
              <w:t xml:space="preserve">9,5</w:t>
            </w:r>
          </w:p>
        </w:tc>
        <w:tc>
          <w:tcPr>
            <w:tcMar>
              <w:top w:type="dxa" w:w="60"/>
              <w:left w:type="dxa" w:w="100"/>
              <w:bottom w:type="dxa" w:w="60"/>
              <w:right w:type="dxa" w:w="100"/>
            </w:tcMar>
            <w:vAlign w:val="center"/>
          </w:tcPr>
          <w:p>
            <w:pPr>
              <w:pStyle w:val="Tabela"/>
              <w:jc w:val="left"/>
            </w:pPr>
            <w:r>
              <w:t xml:space="preserve">94,5</w:t>
            </w:r>
          </w:p>
        </w:tc>
        <w:tc>
          <w:tcPr>
            <w:tcMar>
              <w:top w:type="dxa" w:w="60"/>
              <w:left w:type="dxa" w:w="100"/>
              <w:bottom w:type="dxa" w:w="60"/>
              <w:right w:type="dxa" w:w="100"/>
            </w:tcMar>
            <w:vAlign w:val="center"/>
          </w:tcPr>
          <w:p>
            <w:pPr>
              <w:pStyle w:val="Tabela"/>
              <w:jc w:val="left"/>
            </w:pPr>
            <w:r>
              <w:t xml:space="preserve">92,7</w:t>
            </w:r>
          </w:p>
        </w:tc>
      </w:tr>
      <w:tr>
        <w:tc>
          <w:tcPr>
            <w:tcMar>
              <w:top w:type="dxa" w:w="60"/>
              <w:left w:type="dxa" w:w="100"/>
              <w:bottom w:type="dxa" w:w="60"/>
              <w:right w:type="dxa" w:w="100"/>
            </w:tcMar>
            <w:vAlign w:val="center"/>
          </w:tcPr>
          <w:p>
            <w:pPr>
              <w:pStyle w:val="Tabela"/>
              <w:jc w:val="left"/>
            </w:pPr>
            <w:r>
              <w:t xml:space="preserve">Adequado (água + esgoto + lixo)</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11,6*</w:t>
            </w:r>
          </w:p>
        </w:tc>
        <w:tc>
          <w:tcPr>
            <w:tcMar>
              <w:top w:type="dxa" w:w="60"/>
              <w:left w:type="dxa" w:w="100"/>
              <w:bottom w:type="dxa" w:w="60"/>
              <w:right w:type="dxa" w:w="100"/>
            </w:tcMar>
            <w:vAlign w:val="center"/>
          </w:tcPr>
          <w:p>
            <w:pPr>
              <w:pStyle w:val="Tabela"/>
              <w:jc w:val="left"/>
            </w:pPr>
            <w:r>
              <w:t xml:space="preserve">9,2*</w:t>
            </w:r>
          </w:p>
        </w:tc>
        <w:tc>
          <w:tcPr>
            <w:tcMar>
              <w:top w:type="dxa" w:w="60"/>
              <w:left w:type="dxa" w:w="100"/>
              <w:bottom w:type="dxa" w:w="60"/>
              <w:right w:type="dxa" w:w="100"/>
            </w:tcMar>
            <w:vAlign w:val="center"/>
          </w:tcPr>
          <w:p>
            <w:pPr>
              <w:pStyle w:val="Tabela"/>
              <w:jc w:val="left"/>
            </w:pPr>
            <w:r>
              <w:t xml:space="preserve">56,6</w:t>
            </w:r>
          </w:p>
        </w:tc>
        <w:tc>
          <w:tcPr>
            <w:tcMar>
              <w:top w:type="dxa" w:w="60"/>
              <w:left w:type="dxa" w:w="100"/>
              <w:bottom w:type="dxa" w:w="60"/>
              <w:right w:type="dxa" w:w="100"/>
            </w:tcMar>
            <w:vAlign w:val="center"/>
          </w:tcPr>
          <w:p>
            <w:pPr>
              <w:pStyle w:val="Tabela"/>
              <w:jc w:val="left"/>
            </w:pPr>
            <w:r>
              <w:t xml:space="preserve">55,8</w:t>
            </w:r>
          </w:p>
        </w:tc>
      </w:tr>
      <w:tr>
        <w:tc>
          <w:tcPr>
            <w:tcMar>
              <w:top w:type="dxa" w:w="60"/>
              <w:left w:type="dxa" w:w="100"/>
              <w:bottom w:type="dxa" w:w="60"/>
              <w:right w:type="dxa" w:w="100"/>
            </w:tcMar>
            <w:vAlign w:val="center"/>
          </w:tcPr>
          <w:p>
            <w:pPr>
              <w:pStyle w:val="Tabela"/>
              <w:jc w:val="left"/>
            </w:pPr>
            <w:r>
              <w:t xml:space="preserve">Alugado</w:t>
            </w:r>
          </w:p>
        </w:tc>
        <w:tc>
          <w:tcPr>
            <w:tcMar>
              <w:top w:type="dxa" w:w="60"/>
              <w:left w:type="dxa" w:w="100"/>
              <w:bottom w:type="dxa" w:w="60"/>
              <w:right w:type="dxa" w:w="100"/>
            </w:tcMar>
            <w:vAlign w:val="center"/>
          </w:tcPr>
          <w:p>
            <w:pPr>
              <w:pStyle w:val="Tabela"/>
              <w:jc w:val="left"/>
            </w:pPr>
            <w:r>
              <w:t xml:space="preserve">9,6**</w:t>
            </w:r>
          </w:p>
        </w:tc>
        <w:tc>
          <w:tcPr>
            <w:tcMar>
              <w:top w:type="dxa" w:w="60"/>
              <w:left w:type="dxa" w:w="100"/>
              <w:bottom w:type="dxa" w:w="60"/>
              <w:right w:type="dxa" w:w="100"/>
            </w:tcMar>
            <w:vAlign w:val="center"/>
          </w:tcPr>
          <w:p>
            <w:pPr>
              <w:pStyle w:val="Tabela"/>
              <w:jc w:val="left"/>
            </w:pPr>
            <w:r>
              <w:t xml:space="preserve">2,3**</w:t>
            </w:r>
          </w:p>
        </w:tc>
        <w:tc>
          <w:tcPr>
            <w:tcMar>
              <w:top w:type="dxa" w:w="60"/>
              <w:left w:type="dxa" w:w="100"/>
              <w:bottom w:type="dxa" w:w="60"/>
              <w:right w:type="dxa" w:w="100"/>
            </w:tcMar>
            <w:vAlign w:val="center"/>
          </w:tcPr>
          <w:p>
            <w:pPr>
              <w:pStyle w:val="Tabela"/>
              <w:jc w:val="left"/>
            </w:pPr>
            <w:r>
              <w:t xml:space="preserve">38,3</w:t>
            </w:r>
          </w:p>
        </w:tc>
        <w:tc>
          <w:tcPr>
            <w:tcMar>
              <w:top w:type="dxa" w:w="60"/>
              <w:left w:type="dxa" w:w="100"/>
              <w:bottom w:type="dxa" w:w="60"/>
              <w:right w:type="dxa" w:w="100"/>
            </w:tcMar>
            <w:vAlign w:val="center"/>
          </w:tcPr>
          <w:p>
            <w:pPr>
              <w:pStyle w:val="Tabela"/>
              <w:jc w:val="left"/>
            </w:pPr>
            <w:r>
              <w:t xml:space="preserve">16,5</w:t>
            </w:r>
          </w:p>
        </w:tc>
        <w:tc>
          <w:tcPr>
            <w:tcMar>
              <w:top w:type="dxa" w:w="60"/>
              <w:left w:type="dxa" w:w="100"/>
              <w:bottom w:type="dxa" w:w="60"/>
              <w:right w:type="dxa" w:w="100"/>
            </w:tcMar>
            <w:vAlign w:val="center"/>
          </w:tcPr>
          <w:p>
            <w:pPr>
              <w:pStyle w:val="Tabela"/>
              <w:jc w:val="left"/>
            </w:pPr>
            <w:r>
              <w:t xml:space="preserve">51,1</w:t>
            </w:r>
          </w:p>
        </w:tc>
        <w:tc>
          <w:tcPr>
            <w:tcMar>
              <w:top w:type="dxa" w:w="60"/>
              <w:left w:type="dxa" w:w="100"/>
              <w:bottom w:type="dxa" w:w="60"/>
              <w:right w:type="dxa" w:w="100"/>
            </w:tcMar>
            <w:vAlign w:val="center"/>
          </w:tcPr>
          <w:p>
            <w:pPr>
              <w:pStyle w:val="Tabela"/>
              <w:jc w:val="left"/>
            </w:pPr>
            <w:r>
              <w:t xml:space="preserve">20,4</w:t>
            </w:r>
          </w:p>
        </w:tc>
      </w:tr>
      <w:tr>
        <w:tc>
          <w:tcPr>
            <w:tcMar>
              <w:top w:type="dxa" w:w="60"/>
              <w:left w:type="dxa" w:w="100"/>
              <w:bottom w:type="dxa" w:w="60"/>
              <w:right w:type="dxa" w:w="100"/>
            </w:tcMar>
            <w:vAlign w:val="center"/>
          </w:tcPr>
          <w:p>
            <w:pPr>
              <w:pStyle w:val="Tabela"/>
              <w:jc w:val="left"/>
            </w:pPr>
            <w:r>
              <w:t xml:space="preserve">Cedido pelo empregador</w:t>
            </w:r>
          </w:p>
        </w:tc>
        <w:tc>
          <w:tcPr>
            <w:tcMar>
              <w:top w:type="dxa" w:w="60"/>
              <w:left w:type="dxa" w:w="100"/>
              <w:bottom w:type="dxa" w:w="60"/>
              <w:right w:type="dxa" w:w="100"/>
            </w:tcMar>
            <w:vAlign w:val="center"/>
          </w:tcPr>
          <w:p>
            <w:pPr>
              <w:pStyle w:val="Tabela"/>
              <w:jc w:val="left"/>
            </w:pPr>
            <w:r>
              <w:t xml:space="preserve">16,3*</w:t>
            </w:r>
          </w:p>
        </w:tc>
        <w:tc>
          <w:tcPr>
            <w:tcMar>
              <w:top w:type="dxa" w:w="60"/>
              <w:left w:type="dxa" w:w="100"/>
              <w:bottom w:type="dxa" w:w="60"/>
              <w:right w:type="dxa" w:w="100"/>
            </w:tcMar>
            <w:vAlign w:val="center"/>
          </w:tcPr>
          <w:p>
            <w:pPr>
              <w:pStyle w:val="Tabela"/>
              <w:jc w:val="left"/>
            </w:pPr>
            <w:r>
              <w:t xml:space="preserve">4,8*</w:t>
            </w:r>
          </w:p>
        </w:tc>
        <w:tc>
          <w:tcPr>
            <w:tcMar>
              <w:top w:type="dxa" w:w="60"/>
              <w:left w:type="dxa" w:w="100"/>
              <w:bottom w:type="dxa" w:w="60"/>
              <w:right w:type="dxa" w:w="100"/>
            </w:tcMar>
            <w:vAlign w:val="center"/>
          </w:tcPr>
          <w:p>
            <w:pPr>
              <w:pStyle w:val="Tabela"/>
              <w:jc w:val="left"/>
            </w:pPr>
            <w:r>
              <w:t xml:space="preserve">3,6**</w:t>
            </w:r>
          </w:p>
        </w:tc>
        <w:tc>
          <w:tcPr>
            <w:tcMar>
              <w:top w:type="dxa" w:w="60"/>
              <w:left w:type="dxa" w:w="100"/>
              <w:bottom w:type="dxa" w:w="60"/>
              <w:right w:type="dxa" w:w="100"/>
            </w:tcMar>
            <w:vAlign w:val="center"/>
          </w:tcPr>
          <w:p>
            <w:pPr>
              <w:pStyle w:val="Tabela"/>
              <w:jc w:val="left"/>
            </w:pPr>
            <w:r>
              <w:t xml:space="preserve">2,7**</w:t>
            </w:r>
          </w:p>
        </w:tc>
        <w:tc>
          <w:tcPr>
            <w:tcMar>
              <w:top w:type="dxa" w:w="60"/>
              <w:left w:type="dxa" w:w="100"/>
              <w:bottom w:type="dxa" w:w="60"/>
              <w:right w:type="dxa" w:w="100"/>
            </w:tcMar>
            <w:vAlign w:val="center"/>
          </w:tcPr>
          <w:p>
            <w:pPr>
              <w:pStyle w:val="Tabela"/>
              <w:jc w:val="left"/>
            </w:pPr>
            <w:r>
              <w:t xml:space="preserve">4,2*</w:t>
            </w:r>
          </w:p>
        </w:tc>
        <w:tc>
          <w:tcPr>
            <w:tcMar>
              <w:top w:type="dxa" w:w="60"/>
              <w:left w:type="dxa" w:w="100"/>
              <w:bottom w:type="dxa" w:w="60"/>
              <w:right w:type="dxa" w:w="100"/>
            </w:tcMar>
            <w:vAlign w:val="center"/>
          </w:tcPr>
          <w:p>
            <w:pPr>
              <w:pStyle w:val="Tabela"/>
              <w:jc w:val="left"/>
            </w:pPr>
            <w:r>
              <w:t xml:space="preserve">3,4</w:t>
            </w:r>
          </w:p>
        </w:tc>
      </w:tr>
      <w:tr>
        <w:tc>
          <w:tcPr>
            <w:tcMar>
              <w:top w:type="dxa" w:w="60"/>
              <w:left w:type="dxa" w:w="100"/>
              <w:bottom w:type="dxa" w:w="60"/>
              <w:right w:type="dxa" w:w="100"/>
            </w:tcMar>
            <w:vAlign w:val="center"/>
          </w:tcPr>
          <w:p>
            <w:pPr>
              <w:pStyle w:val="Tabela"/>
              <w:jc w:val="left"/>
            </w:pPr>
            <w:r>
              <w:t xml:space="preserve">Mais de 3 moradores por dormitório</w:t>
            </w:r>
          </w:p>
        </w:tc>
        <w:tc>
          <w:tcPr>
            <w:tcMar>
              <w:top w:type="dxa" w:w="60"/>
              <w:left w:type="dxa" w:w="100"/>
              <w:bottom w:type="dxa" w:w="60"/>
              <w:right w:type="dxa" w:w="100"/>
            </w:tcMar>
            <w:vAlign w:val="center"/>
          </w:tcPr>
          <w:p>
            <w:pPr>
              <w:pStyle w:val="Tabela"/>
              <w:jc w:val="left"/>
            </w:pPr>
            <w:r>
              <w:t xml:space="preserve">8,2**</w:t>
            </w:r>
          </w:p>
        </w:tc>
        <w:tc>
          <w:tcPr>
            <w:tcMar>
              <w:top w:type="dxa" w:w="60"/>
              <w:left w:type="dxa" w:w="100"/>
              <w:bottom w:type="dxa" w:w="60"/>
              <w:right w:type="dxa" w:w="100"/>
            </w:tcMar>
            <w:vAlign w:val="center"/>
          </w:tcPr>
          <w:p>
            <w:pPr>
              <w:pStyle w:val="Tabela"/>
              <w:jc w:val="left"/>
            </w:pPr>
            <w:r>
              <w:t xml:space="preserve">10,7*</w:t>
            </w:r>
          </w:p>
        </w:tc>
        <w:tc>
          <w:tcPr>
            <w:tcMar>
              <w:top w:type="dxa" w:w="60"/>
              <w:left w:type="dxa" w:w="100"/>
              <w:bottom w:type="dxa" w:w="60"/>
              <w:right w:type="dxa" w:w="100"/>
            </w:tcMar>
            <w:vAlign w:val="center"/>
          </w:tcPr>
          <w:p>
            <w:pPr>
              <w:pStyle w:val="Tabela"/>
              <w:jc w:val="left"/>
            </w:pPr>
            <w:r>
              <w:t xml:space="preserve">11,5</w:t>
            </w:r>
          </w:p>
        </w:tc>
        <w:tc>
          <w:tcPr>
            <w:tcMar>
              <w:top w:type="dxa" w:w="60"/>
              <w:left w:type="dxa" w:w="100"/>
              <w:bottom w:type="dxa" w:w="60"/>
              <w:right w:type="dxa" w:w="100"/>
            </w:tcMar>
            <w:vAlign w:val="center"/>
          </w:tcPr>
          <w:p>
            <w:pPr>
              <w:pStyle w:val="Tabela"/>
              <w:jc w:val="left"/>
            </w:pPr>
            <w:r>
              <w:t xml:space="preserve">5,6*</w:t>
            </w:r>
          </w:p>
        </w:tc>
        <w:tc>
          <w:tcPr>
            <w:tcMar>
              <w:top w:type="dxa" w:w="60"/>
              <w:left w:type="dxa" w:w="100"/>
              <w:bottom w:type="dxa" w:w="60"/>
              <w:right w:type="dxa" w:w="100"/>
            </w:tcMar>
            <w:vAlign w:val="center"/>
          </w:tcPr>
          <w:p>
            <w:pPr>
              <w:pStyle w:val="Tabela"/>
              <w:jc w:val="left"/>
            </w:pPr>
            <w:r>
              <w:t xml:space="preserve">8,0</w:t>
            </w:r>
          </w:p>
        </w:tc>
        <w:tc>
          <w:tcPr>
            <w:tcMar>
              <w:top w:type="dxa" w:w="60"/>
              <w:left w:type="dxa" w:w="100"/>
              <w:bottom w:type="dxa" w:w="60"/>
              <w:right w:type="dxa" w:w="100"/>
            </w:tcMar>
            <w:vAlign w:val="center"/>
          </w:tcPr>
          <w:p>
            <w:pPr>
              <w:pStyle w:val="Tabela"/>
              <w:jc w:val="left"/>
            </w:pPr>
            <w:r>
              <w:t xml:space="preserve">3,8</w:t>
            </w:r>
          </w:p>
        </w:tc>
      </w:tr>
      <w:tr>
        <w:tc>
          <w:tcPr>
            <w:tcMar>
              <w:top w:type="dxa" w:w="60"/>
              <w:left w:type="dxa" w:w="100"/>
              <w:bottom w:type="dxa" w:w="60"/>
              <w:right w:type="dxa" w:w="100"/>
            </w:tcMar>
            <w:vAlign w:val="center"/>
          </w:tcPr>
          <w:p>
            <w:pPr>
              <w:pStyle w:val="Tabela"/>
              <w:jc w:val="left"/>
            </w:pPr>
            <w:r>
              <w:t xml:space="preserve">Apartamento</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4,0*</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Renda domiciliar per capita média (R$ jul/2022)</w:t>
            </w:r>
          </w:p>
        </w:tc>
        <w:tc>
          <w:tcPr>
            <w:tcMar>
              <w:top w:type="dxa" w:w="60"/>
              <w:left w:type="dxa" w:w="100"/>
              <w:bottom w:type="dxa" w:w="60"/>
              <w:right w:type="dxa" w:w="100"/>
            </w:tcMar>
            <w:vAlign w:val="center"/>
          </w:tcPr>
          <w:p>
            <w:pPr>
              <w:pStyle w:val="Tabela"/>
              <w:jc w:val="left"/>
            </w:pPr>
            <w:r>
              <w:t xml:space="preserve">667</w:t>
            </w:r>
          </w:p>
        </w:tc>
        <w:tc>
          <w:tcPr>
            <w:tcMar>
              <w:top w:type="dxa" w:w="60"/>
              <w:left w:type="dxa" w:w="100"/>
              <w:bottom w:type="dxa" w:w="60"/>
              <w:right w:type="dxa" w:w="100"/>
            </w:tcMar>
            <w:vAlign w:val="center"/>
          </w:tcPr>
          <w:p>
            <w:pPr>
              <w:pStyle w:val="Tabela"/>
              <w:jc w:val="left"/>
            </w:pPr>
            <w:r>
              <w:t xml:space="preserve">861</w:t>
            </w:r>
          </w:p>
        </w:tc>
        <w:tc>
          <w:tcPr>
            <w:tcMar>
              <w:top w:type="dxa" w:w="60"/>
              <w:left w:type="dxa" w:w="100"/>
              <w:bottom w:type="dxa" w:w="60"/>
              <w:right w:type="dxa" w:w="100"/>
            </w:tcMar>
            <w:vAlign w:val="center"/>
          </w:tcPr>
          <w:p>
            <w:pPr>
              <w:pStyle w:val="Tabela"/>
              <w:jc w:val="left"/>
            </w:pPr>
            <w:r>
              <w:t xml:space="preserve">1.259</w:t>
            </w:r>
          </w:p>
        </w:tc>
        <w:tc>
          <w:tcPr>
            <w:tcMar>
              <w:top w:type="dxa" w:w="60"/>
              <w:left w:type="dxa" w:w="100"/>
              <w:bottom w:type="dxa" w:w="60"/>
              <w:right w:type="dxa" w:w="100"/>
            </w:tcMar>
            <w:vAlign w:val="center"/>
          </w:tcPr>
          <w:p>
            <w:pPr>
              <w:pStyle w:val="Tabela"/>
              <w:jc w:val="left"/>
            </w:pPr>
            <w:r>
              <w:t xml:space="preserve">1.275</w:t>
            </w:r>
          </w:p>
        </w:tc>
        <w:tc>
          <w:tcPr>
            <w:tcMar>
              <w:top w:type="dxa" w:w="60"/>
              <w:left w:type="dxa" w:w="100"/>
              <w:bottom w:type="dxa" w:w="60"/>
              <w:right w:type="dxa" w:w="100"/>
            </w:tcMar>
            <w:vAlign w:val="center"/>
          </w:tcPr>
          <w:p>
            <w:pPr>
              <w:pStyle w:val="Tabela"/>
              <w:jc w:val="left"/>
            </w:pPr>
            <w:r>
              <w:t xml:space="preserve">1.608</w:t>
            </w:r>
          </w:p>
        </w:tc>
        <w:tc>
          <w:tcPr>
            <w:tcMar>
              <w:top w:type="dxa" w:w="60"/>
              <w:left w:type="dxa" w:w="100"/>
              <w:bottom w:type="dxa" w:w="60"/>
              <w:right w:type="dxa" w:w="100"/>
            </w:tcMar>
            <w:vAlign w:val="center"/>
          </w:tcPr>
          <w:p>
            <w:pPr>
              <w:pStyle w:val="Tabela"/>
              <w:jc w:val="left"/>
            </w:pPr>
            <w:r>
              <w:t xml:space="preserve">1.585</w:t>
            </w:r>
          </w:p>
        </w:tc>
      </w:tr>
      <w:tr>
        <w:tc>
          <w:tcPr>
            <w:tcMar>
              <w:top w:type="dxa" w:w="60"/>
              <w:left w:type="dxa" w:w="100"/>
              <w:bottom w:type="dxa" w:w="60"/>
              <w:right w:type="dxa" w:w="100"/>
            </w:tcMar>
            <w:vAlign w:val="center"/>
          </w:tcPr>
          <w:p>
            <w:pPr>
              <w:pStyle w:val="Tabela"/>
              <w:jc w:val="left"/>
            </w:pPr>
            <w:r>
              <w:t xml:space="preserve">Moradores por domicílio</w:t>
            </w:r>
          </w:p>
        </w:tc>
        <w:tc>
          <w:tcPr>
            <w:tcMar>
              <w:top w:type="dxa" w:w="60"/>
              <w:left w:type="dxa" w:w="100"/>
              <w:bottom w:type="dxa" w:w="60"/>
              <w:right w:type="dxa" w:w="100"/>
            </w:tcMar>
            <w:vAlign w:val="center"/>
          </w:tcPr>
          <w:p>
            <w:pPr>
              <w:pStyle w:val="Tabela"/>
              <w:jc w:val="left"/>
            </w:pPr>
            <w:r>
              <w:t xml:space="preserve">4,38</w:t>
            </w:r>
          </w:p>
        </w:tc>
        <w:tc>
          <w:tcPr>
            <w:tcMar>
              <w:top w:type="dxa" w:w="60"/>
              <w:left w:type="dxa" w:w="100"/>
              <w:bottom w:type="dxa" w:w="60"/>
              <w:right w:type="dxa" w:w="100"/>
            </w:tcMar>
            <w:vAlign w:val="center"/>
          </w:tcPr>
          <w:p>
            <w:pPr>
              <w:pStyle w:val="Tabela"/>
              <w:jc w:val="left"/>
            </w:pPr>
            <w:r>
              <w:t xml:space="preserve">4,28</w:t>
            </w:r>
          </w:p>
        </w:tc>
        <w:tc>
          <w:tcPr>
            <w:tcMar>
              <w:top w:type="dxa" w:w="60"/>
              <w:left w:type="dxa" w:w="100"/>
              <w:bottom w:type="dxa" w:w="60"/>
              <w:right w:type="dxa" w:w="100"/>
            </w:tcMar>
            <w:vAlign w:val="center"/>
          </w:tcPr>
          <w:p>
            <w:pPr>
              <w:pStyle w:val="Tabela"/>
              <w:jc w:val="left"/>
            </w:pPr>
            <w:r>
              <w:t xml:space="preserve">3,62</w:t>
            </w:r>
          </w:p>
        </w:tc>
        <w:tc>
          <w:tcPr>
            <w:tcMar>
              <w:top w:type="dxa" w:w="60"/>
              <w:left w:type="dxa" w:w="100"/>
              <w:bottom w:type="dxa" w:w="60"/>
              <w:right w:type="dxa" w:w="100"/>
            </w:tcMar>
            <w:vAlign w:val="center"/>
          </w:tcPr>
          <w:p>
            <w:pPr>
              <w:pStyle w:val="Tabela"/>
              <w:jc w:val="left"/>
            </w:pPr>
            <w:r>
              <w:t xml:space="preserve">3,53</w:t>
            </w:r>
          </w:p>
        </w:tc>
        <w:tc>
          <w:tcPr>
            <w:tcMar>
              <w:top w:type="dxa" w:w="60"/>
              <w:left w:type="dxa" w:w="100"/>
              <w:bottom w:type="dxa" w:w="60"/>
              <w:right w:type="dxa" w:w="100"/>
            </w:tcMar>
            <w:vAlign w:val="center"/>
          </w:tcPr>
          <w:p>
            <w:pPr>
              <w:pStyle w:val="Tabela"/>
              <w:jc w:val="left"/>
            </w:pPr>
            <w:r>
              <w:t xml:space="preserve">3,32</w:t>
            </w:r>
          </w:p>
        </w:tc>
        <w:tc>
          <w:tcPr>
            <w:tcMar>
              <w:top w:type="dxa" w:w="60"/>
              <w:left w:type="dxa" w:w="100"/>
              <w:bottom w:type="dxa" w:w="60"/>
              <w:right w:type="dxa" w:w="100"/>
            </w:tcMar>
            <w:vAlign w:val="center"/>
          </w:tcPr>
          <w:p>
            <w:pPr>
              <w:pStyle w:val="Tabela"/>
              <w:jc w:val="left"/>
            </w:pPr>
            <w:r>
              <w:t xml:space="preserve">3,05</w:t>
            </w:r>
          </w:p>
        </w:tc>
      </w:tr>
      <w:tr>
        <w:tc>
          <w:tcPr>
            <w:tcMar>
              <w:top w:type="dxa" w:w="60"/>
              <w:left w:type="dxa" w:w="100"/>
              <w:bottom w:type="dxa" w:w="60"/>
              <w:right w:type="dxa" w:w="100"/>
            </w:tcMar>
            <w:vAlign w:val="center"/>
          </w:tcPr>
          <w:p>
            <w:pPr>
              <w:pStyle w:val="Tabela"/>
              <w:jc w:val="left"/>
            </w:pPr>
            <w:r>
              <w:t xml:space="preserve">Moradores por dormitório</w:t>
            </w:r>
          </w:p>
        </w:tc>
        <w:tc>
          <w:tcPr>
            <w:tcMar>
              <w:top w:type="dxa" w:w="60"/>
              <w:left w:type="dxa" w:w="100"/>
              <w:bottom w:type="dxa" w:w="60"/>
              <w:right w:type="dxa" w:w="100"/>
            </w:tcMar>
            <w:vAlign w:val="center"/>
          </w:tcPr>
          <w:p>
            <w:pPr>
              <w:pStyle w:val="Tabela"/>
              <w:jc w:val="left"/>
            </w:pPr>
            <w:r>
              <w:t xml:space="preserve">2,20</w:t>
            </w:r>
          </w:p>
        </w:tc>
        <w:tc>
          <w:tcPr>
            <w:tcMar>
              <w:top w:type="dxa" w:w="60"/>
              <w:left w:type="dxa" w:w="100"/>
              <w:bottom w:type="dxa" w:w="60"/>
              <w:right w:type="dxa" w:w="100"/>
            </w:tcMar>
            <w:vAlign w:val="center"/>
          </w:tcPr>
          <w:p>
            <w:pPr>
              <w:pStyle w:val="Tabela"/>
              <w:jc w:val="left"/>
            </w:pPr>
            <w:r>
              <w:t xml:space="preserve">2,12</w:t>
            </w:r>
          </w:p>
        </w:tc>
        <w:tc>
          <w:tcPr>
            <w:tcMar>
              <w:top w:type="dxa" w:w="60"/>
              <w:left w:type="dxa" w:w="100"/>
              <w:bottom w:type="dxa" w:w="60"/>
              <w:right w:type="dxa" w:w="100"/>
            </w:tcMar>
            <w:vAlign w:val="center"/>
          </w:tcPr>
          <w:p>
            <w:pPr>
              <w:pStyle w:val="Tabela"/>
              <w:jc w:val="left"/>
            </w:pPr>
            <w:r>
              <w:t xml:space="preserve">2,07</w:t>
            </w:r>
          </w:p>
        </w:tc>
        <w:tc>
          <w:tcPr>
            <w:tcMar>
              <w:top w:type="dxa" w:w="60"/>
              <w:left w:type="dxa" w:w="100"/>
              <w:bottom w:type="dxa" w:w="60"/>
              <w:right w:type="dxa" w:w="100"/>
            </w:tcMar>
            <w:vAlign w:val="center"/>
          </w:tcPr>
          <w:p>
            <w:pPr>
              <w:pStyle w:val="Tabela"/>
              <w:jc w:val="left"/>
            </w:pPr>
            <w:r>
              <w:t xml:space="preserve">1,83</w:t>
            </w:r>
          </w:p>
        </w:tc>
        <w:tc>
          <w:tcPr>
            <w:tcMar>
              <w:top w:type="dxa" w:w="60"/>
              <w:left w:type="dxa" w:w="100"/>
              <w:bottom w:type="dxa" w:w="60"/>
              <w:right w:type="dxa" w:w="100"/>
            </w:tcMar>
            <w:vAlign w:val="center"/>
          </w:tcPr>
          <w:p>
            <w:pPr>
              <w:pStyle w:val="Tabela"/>
              <w:jc w:val="left"/>
            </w:pPr>
            <w:r>
              <w:t xml:space="preserve">2,01</w:t>
            </w:r>
          </w:p>
        </w:tc>
        <w:tc>
          <w:tcPr>
            <w:tcMar>
              <w:top w:type="dxa" w:w="60"/>
              <w:left w:type="dxa" w:w="100"/>
              <w:bottom w:type="dxa" w:w="60"/>
              <w:right w:type="dxa" w:w="100"/>
            </w:tcMar>
            <w:vAlign w:val="center"/>
          </w:tcPr>
          <w:p>
            <w:pPr>
              <w:pStyle w:val="Tabela"/>
              <w:jc w:val="left"/>
            </w:pPr>
            <w:r>
              <w:t xml:space="preserve">1,76</w:t>
            </w:r>
          </w:p>
        </w:tc>
      </w:tr>
    </w:tbl>
    <w:p>
      <w:pPr>
        <w:spacing w:after="120"/>
      </w:pPr>
    </w:p>
    <w:p>
      <w:pPr>
        <w:pStyle w:val="Corpo"/>
      </w:pPr>
      <w:r>
        <w:t xml:space="preserve">Fonte: Elaboração própria a partir dos microdados da amostra dos Censos 2000, 2010 e 2022 (IBGE).</w:t>
      </w:r>
    </w:p>
    <w:p>
      <w:pPr>
        <w:pStyle w:val="Corpo"/>
      </w:pPr>
      <w:r>
        <w:t xml:space="preserve">Nota: Valores em % dos domicílios, salvo indicação. 'c/ migr.' = domicílio com ao menos um morador que residia em outro município cinco anos antes; 's/ migr.' = demais domicílios (os totais estão em data/processed/analise/condicoes_domiciliares). Energia não é investigada em 2022; internet só a partir de 2010. </w:t>
      </w:r>
      <w:r>
        <w:rPr>
          <w:i/>
          <w:iCs/>
        </w:rPr>
        <w:t xml:space="preserve"> CV 15–30 %; </w:t>
      </w:r>
      <w:r>
        <w:t xml:space="preserve">* CV &gt; 30 %. '—' = célula suprimida.</w:t>
      </w:r>
    </w:p>
    <w:p>
      <w:pPr>
        <w:spacing w:after="40" w:before="200"/>
        <w:jc w:val="center"/>
      </w:pPr>
      <w:r>
        <w:drawing>
          <wp:inline distT="0" distB="0" distL="0" distR="0">
            <wp:extent cx="5334000" cy="28987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98710"/>
                    </a:xfrm>
                    <a:prstGeom prst="rect">
                      <a:avLst/>
                    </a:prstGeom>
                  </pic:spPr>
                </pic:pic>
              </a:graphicData>
            </a:graphic>
          </wp:inline>
        </w:drawing>
      </w:r>
    </w:p>
    <w:p>
      <w:pPr>
        <w:pStyle w:val="Legenda"/>
        <w:jc w:val="center"/>
      </w:pPr>
      <w:r>
        <w:t xml:space="preserve">Figura 10 — Condições dos domicílios particulares permanentes de Canaã dos Carajás, 2000–2022, segundo a presença de morador que residia em outro município cinco anos antes (barras: IC 95 %; células suprimidas omitidas). Fonte: Elaboração própria a partir dos microdados da amostra dos Censos Demográficos (IBGE); estimativas aprovadas pelo controle de revelação.</w:t>
      </w:r>
    </w:p>
    <w:p>
      <w:pPr>
        <w:pStyle w:val="Titulo2"/>
      </w:pPr>
      <w:r>
        <w:t xml:space="preserve">5.8 Desigualdade intraurbana</w:t>
      </w:r>
    </w:p>
    <w:p>
      <w:pPr>
        <w:pStyle w:val="Corpo"/>
      </w:pPr>
      <w:r>
        <w:t xml:space="preserve">A Tabela 8 e a Figura 11 descem à escala do setor censitário da sede (24 setores em 2010, 88 em 2022), com cada setor situado pela distância ao núcleo de 1990 e pelo ano mediano em que seus pixels se tornaram construídos. Em 2010 a rede de esgoto era um privilégio do centro: a cobertura por setor tinha correlação de −0,82 com a distância ao núcleo e de −0,70 com a idade do tecido, com o decil inferior dos setores em 1,7 % e o superior em 64 %. Em 2022 a cobertura média ponderada de esgoto por rede subiu de 27 % para 56 % e o gradiente centro-periferia quase desapareceu (correlação −0,13), mas a dispersão continua alta: um décimo dos setores tem menos de 24 % de cobertura e outro décimo mais de 80 %. A água da rede geral, cuja cobertura média foi de 31 % para 64 %, inverteu o sinal do gradiente: em 2022 os setores mais distantes do núcleo e mais novos são os mais atendidos, porque os loteamentos recentes nascem com rede. A densidade líquida (habitantes por hectare construído) é o indicador mais desigual, com coeficiente de variação de 71 % entre setores em 2022 e correlação negativa com a distância e com a idade do tecido: os setores centrais e antigos são densos, os periféricos e novos, rarefeitos. A proporção de pretos e pardos cresce com a distância ao núcleo (correlação 0,34).</w:t>
      </w:r>
    </w:p>
    <w:p>
      <w:pPr>
        <w:pStyle w:val="Corpo"/>
      </w:pPr>
      <w:r>
        <w:rPr>
          <w:b/>
          <w:bCs/>
        </w:rPr>
        <w:t xml:space="preserve">Tabela 8 — Desigualdade intraurbana entre setores censitários da sede, 2010 e 2022</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Indicador</w:t>
            </w:r>
          </w:p>
        </w:tc>
        <w:tc>
          <w:tcPr>
            <w:tcMar>
              <w:top w:type="dxa" w:w="60"/>
              <w:left w:type="dxa" w:w="100"/>
              <w:bottom w:type="dxa" w:w="60"/>
              <w:right w:type="dxa" w:w="100"/>
            </w:tcMar>
            <w:vAlign w:val="center"/>
          </w:tcPr>
          <w:p>
            <w:pPr>
              <w:pStyle w:val="TabelaCab"/>
              <w:jc w:val="left"/>
            </w:pPr>
            <w:r>
              <w:t xml:space="preserve">Ano</w:t>
            </w:r>
          </w:p>
        </w:tc>
        <w:tc>
          <w:tcPr>
            <w:tcMar>
              <w:top w:type="dxa" w:w="60"/>
              <w:left w:type="dxa" w:w="100"/>
              <w:bottom w:type="dxa" w:w="60"/>
              <w:right w:type="dxa" w:w="100"/>
            </w:tcMar>
            <w:vAlign w:val="center"/>
          </w:tcPr>
          <w:p>
            <w:pPr>
              <w:pStyle w:val="TabelaCab"/>
              <w:jc w:val="left"/>
            </w:pPr>
            <w:r>
              <w:t xml:space="preserve">Setores</w:t>
            </w:r>
          </w:p>
        </w:tc>
        <w:tc>
          <w:tcPr>
            <w:tcMar>
              <w:top w:type="dxa" w:w="60"/>
              <w:left w:type="dxa" w:w="100"/>
              <w:bottom w:type="dxa" w:w="60"/>
              <w:right w:type="dxa" w:w="100"/>
            </w:tcMar>
            <w:vAlign w:val="center"/>
          </w:tcPr>
          <w:p>
            <w:pPr>
              <w:pStyle w:val="TabelaCab"/>
              <w:jc w:val="left"/>
            </w:pPr>
            <w:r>
              <w:t xml:space="preserve">Média pond.</w:t>
            </w:r>
          </w:p>
        </w:tc>
        <w:tc>
          <w:tcPr>
            <w:tcMar>
              <w:top w:type="dxa" w:w="60"/>
              <w:left w:type="dxa" w:w="100"/>
              <w:bottom w:type="dxa" w:w="60"/>
              <w:right w:type="dxa" w:w="100"/>
            </w:tcMar>
            <w:vAlign w:val="center"/>
          </w:tcPr>
          <w:p>
            <w:pPr>
              <w:pStyle w:val="TabelaCab"/>
              <w:jc w:val="left"/>
            </w:pPr>
            <w:r>
              <w:t xml:space="preserve">P10</w:t>
            </w:r>
          </w:p>
        </w:tc>
        <w:tc>
          <w:tcPr>
            <w:tcMar>
              <w:top w:type="dxa" w:w="60"/>
              <w:left w:type="dxa" w:w="100"/>
              <w:bottom w:type="dxa" w:w="60"/>
              <w:right w:type="dxa" w:w="100"/>
            </w:tcMar>
            <w:vAlign w:val="center"/>
          </w:tcPr>
          <w:p>
            <w:pPr>
              <w:pStyle w:val="TabelaCab"/>
              <w:jc w:val="left"/>
            </w:pPr>
            <w:r>
              <w:t xml:space="preserve">P90</w:t>
            </w:r>
          </w:p>
        </w:tc>
        <w:tc>
          <w:tcPr>
            <w:tcMar>
              <w:top w:type="dxa" w:w="60"/>
              <w:left w:type="dxa" w:w="100"/>
              <w:bottom w:type="dxa" w:w="60"/>
              <w:right w:type="dxa" w:w="100"/>
            </w:tcMar>
            <w:vAlign w:val="center"/>
          </w:tcPr>
          <w:p>
            <w:pPr>
              <w:pStyle w:val="TabelaCab"/>
              <w:jc w:val="left"/>
            </w:pPr>
            <w:r>
              <w:t xml:space="preserve">CV (%)</w:t>
            </w:r>
          </w:p>
        </w:tc>
        <w:tc>
          <w:tcPr>
            <w:tcMar>
              <w:top w:type="dxa" w:w="60"/>
              <w:left w:type="dxa" w:w="100"/>
              <w:bottom w:type="dxa" w:w="60"/>
              <w:right w:type="dxa" w:w="100"/>
            </w:tcMar>
            <w:vAlign w:val="center"/>
          </w:tcPr>
          <w:p>
            <w:pPr>
              <w:pStyle w:val="TabelaCab"/>
              <w:jc w:val="left"/>
            </w:pPr>
            <w:r>
              <w:t xml:space="preserve">ρ distância</w:t>
            </w:r>
          </w:p>
        </w:tc>
        <w:tc>
          <w:tcPr>
            <w:tcMar>
              <w:top w:type="dxa" w:w="60"/>
              <w:left w:type="dxa" w:w="100"/>
              <w:bottom w:type="dxa" w:w="60"/>
              <w:right w:type="dxa" w:w="100"/>
            </w:tcMar>
            <w:vAlign w:val="center"/>
          </w:tcPr>
          <w:p>
            <w:pPr>
              <w:pStyle w:val="TabelaCab"/>
              <w:jc w:val="left"/>
            </w:pPr>
            <w:r>
              <w:t xml:space="preserve">ρ ano urb.</w:t>
            </w:r>
          </w:p>
        </w:tc>
      </w:tr>
      <w:tr>
        <w:tc>
          <w:tcPr>
            <w:tcMar>
              <w:top w:type="dxa" w:w="60"/>
              <w:left w:type="dxa" w:w="100"/>
              <w:bottom w:type="dxa" w:w="60"/>
              <w:right w:type="dxa" w:w="100"/>
            </w:tcMar>
            <w:vAlign w:val="center"/>
          </w:tcPr>
          <w:p>
            <w:pPr>
              <w:pStyle w:val="Tabela"/>
              <w:jc w:val="left"/>
            </w:pPr>
            <w:r>
              <w:t xml:space="preserve">Água da rede geral (%)</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30,6</w:t>
            </w:r>
          </w:p>
        </w:tc>
        <w:tc>
          <w:tcPr>
            <w:tcMar>
              <w:top w:type="dxa" w:w="60"/>
              <w:left w:type="dxa" w:w="100"/>
              <w:bottom w:type="dxa" w:w="60"/>
              <w:right w:type="dxa" w:w="100"/>
            </w:tcMar>
            <w:vAlign w:val="center"/>
          </w:tcPr>
          <w:p>
            <w:pPr>
              <w:pStyle w:val="Tabela"/>
              <w:jc w:val="left"/>
            </w:pPr>
            <w:r>
              <w:t xml:space="preserve">11,3</w:t>
            </w:r>
          </w:p>
        </w:tc>
        <w:tc>
          <w:tcPr>
            <w:tcMar>
              <w:top w:type="dxa" w:w="60"/>
              <w:left w:type="dxa" w:w="100"/>
              <w:bottom w:type="dxa" w:w="60"/>
              <w:right w:type="dxa" w:w="100"/>
            </w:tcMar>
            <w:vAlign w:val="center"/>
          </w:tcPr>
          <w:p>
            <w:pPr>
              <w:pStyle w:val="Tabela"/>
              <w:jc w:val="left"/>
            </w:pPr>
            <w:r>
              <w:t xml:space="preserve">45,6</w:t>
            </w:r>
          </w:p>
        </w:tc>
        <w:tc>
          <w:tcPr>
            <w:tcMar>
              <w:top w:type="dxa" w:w="60"/>
              <w:left w:type="dxa" w:w="100"/>
              <w:bottom w:type="dxa" w:w="60"/>
              <w:right w:type="dxa" w:w="100"/>
            </w:tcMar>
            <w:vAlign w:val="center"/>
          </w:tcPr>
          <w:p>
            <w:pPr>
              <w:pStyle w:val="Tabela"/>
              <w:jc w:val="left"/>
            </w:pPr>
            <w:r>
              <w:t xml:space="preserve">81</w:t>
            </w:r>
          </w:p>
        </w:tc>
        <w:tc>
          <w:tcPr>
            <w:tcMar>
              <w:top w:type="dxa" w:w="60"/>
              <w:left w:type="dxa" w:w="100"/>
              <w:bottom w:type="dxa" w:w="60"/>
              <w:right w:type="dxa" w:w="100"/>
            </w:tcMar>
            <w:vAlign w:val="center"/>
          </w:tcPr>
          <w:p>
            <w:pPr>
              <w:pStyle w:val="Tabela"/>
              <w:jc w:val="left"/>
            </w:pPr>
            <w:r>
              <w:t xml:space="preserve">-0,18</w:t>
            </w:r>
          </w:p>
        </w:tc>
        <w:tc>
          <w:tcPr>
            <w:tcMar>
              <w:top w:type="dxa" w:w="60"/>
              <w:left w:type="dxa" w:w="100"/>
              <w:bottom w:type="dxa" w:w="60"/>
              <w:right w:type="dxa" w:w="100"/>
            </w:tcMar>
            <w:vAlign w:val="center"/>
          </w:tcPr>
          <w:p>
            <w:pPr>
              <w:pStyle w:val="Tabela"/>
              <w:jc w:val="left"/>
            </w:pPr>
            <w:r>
              <w:t xml:space="preserve">-0,02</w:t>
            </w:r>
          </w:p>
        </w:tc>
      </w:tr>
      <w:tr>
        <w:tc>
          <w:tcPr>
            <w:tcMar>
              <w:top w:type="dxa" w:w="60"/>
              <w:left w:type="dxa" w:w="100"/>
              <w:bottom w:type="dxa" w:w="60"/>
              <w:right w:type="dxa" w:w="100"/>
            </w:tcMar>
            <w:vAlign w:val="center"/>
          </w:tcPr>
          <w:p>
            <w:pPr>
              <w:pStyle w:val="Tabela"/>
              <w:jc w:val="left"/>
            </w:pPr>
            <w:r>
              <w:t xml:space="preserve">Esgoto rede geral (%)</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27,2</w:t>
            </w:r>
          </w:p>
        </w:tc>
        <w:tc>
          <w:tcPr>
            <w:tcMar>
              <w:top w:type="dxa" w:w="60"/>
              <w:left w:type="dxa" w:w="100"/>
              <w:bottom w:type="dxa" w:w="60"/>
              <w:right w:type="dxa" w:w="100"/>
            </w:tcMar>
            <w:vAlign w:val="center"/>
          </w:tcPr>
          <w:p>
            <w:pPr>
              <w:pStyle w:val="Tabela"/>
              <w:jc w:val="left"/>
            </w:pPr>
            <w:r>
              <w:t xml:space="preserve">1,7</w:t>
            </w:r>
          </w:p>
        </w:tc>
        <w:tc>
          <w:tcPr>
            <w:tcMar>
              <w:top w:type="dxa" w:w="60"/>
              <w:left w:type="dxa" w:w="100"/>
              <w:bottom w:type="dxa" w:w="60"/>
              <w:right w:type="dxa" w:w="100"/>
            </w:tcMar>
            <w:vAlign w:val="center"/>
          </w:tcPr>
          <w:p>
            <w:pPr>
              <w:pStyle w:val="Tabela"/>
              <w:jc w:val="left"/>
            </w:pPr>
            <w:r>
              <w:t xml:space="preserve">64,1</w:t>
            </w:r>
          </w:p>
        </w:tc>
        <w:tc>
          <w:tcPr>
            <w:tcMar>
              <w:top w:type="dxa" w:w="60"/>
              <w:left w:type="dxa" w:w="100"/>
              <w:bottom w:type="dxa" w:w="60"/>
              <w:right w:type="dxa" w:w="100"/>
            </w:tcMar>
            <w:vAlign w:val="center"/>
          </w:tcPr>
          <w:p>
            <w:pPr>
              <w:pStyle w:val="Tabela"/>
              <w:jc w:val="left"/>
            </w:pPr>
            <w:r>
              <w:t xml:space="preserve">75</w:t>
            </w:r>
          </w:p>
        </w:tc>
        <w:tc>
          <w:tcPr>
            <w:tcMar>
              <w:top w:type="dxa" w:w="60"/>
              <w:left w:type="dxa" w:w="100"/>
              <w:bottom w:type="dxa" w:w="60"/>
              <w:right w:type="dxa" w:w="100"/>
            </w:tcMar>
            <w:vAlign w:val="center"/>
          </w:tcPr>
          <w:p>
            <w:pPr>
              <w:pStyle w:val="Tabela"/>
              <w:jc w:val="left"/>
            </w:pPr>
            <w:r>
              <w:t xml:space="preserve">-0,82</w:t>
            </w:r>
          </w:p>
        </w:tc>
        <w:tc>
          <w:tcPr>
            <w:tcMar>
              <w:top w:type="dxa" w:w="60"/>
              <w:left w:type="dxa" w:w="100"/>
              <w:bottom w:type="dxa" w:w="60"/>
              <w:right w:type="dxa" w:w="100"/>
            </w:tcMar>
            <w:vAlign w:val="center"/>
          </w:tcPr>
          <w:p>
            <w:pPr>
              <w:pStyle w:val="Tabela"/>
              <w:jc w:val="left"/>
            </w:pPr>
            <w:r>
              <w:t xml:space="preserve">-0,70</w:t>
            </w:r>
          </w:p>
        </w:tc>
      </w:tr>
      <w:tr>
        <w:tc>
          <w:tcPr>
            <w:tcMar>
              <w:top w:type="dxa" w:w="60"/>
              <w:left w:type="dxa" w:w="100"/>
              <w:bottom w:type="dxa" w:w="60"/>
              <w:right w:type="dxa" w:w="100"/>
            </w:tcMar>
            <w:vAlign w:val="center"/>
          </w:tcPr>
          <w:p>
            <w:pPr>
              <w:pStyle w:val="Tabela"/>
              <w:jc w:val="left"/>
            </w:pPr>
            <w:r>
              <w:t xml:space="preserve">Lixo coletado (%)</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97,9</w:t>
            </w:r>
          </w:p>
        </w:tc>
        <w:tc>
          <w:tcPr>
            <w:tcMar>
              <w:top w:type="dxa" w:w="60"/>
              <w:left w:type="dxa" w:w="100"/>
              <w:bottom w:type="dxa" w:w="60"/>
              <w:right w:type="dxa" w:w="100"/>
            </w:tcMar>
            <w:vAlign w:val="center"/>
          </w:tcPr>
          <w:p>
            <w:pPr>
              <w:pStyle w:val="Tabela"/>
              <w:jc w:val="left"/>
            </w:pPr>
            <w:r>
              <w:t xml:space="preserve">95,8</w:t>
            </w:r>
          </w:p>
        </w:tc>
        <w:tc>
          <w:tcPr>
            <w:tcMar>
              <w:top w:type="dxa" w:w="60"/>
              <w:left w:type="dxa" w:w="100"/>
              <w:bottom w:type="dxa" w:w="60"/>
              <w:right w:type="dxa" w:w="100"/>
            </w:tcMar>
            <w:vAlign w:val="center"/>
          </w:tcPr>
          <w:p>
            <w:pPr>
              <w:pStyle w:val="Tabela"/>
              <w:jc w:val="left"/>
            </w:pPr>
            <w:r>
              <w:t xml:space="preserve">100,0</w:t>
            </w:r>
          </w:p>
        </w:tc>
        <w:tc>
          <w:tcPr>
            <w:tcMar>
              <w:top w:type="dxa" w:w="60"/>
              <w:left w:type="dxa" w:w="100"/>
              <w:bottom w:type="dxa" w:w="60"/>
              <w:right w:type="dxa" w:w="100"/>
            </w:tcMar>
            <w:vAlign w:val="center"/>
          </w:tcPr>
          <w:p>
            <w:pPr>
              <w:pStyle w:val="Tabela"/>
              <w:jc w:val="left"/>
            </w:pPr>
            <w:r>
              <w:t xml:space="preserve">2</w:t>
            </w:r>
          </w:p>
        </w:tc>
        <w:tc>
          <w:tcPr>
            <w:tcMar>
              <w:top w:type="dxa" w:w="60"/>
              <w:left w:type="dxa" w:w="100"/>
              <w:bottom w:type="dxa" w:w="60"/>
              <w:right w:type="dxa" w:w="100"/>
            </w:tcMar>
            <w:vAlign w:val="center"/>
          </w:tcPr>
          <w:p>
            <w:pPr>
              <w:pStyle w:val="Tabela"/>
              <w:jc w:val="left"/>
            </w:pPr>
            <w:r>
              <w:t xml:space="preserve">-0,48</w:t>
            </w:r>
          </w:p>
        </w:tc>
        <w:tc>
          <w:tcPr>
            <w:tcMar>
              <w:top w:type="dxa" w:w="60"/>
              <w:left w:type="dxa" w:w="100"/>
              <w:bottom w:type="dxa" w:w="60"/>
              <w:right w:type="dxa" w:w="100"/>
            </w:tcMar>
            <w:vAlign w:val="center"/>
          </w:tcPr>
          <w:p>
            <w:pPr>
              <w:pStyle w:val="Tabela"/>
              <w:jc w:val="left"/>
            </w:pPr>
            <w:r>
              <w:t xml:space="preserve">-0,63</w:t>
            </w:r>
          </w:p>
        </w:tc>
      </w:tr>
      <w:tr>
        <w:tc>
          <w:tcPr>
            <w:tcMar>
              <w:top w:type="dxa" w:w="60"/>
              <w:left w:type="dxa" w:w="100"/>
              <w:bottom w:type="dxa" w:w="60"/>
              <w:right w:type="dxa" w:w="100"/>
            </w:tcMar>
            <w:vAlign w:val="center"/>
          </w:tcPr>
          <w:p>
            <w:pPr>
              <w:pStyle w:val="Tabela"/>
              <w:jc w:val="left"/>
            </w:pPr>
            <w:r>
              <w:t xml:space="preserve">Energia elétrica (%)</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99,9</w:t>
            </w:r>
          </w:p>
        </w:tc>
        <w:tc>
          <w:tcPr>
            <w:tcMar>
              <w:top w:type="dxa" w:w="60"/>
              <w:left w:type="dxa" w:w="100"/>
              <w:bottom w:type="dxa" w:w="60"/>
              <w:right w:type="dxa" w:w="100"/>
            </w:tcMar>
            <w:vAlign w:val="center"/>
          </w:tcPr>
          <w:p>
            <w:pPr>
              <w:pStyle w:val="Tabela"/>
              <w:jc w:val="left"/>
            </w:pPr>
            <w:r>
              <w:t xml:space="preserve">99,5</w:t>
            </w:r>
          </w:p>
        </w:tc>
        <w:tc>
          <w:tcPr>
            <w:tcMar>
              <w:top w:type="dxa" w:w="60"/>
              <w:left w:type="dxa" w:w="100"/>
              <w:bottom w:type="dxa" w:w="60"/>
              <w:right w:type="dxa" w:w="100"/>
            </w:tcMar>
            <w:vAlign w:val="center"/>
          </w:tcPr>
          <w:p>
            <w:pPr>
              <w:pStyle w:val="Tabela"/>
              <w:jc w:val="left"/>
            </w:pPr>
            <w:r>
              <w:t xml:space="preserve">100,0</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-0,20</w:t>
            </w:r>
          </w:p>
        </w:tc>
        <w:tc>
          <w:tcPr>
            <w:tcMar>
              <w:top w:type="dxa" w:w="60"/>
              <w:left w:type="dxa" w:w="100"/>
              <w:bottom w:type="dxa" w:w="60"/>
              <w:right w:type="dxa" w:w="100"/>
            </w:tcMar>
            <w:vAlign w:val="center"/>
          </w:tcPr>
          <w:p>
            <w:pPr>
              <w:pStyle w:val="Tabela"/>
              <w:jc w:val="left"/>
            </w:pPr>
            <w:r>
              <w:t xml:space="preserve">-0,40</w:t>
            </w:r>
          </w:p>
        </w:tc>
      </w:tr>
      <w:tr>
        <w:tc>
          <w:tcPr>
            <w:tcMar>
              <w:top w:type="dxa" w:w="60"/>
              <w:left w:type="dxa" w:w="100"/>
              <w:bottom w:type="dxa" w:w="60"/>
              <w:right w:type="dxa" w:w="100"/>
            </w:tcMar>
            <w:vAlign w:val="center"/>
          </w:tcPr>
          <w:p>
            <w:pPr>
              <w:pStyle w:val="Tabela"/>
              <w:jc w:val="left"/>
            </w:pPr>
            <w:r>
              <w:t xml:space="preserve">Rend. do responsável (R$ de 2010)</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1.229,3</w:t>
            </w:r>
          </w:p>
        </w:tc>
        <w:tc>
          <w:tcPr>
            <w:tcMar>
              <w:top w:type="dxa" w:w="60"/>
              <w:left w:type="dxa" w:w="100"/>
              <w:bottom w:type="dxa" w:w="60"/>
              <w:right w:type="dxa" w:w="100"/>
            </w:tcMar>
            <w:vAlign w:val="center"/>
          </w:tcPr>
          <w:p>
            <w:pPr>
              <w:pStyle w:val="Tabela"/>
              <w:jc w:val="left"/>
            </w:pPr>
            <w:r>
              <w:t xml:space="preserve">869,6</w:t>
            </w:r>
          </w:p>
        </w:tc>
        <w:tc>
          <w:tcPr>
            <w:tcMar>
              <w:top w:type="dxa" w:w="60"/>
              <w:left w:type="dxa" w:w="100"/>
              <w:bottom w:type="dxa" w:w="60"/>
              <w:right w:type="dxa" w:w="100"/>
            </w:tcMar>
            <w:vAlign w:val="center"/>
          </w:tcPr>
          <w:p>
            <w:pPr>
              <w:pStyle w:val="Tabela"/>
              <w:jc w:val="left"/>
            </w:pPr>
            <w:r>
              <w:t xml:space="preserve">1.617,0</w:t>
            </w:r>
          </w:p>
        </w:tc>
        <w:tc>
          <w:tcPr>
            <w:tcMar>
              <w:top w:type="dxa" w:w="60"/>
              <w:left w:type="dxa" w:w="100"/>
              <w:bottom w:type="dxa" w:w="60"/>
              <w:right w:type="dxa" w:w="100"/>
            </w:tcMar>
            <w:vAlign w:val="center"/>
          </w:tcPr>
          <w:p>
            <w:pPr>
              <w:pStyle w:val="Tabela"/>
              <w:jc w:val="left"/>
            </w:pPr>
            <w:r>
              <w:t xml:space="preserve">23</w:t>
            </w:r>
          </w:p>
        </w:tc>
        <w:tc>
          <w:tcPr>
            <w:tcMar>
              <w:top w:type="dxa" w:w="60"/>
              <w:left w:type="dxa" w:w="100"/>
              <w:bottom w:type="dxa" w:w="60"/>
              <w:right w:type="dxa" w:w="100"/>
            </w:tcMar>
            <w:vAlign w:val="center"/>
          </w:tcPr>
          <w:p>
            <w:pPr>
              <w:pStyle w:val="Tabela"/>
              <w:jc w:val="left"/>
            </w:pPr>
            <w:r>
              <w:t xml:space="preserve">-0,07</w:t>
            </w:r>
          </w:p>
        </w:tc>
        <w:tc>
          <w:tcPr>
            <w:tcMar>
              <w:top w:type="dxa" w:w="60"/>
              <w:left w:type="dxa" w:w="100"/>
              <w:bottom w:type="dxa" w:w="60"/>
              <w:right w:type="dxa" w:w="100"/>
            </w:tcMar>
            <w:vAlign w:val="center"/>
          </w:tcPr>
          <w:p>
            <w:pPr>
              <w:pStyle w:val="Tabela"/>
              <w:jc w:val="left"/>
            </w:pPr>
            <w:r>
              <w:t xml:space="preserve">-0,06</w:t>
            </w:r>
          </w:p>
        </w:tc>
      </w:tr>
      <w:tr>
        <w:tc>
          <w:tcPr>
            <w:tcMar>
              <w:top w:type="dxa" w:w="60"/>
              <w:left w:type="dxa" w:w="100"/>
              <w:bottom w:type="dxa" w:w="60"/>
              <w:right w:type="dxa" w:w="100"/>
            </w:tcMar>
            <w:vAlign w:val="center"/>
          </w:tcPr>
          <w:p>
            <w:pPr>
              <w:pStyle w:val="Tabela"/>
              <w:jc w:val="left"/>
            </w:pPr>
            <w:r>
              <w:t xml:space="preserve">Moradores por domicílio</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3,6</w:t>
            </w:r>
          </w:p>
        </w:tc>
        <w:tc>
          <w:tcPr>
            <w:tcMar>
              <w:top w:type="dxa" w:w="60"/>
              <w:left w:type="dxa" w:w="100"/>
              <w:bottom w:type="dxa" w:w="60"/>
              <w:right w:type="dxa" w:w="100"/>
            </w:tcMar>
            <w:vAlign w:val="center"/>
          </w:tcPr>
          <w:p>
            <w:pPr>
              <w:pStyle w:val="Tabela"/>
              <w:jc w:val="left"/>
            </w:pPr>
            <w:r>
              <w:t xml:space="preserve">3,1</w:t>
            </w:r>
          </w:p>
        </w:tc>
        <w:tc>
          <w:tcPr>
            <w:tcMar>
              <w:top w:type="dxa" w:w="60"/>
              <w:left w:type="dxa" w:w="100"/>
              <w:bottom w:type="dxa" w:w="60"/>
              <w:right w:type="dxa" w:w="100"/>
            </w:tcMar>
            <w:vAlign w:val="center"/>
          </w:tcPr>
          <w:p>
            <w:pPr>
              <w:pStyle w:val="Tabela"/>
              <w:jc w:val="left"/>
            </w:pPr>
            <w:r>
              <w:t xml:space="preserve">3,9</w:t>
            </w:r>
          </w:p>
        </w:tc>
        <w:tc>
          <w:tcPr>
            <w:tcMar>
              <w:top w:type="dxa" w:w="60"/>
              <w:left w:type="dxa" w:w="100"/>
              <w:bottom w:type="dxa" w:w="60"/>
              <w:right w:type="dxa" w:w="100"/>
            </w:tcMar>
            <w:vAlign w:val="center"/>
          </w:tcPr>
          <w:p>
            <w:pPr>
              <w:pStyle w:val="Tabela"/>
              <w:jc w:val="left"/>
            </w:pPr>
            <w:r>
              <w:t xml:space="preserve">8</w:t>
            </w:r>
          </w:p>
        </w:tc>
        <w:tc>
          <w:tcPr>
            <w:tcMar>
              <w:top w:type="dxa" w:w="60"/>
              <w:left w:type="dxa" w:w="100"/>
              <w:bottom w:type="dxa" w:w="60"/>
              <w:right w:type="dxa" w:w="100"/>
            </w:tcMar>
            <w:vAlign w:val="center"/>
          </w:tcPr>
          <w:p>
            <w:pPr>
              <w:pStyle w:val="Tabela"/>
              <w:jc w:val="left"/>
            </w:pPr>
            <w:r>
              <w:t xml:space="preserve">0,42</w:t>
            </w:r>
          </w:p>
        </w:tc>
        <w:tc>
          <w:tcPr>
            <w:tcMar>
              <w:top w:type="dxa" w:w="60"/>
              <w:left w:type="dxa" w:w="100"/>
              <w:bottom w:type="dxa" w:w="60"/>
              <w:right w:type="dxa" w:w="100"/>
            </w:tcMar>
            <w:vAlign w:val="center"/>
          </w:tcPr>
          <w:p>
            <w:pPr>
              <w:pStyle w:val="Tabela"/>
              <w:jc w:val="left"/>
            </w:pPr>
            <w:r>
              <w:t xml:space="preserve">0,40</w:t>
            </w:r>
          </w:p>
        </w:tc>
      </w:tr>
      <w:tr>
        <w:tc>
          <w:tcPr>
            <w:tcMar>
              <w:top w:type="dxa" w:w="60"/>
              <w:left w:type="dxa" w:w="100"/>
              <w:bottom w:type="dxa" w:w="60"/>
              <w:right w:type="dxa" w:w="100"/>
            </w:tcMar>
            <w:vAlign w:val="center"/>
          </w:tcPr>
          <w:p>
            <w:pPr>
              <w:pStyle w:val="Tabela"/>
              <w:jc w:val="left"/>
            </w:pPr>
            <w:r>
              <w:t xml:space="preserve">Densidade líquida (hab./ha construído)</w:t>
            </w:r>
          </w:p>
        </w:tc>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37,2</w:t>
            </w:r>
          </w:p>
        </w:tc>
        <w:tc>
          <w:tcPr>
            <w:tcMar>
              <w:top w:type="dxa" w:w="60"/>
              <w:left w:type="dxa" w:w="100"/>
              <w:bottom w:type="dxa" w:w="60"/>
              <w:right w:type="dxa" w:w="100"/>
            </w:tcMar>
            <w:vAlign w:val="center"/>
          </w:tcPr>
          <w:p>
            <w:pPr>
              <w:pStyle w:val="Tabela"/>
              <w:jc w:val="left"/>
            </w:pPr>
            <w:r>
              <w:t xml:space="preserve">12,3</w:t>
            </w:r>
          </w:p>
        </w:tc>
        <w:tc>
          <w:tcPr>
            <w:tcMar>
              <w:top w:type="dxa" w:w="60"/>
              <w:left w:type="dxa" w:w="100"/>
              <w:bottom w:type="dxa" w:w="60"/>
              <w:right w:type="dxa" w:w="100"/>
            </w:tcMar>
            <w:vAlign w:val="center"/>
          </w:tcPr>
          <w:p>
            <w:pPr>
              <w:pStyle w:val="Tabela"/>
              <w:jc w:val="left"/>
            </w:pPr>
            <w:r>
              <w:t xml:space="preserve">72,0</w:t>
            </w:r>
          </w:p>
        </w:tc>
        <w:tc>
          <w:tcPr>
            <w:tcMar>
              <w:top w:type="dxa" w:w="60"/>
              <w:left w:type="dxa" w:w="100"/>
              <w:bottom w:type="dxa" w:w="60"/>
              <w:right w:type="dxa" w:w="100"/>
            </w:tcMar>
            <w:vAlign w:val="center"/>
          </w:tcPr>
          <w:p>
            <w:pPr>
              <w:pStyle w:val="Tabela"/>
              <w:jc w:val="left"/>
            </w:pPr>
            <w:r>
              <w:t xml:space="preserve">56</w:t>
            </w:r>
          </w:p>
        </w:tc>
        <w:tc>
          <w:tcPr>
            <w:tcMar>
              <w:top w:type="dxa" w:w="60"/>
              <w:left w:type="dxa" w:w="100"/>
              <w:bottom w:type="dxa" w:w="60"/>
              <w:right w:type="dxa" w:w="100"/>
            </w:tcMar>
            <w:vAlign w:val="center"/>
          </w:tcPr>
          <w:p>
            <w:pPr>
              <w:pStyle w:val="Tabela"/>
              <w:jc w:val="left"/>
            </w:pPr>
            <w:r>
              <w:t xml:space="preserve">-0,56</w:t>
            </w:r>
          </w:p>
        </w:tc>
        <w:tc>
          <w:tcPr>
            <w:tcMar>
              <w:top w:type="dxa" w:w="60"/>
              <w:left w:type="dxa" w:w="100"/>
              <w:bottom w:type="dxa" w:w="60"/>
              <w:right w:type="dxa" w:w="100"/>
            </w:tcMar>
            <w:vAlign w:val="center"/>
          </w:tcPr>
          <w:p>
            <w:pPr>
              <w:pStyle w:val="Tabela"/>
              <w:jc w:val="left"/>
            </w:pPr>
            <w:r>
              <w:t xml:space="preserve">-0,59</w:t>
            </w:r>
          </w:p>
        </w:tc>
      </w:tr>
      <w:tr>
        <w:tc>
          <w:tcPr>
            <w:tcMar>
              <w:top w:type="dxa" w:w="60"/>
              <w:left w:type="dxa" w:w="100"/>
              <w:bottom w:type="dxa" w:w="60"/>
              <w:right w:type="dxa" w:w="100"/>
            </w:tcMar>
            <w:vAlign w:val="center"/>
          </w:tcPr>
          <w:p>
            <w:pPr>
              <w:pStyle w:val="Tabela"/>
              <w:jc w:val="left"/>
            </w:pPr>
            <w:r>
              <w:t xml:space="preserve">Água da rede geral (%)</w:t>
            </w:r>
          </w:p>
        </w:tc>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85</w:t>
            </w:r>
          </w:p>
        </w:tc>
        <w:tc>
          <w:tcPr>
            <w:tcMar>
              <w:top w:type="dxa" w:w="60"/>
              <w:left w:type="dxa" w:w="100"/>
              <w:bottom w:type="dxa" w:w="60"/>
              <w:right w:type="dxa" w:w="100"/>
            </w:tcMar>
            <w:vAlign w:val="center"/>
          </w:tcPr>
          <w:p>
            <w:pPr>
              <w:pStyle w:val="Tabela"/>
              <w:jc w:val="left"/>
            </w:pPr>
            <w:r>
              <w:t xml:space="preserve">63,8</w:t>
            </w:r>
          </w:p>
        </w:tc>
        <w:tc>
          <w:tcPr>
            <w:tcMar>
              <w:top w:type="dxa" w:w="60"/>
              <w:left w:type="dxa" w:w="100"/>
              <w:bottom w:type="dxa" w:w="60"/>
              <w:right w:type="dxa" w:w="100"/>
            </w:tcMar>
            <w:vAlign w:val="center"/>
          </w:tcPr>
          <w:p>
            <w:pPr>
              <w:pStyle w:val="Tabela"/>
              <w:jc w:val="left"/>
            </w:pPr>
            <w:r>
              <w:t xml:space="preserve">27,6</w:t>
            </w:r>
          </w:p>
        </w:tc>
        <w:tc>
          <w:tcPr>
            <w:tcMar>
              <w:top w:type="dxa" w:w="60"/>
              <w:left w:type="dxa" w:w="100"/>
              <w:bottom w:type="dxa" w:w="60"/>
              <w:right w:type="dxa" w:w="100"/>
            </w:tcMar>
            <w:vAlign w:val="center"/>
          </w:tcPr>
          <w:p>
            <w:pPr>
              <w:pStyle w:val="Tabela"/>
              <w:jc w:val="left"/>
            </w:pPr>
            <w:r>
              <w:t xml:space="preserve">90,8</w:t>
            </w:r>
          </w:p>
        </w:tc>
        <w:tc>
          <w:tcPr>
            <w:tcMar>
              <w:top w:type="dxa" w:w="60"/>
              <w:left w:type="dxa" w:w="100"/>
              <w:bottom w:type="dxa" w:w="60"/>
              <w:right w:type="dxa" w:w="100"/>
            </w:tcMar>
            <w:vAlign w:val="center"/>
          </w:tcPr>
          <w:p>
            <w:pPr>
              <w:pStyle w:val="Tabela"/>
              <w:jc w:val="left"/>
            </w:pPr>
            <w:r>
              <w:t xml:space="preserve">40</w:t>
            </w:r>
          </w:p>
        </w:tc>
        <w:tc>
          <w:tcPr>
            <w:tcMar>
              <w:top w:type="dxa" w:w="60"/>
              <w:left w:type="dxa" w:w="100"/>
              <w:bottom w:type="dxa" w:w="60"/>
              <w:right w:type="dxa" w:w="100"/>
            </w:tcMar>
            <w:vAlign w:val="center"/>
          </w:tcPr>
          <w:p>
            <w:pPr>
              <w:pStyle w:val="Tabela"/>
              <w:jc w:val="left"/>
            </w:pPr>
            <w:r>
              <w:t xml:space="preserve">0,39</w:t>
            </w:r>
          </w:p>
        </w:tc>
        <w:tc>
          <w:tcPr>
            <w:tcMar>
              <w:top w:type="dxa" w:w="60"/>
              <w:left w:type="dxa" w:w="100"/>
              <w:bottom w:type="dxa" w:w="60"/>
              <w:right w:type="dxa" w:w="100"/>
            </w:tcMar>
            <w:vAlign w:val="center"/>
          </w:tcPr>
          <w:p>
            <w:pPr>
              <w:pStyle w:val="Tabela"/>
              <w:jc w:val="left"/>
            </w:pPr>
            <w:r>
              <w:t xml:space="preserve">0,33</w:t>
            </w:r>
          </w:p>
        </w:tc>
      </w:tr>
      <w:tr>
        <w:tc>
          <w:tcPr>
            <w:tcMar>
              <w:top w:type="dxa" w:w="60"/>
              <w:left w:type="dxa" w:w="100"/>
              <w:bottom w:type="dxa" w:w="60"/>
              <w:right w:type="dxa" w:w="100"/>
            </w:tcMar>
            <w:vAlign w:val="center"/>
          </w:tcPr>
          <w:p>
            <w:pPr>
              <w:pStyle w:val="Tabela"/>
              <w:jc w:val="left"/>
            </w:pPr>
            <w:r>
              <w:t xml:space="preserve">Esgoto rede geral (%)</w:t>
            </w:r>
          </w:p>
        </w:tc>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86</w:t>
            </w:r>
          </w:p>
        </w:tc>
        <w:tc>
          <w:tcPr>
            <w:tcMar>
              <w:top w:type="dxa" w:w="60"/>
              <w:left w:type="dxa" w:w="100"/>
              <w:bottom w:type="dxa" w:w="60"/>
              <w:right w:type="dxa" w:w="100"/>
            </w:tcMar>
            <w:vAlign w:val="center"/>
          </w:tcPr>
          <w:p>
            <w:pPr>
              <w:pStyle w:val="Tabela"/>
              <w:jc w:val="left"/>
            </w:pPr>
            <w:r>
              <w:t xml:space="preserve">55,9</w:t>
            </w:r>
          </w:p>
        </w:tc>
        <w:tc>
          <w:tcPr>
            <w:tcMar>
              <w:top w:type="dxa" w:w="60"/>
              <w:left w:type="dxa" w:w="100"/>
              <w:bottom w:type="dxa" w:w="60"/>
              <w:right w:type="dxa" w:w="100"/>
            </w:tcMar>
            <w:vAlign w:val="center"/>
          </w:tcPr>
          <w:p>
            <w:pPr>
              <w:pStyle w:val="Tabela"/>
              <w:jc w:val="left"/>
            </w:pPr>
            <w:r>
              <w:t xml:space="preserve">23,6</w:t>
            </w:r>
          </w:p>
        </w:tc>
        <w:tc>
          <w:tcPr>
            <w:tcMar>
              <w:top w:type="dxa" w:w="60"/>
              <w:left w:type="dxa" w:w="100"/>
              <w:bottom w:type="dxa" w:w="60"/>
              <w:right w:type="dxa" w:w="100"/>
            </w:tcMar>
            <w:vAlign w:val="center"/>
          </w:tcPr>
          <w:p>
            <w:pPr>
              <w:pStyle w:val="Tabela"/>
              <w:jc w:val="left"/>
            </w:pPr>
            <w:r>
              <w:t xml:space="preserve">79,8</w:t>
            </w:r>
          </w:p>
        </w:tc>
        <w:tc>
          <w:tcPr>
            <w:tcMar>
              <w:top w:type="dxa" w:w="60"/>
              <w:left w:type="dxa" w:w="100"/>
              <w:bottom w:type="dxa" w:w="60"/>
              <w:right w:type="dxa" w:w="100"/>
            </w:tcMar>
            <w:vAlign w:val="center"/>
          </w:tcPr>
          <w:p>
            <w:pPr>
              <w:pStyle w:val="Tabela"/>
              <w:jc w:val="left"/>
            </w:pPr>
            <w:r>
              <w:t xml:space="preserve">42</w:t>
            </w:r>
          </w:p>
        </w:tc>
        <w:tc>
          <w:tcPr>
            <w:tcMar>
              <w:top w:type="dxa" w:w="60"/>
              <w:left w:type="dxa" w:w="100"/>
              <w:bottom w:type="dxa" w:w="60"/>
              <w:right w:type="dxa" w:w="100"/>
            </w:tcMar>
            <w:vAlign w:val="center"/>
          </w:tcPr>
          <w:p>
            <w:pPr>
              <w:pStyle w:val="Tabela"/>
              <w:jc w:val="left"/>
            </w:pPr>
            <w:r>
              <w:t xml:space="preserve">-0,13</w:t>
            </w:r>
          </w:p>
        </w:tc>
        <w:tc>
          <w:tcPr>
            <w:tcMar>
              <w:top w:type="dxa" w:w="60"/>
              <w:left w:type="dxa" w:w="100"/>
              <w:bottom w:type="dxa" w:w="60"/>
              <w:right w:type="dxa" w:w="100"/>
            </w:tcMar>
            <w:vAlign w:val="center"/>
          </w:tcPr>
          <w:p>
            <w:pPr>
              <w:pStyle w:val="Tabela"/>
              <w:jc w:val="left"/>
            </w:pPr>
            <w:r>
              <w:t xml:space="preserve">-0,16</w:t>
            </w:r>
          </w:p>
        </w:tc>
      </w:tr>
      <w:tr>
        <w:tc>
          <w:tcPr>
            <w:tcMar>
              <w:top w:type="dxa" w:w="60"/>
              <w:left w:type="dxa" w:w="100"/>
              <w:bottom w:type="dxa" w:w="60"/>
              <w:right w:type="dxa" w:w="100"/>
            </w:tcMar>
            <w:vAlign w:val="center"/>
          </w:tcPr>
          <w:p>
            <w:pPr>
              <w:pStyle w:val="Tabela"/>
              <w:jc w:val="left"/>
            </w:pPr>
            <w:r>
              <w:t xml:space="preserve">Lixo coletado (%)</w:t>
            </w:r>
          </w:p>
        </w:tc>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87</w:t>
            </w:r>
          </w:p>
        </w:tc>
        <w:tc>
          <w:tcPr>
            <w:tcMar>
              <w:top w:type="dxa" w:w="60"/>
              <w:left w:type="dxa" w:w="100"/>
              <w:bottom w:type="dxa" w:w="60"/>
              <w:right w:type="dxa" w:w="100"/>
            </w:tcMar>
            <w:vAlign w:val="center"/>
          </w:tcPr>
          <w:p>
            <w:pPr>
              <w:pStyle w:val="Tabela"/>
              <w:jc w:val="left"/>
            </w:pPr>
            <w:r>
              <w:t xml:space="preserve">84,8</w:t>
            </w:r>
          </w:p>
        </w:tc>
        <w:tc>
          <w:tcPr>
            <w:tcMar>
              <w:top w:type="dxa" w:w="60"/>
              <w:left w:type="dxa" w:w="100"/>
              <w:bottom w:type="dxa" w:w="60"/>
              <w:right w:type="dxa" w:w="100"/>
            </w:tcMar>
            <w:vAlign w:val="center"/>
          </w:tcPr>
          <w:p>
            <w:pPr>
              <w:pStyle w:val="Tabela"/>
              <w:jc w:val="left"/>
            </w:pPr>
            <w:r>
              <w:t xml:space="preserve">71,4</w:t>
            </w:r>
          </w:p>
        </w:tc>
        <w:tc>
          <w:tcPr>
            <w:tcMar>
              <w:top w:type="dxa" w:w="60"/>
              <w:left w:type="dxa" w:w="100"/>
              <w:bottom w:type="dxa" w:w="60"/>
              <w:right w:type="dxa" w:w="100"/>
            </w:tcMar>
            <w:vAlign w:val="center"/>
          </w:tcPr>
          <w:p>
            <w:pPr>
              <w:pStyle w:val="Tabela"/>
              <w:jc w:val="left"/>
            </w:pPr>
            <w:r>
              <w:t xml:space="preserve">94,7</w:t>
            </w:r>
          </w:p>
        </w:tc>
        <w:tc>
          <w:tcPr>
            <w:tcMar>
              <w:top w:type="dxa" w:w="60"/>
              <w:left w:type="dxa" w:w="100"/>
              <w:bottom w:type="dxa" w:w="60"/>
              <w:right w:type="dxa" w:w="100"/>
            </w:tcMar>
            <w:vAlign w:val="center"/>
          </w:tcPr>
          <w:p>
            <w:pPr>
              <w:pStyle w:val="Tabela"/>
              <w:jc w:val="left"/>
            </w:pPr>
            <w:r>
              <w:t xml:space="preserve">21</w:t>
            </w:r>
          </w:p>
        </w:tc>
        <w:tc>
          <w:tcPr>
            <w:tcMar>
              <w:top w:type="dxa" w:w="60"/>
              <w:left w:type="dxa" w:w="100"/>
              <w:bottom w:type="dxa" w:w="60"/>
              <w:right w:type="dxa" w:w="100"/>
            </w:tcMar>
            <w:vAlign w:val="center"/>
          </w:tcPr>
          <w:p>
            <w:pPr>
              <w:pStyle w:val="Tabela"/>
              <w:jc w:val="left"/>
            </w:pPr>
            <w:r>
              <w:t xml:space="preserve">-0,05</w:t>
            </w:r>
          </w:p>
        </w:tc>
        <w:tc>
          <w:tcPr>
            <w:tcMar>
              <w:top w:type="dxa" w:w="60"/>
              <w:left w:type="dxa" w:w="100"/>
              <w:bottom w:type="dxa" w:w="60"/>
              <w:right w:type="dxa" w:w="100"/>
            </w:tcMar>
            <w:vAlign w:val="center"/>
          </w:tcPr>
          <w:p>
            <w:pPr>
              <w:pStyle w:val="Tabela"/>
              <w:jc w:val="left"/>
            </w:pPr>
            <w:r>
              <w:t xml:space="preserve">-0,09</w:t>
            </w:r>
          </w:p>
        </w:tc>
      </w:tr>
      <w:tr>
        <w:tc>
          <w:tcPr>
            <w:tcMar>
              <w:top w:type="dxa" w:w="60"/>
              <w:left w:type="dxa" w:w="100"/>
              <w:bottom w:type="dxa" w:w="60"/>
              <w:right w:type="dxa" w:w="100"/>
            </w:tcMar>
            <w:vAlign w:val="center"/>
          </w:tcPr>
          <w:p>
            <w:pPr>
              <w:pStyle w:val="Tabela"/>
              <w:jc w:val="left"/>
            </w:pPr>
            <w:r>
              <w:t xml:space="preserve">Moradores por domicílio</w:t>
            </w:r>
          </w:p>
        </w:tc>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88</w:t>
            </w:r>
          </w:p>
        </w:tc>
        <w:tc>
          <w:tcPr>
            <w:tcMar>
              <w:top w:type="dxa" w:w="60"/>
              <w:left w:type="dxa" w:w="100"/>
              <w:bottom w:type="dxa" w:w="60"/>
              <w:right w:type="dxa" w:w="100"/>
            </w:tcMar>
            <w:vAlign w:val="center"/>
          </w:tcPr>
          <w:p>
            <w:pPr>
              <w:pStyle w:val="Tabela"/>
              <w:jc w:val="left"/>
            </w:pPr>
            <w:r>
              <w:t xml:space="preserve">3,2</w:t>
            </w:r>
          </w:p>
        </w:tc>
        <w:tc>
          <w:tcPr>
            <w:tcMar>
              <w:top w:type="dxa" w:w="60"/>
              <w:left w:type="dxa" w:w="100"/>
              <w:bottom w:type="dxa" w:w="60"/>
              <w:right w:type="dxa" w:w="100"/>
            </w:tcMar>
            <w:vAlign w:val="center"/>
          </w:tcPr>
          <w:p>
            <w:pPr>
              <w:pStyle w:val="Tabela"/>
              <w:jc w:val="left"/>
            </w:pPr>
            <w:r>
              <w:t xml:space="preserve">2,9</w:t>
            </w:r>
          </w:p>
        </w:tc>
        <w:tc>
          <w:tcPr>
            <w:tcMar>
              <w:top w:type="dxa" w:w="60"/>
              <w:left w:type="dxa" w:w="100"/>
              <w:bottom w:type="dxa" w:w="60"/>
              <w:right w:type="dxa" w:w="100"/>
            </w:tcMar>
            <w:vAlign w:val="center"/>
          </w:tcPr>
          <w:p>
            <w:pPr>
              <w:pStyle w:val="Tabela"/>
              <w:jc w:val="left"/>
            </w:pPr>
            <w:r>
              <w:t xml:space="preserve">3,4</w:t>
            </w:r>
          </w:p>
        </w:tc>
        <w:tc>
          <w:tcPr>
            <w:tcMar>
              <w:top w:type="dxa" w:w="60"/>
              <w:left w:type="dxa" w:w="100"/>
              <w:bottom w:type="dxa" w:w="60"/>
              <w:right w:type="dxa" w:w="100"/>
            </w:tcMar>
            <w:vAlign w:val="center"/>
          </w:tcPr>
          <w:p>
            <w:pPr>
              <w:pStyle w:val="Tabela"/>
              <w:jc w:val="left"/>
            </w:pPr>
            <w:r>
              <w:t xml:space="preserve">7</w:t>
            </w:r>
          </w:p>
        </w:tc>
        <w:tc>
          <w:tcPr>
            <w:tcMar>
              <w:top w:type="dxa" w:w="60"/>
              <w:left w:type="dxa" w:w="100"/>
              <w:bottom w:type="dxa" w:w="60"/>
              <w:right w:type="dxa" w:w="100"/>
            </w:tcMar>
            <w:vAlign w:val="center"/>
          </w:tcPr>
          <w:p>
            <w:pPr>
              <w:pStyle w:val="Tabela"/>
              <w:jc w:val="left"/>
            </w:pPr>
            <w:r>
              <w:t xml:space="preserve">0,62</w:t>
            </w:r>
          </w:p>
        </w:tc>
        <w:tc>
          <w:tcPr>
            <w:tcMar>
              <w:top w:type="dxa" w:w="60"/>
              <w:left w:type="dxa" w:w="100"/>
              <w:bottom w:type="dxa" w:w="60"/>
              <w:right w:type="dxa" w:w="100"/>
            </w:tcMar>
            <w:vAlign w:val="center"/>
          </w:tcPr>
          <w:p>
            <w:pPr>
              <w:pStyle w:val="Tabela"/>
              <w:jc w:val="left"/>
            </w:pPr>
            <w:r>
              <w:t xml:space="preserve">0,58</w:t>
            </w:r>
          </w:p>
        </w:tc>
      </w:tr>
      <w:tr>
        <w:tc>
          <w:tcPr>
            <w:tcMar>
              <w:top w:type="dxa" w:w="60"/>
              <w:left w:type="dxa" w:w="100"/>
              <w:bottom w:type="dxa" w:w="60"/>
              <w:right w:type="dxa" w:w="100"/>
            </w:tcMar>
            <w:vAlign w:val="center"/>
          </w:tcPr>
          <w:p>
            <w:pPr>
              <w:pStyle w:val="Tabela"/>
              <w:jc w:val="left"/>
            </w:pPr>
            <w:r>
              <w:t xml:space="preserve">Densidade líquida (hab./ha construído)</w:t>
            </w:r>
          </w:p>
        </w:tc>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88</w:t>
            </w:r>
          </w:p>
        </w:tc>
        <w:tc>
          <w:tcPr>
            <w:tcMar>
              <w:top w:type="dxa" w:w="60"/>
              <w:left w:type="dxa" w:w="100"/>
              <w:bottom w:type="dxa" w:w="60"/>
              <w:right w:type="dxa" w:w="100"/>
            </w:tcMar>
            <w:vAlign w:val="center"/>
          </w:tcPr>
          <w:p>
            <w:pPr>
              <w:pStyle w:val="Tabela"/>
              <w:jc w:val="left"/>
            </w:pPr>
            <w:r>
              <w:t xml:space="preserve">48,7</w:t>
            </w:r>
          </w:p>
        </w:tc>
        <w:tc>
          <w:tcPr>
            <w:tcMar>
              <w:top w:type="dxa" w:w="60"/>
              <w:left w:type="dxa" w:w="100"/>
              <w:bottom w:type="dxa" w:w="60"/>
              <w:right w:type="dxa" w:w="100"/>
            </w:tcMar>
            <w:vAlign w:val="center"/>
          </w:tcPr>
          <w:p>
            <w:pPr>
              <w:pStyle w:val="Tabela"/>
              <w:jc w:val="left"/>
            </w:pPr>
            <w:r>
              <w:t xml:space="preserve">10,3</w:t>
            </w:r>
          </w:p>
        </w:tc>
        <w:tc>
          <w:tcPr>
            <w:tcMar>
              <w:top w:type="dxa" w:w="60"/>
              <w:left w:type="dxa" w:w="100"/>
              <w:bottom w:type="dxa" w:w="60"/>
              <w:right w:type="dxa" w:w="100"/>
            </w:tcMar>
            <w:vAlign w:val="center"/>
          </w:tcPr>
          <w:p>
            <w:pPr>
              <w:pStyle w:val="Tabela"/>
              <w:jc w:val="left"/>
            </w:pPr>
            <w:r>
              <w:t xml:space="preserve">94,4</w:t>
            </w:r>
          </w:p>
        </w:tc>
        <w:tc>
          <w:tcPr>
            <w:tcMar>
              <w:top w:type="dxa" w:w="60"/>
              <w:left w:type="dxa" w:w="100"/>
              <w:bottom w:type="dxa" w:w="60"/>
              <w:right w:type="dxa" w:w="100"/>
            </w:tcMar>
            <w:vAlign w:val="center"/>
          </w:tcPr>
          <w:p>
            <w:pPr>
              <w:pStyle w:val="Tabela"/>
              <w:jc w:val="left"/>
            </w:pPr>
            <w:r>
              <w:t xml:space="preserve">71</w:t>
            </w:r>
          </w:p>
        </w:tc>
        <w:tc>
          <w:tcPr>
            <w:tcMar>
              <w:top w:type="dxa" w:w="60"/>
              <w:left w:type="dxa" w:w="100"/>
              <w:bottom w:type="dxa" w:w="60"/>
              <w:right w:type="dxa" w:w="100"/>
            </w:tcMar>
            <w:vAlign w:val="center"/>
          </w:tcPr>
          <w:p>
            <w:pPr>
              <w:pStyle w:val="Tabela"/>
              <w:jc w:val="left"/>
            </w:pPr>
            <w:r>
              <w:t xml:space="preserve">-0,34</w:t>
            </w:r>
          </w:p>
        </w:tc>
        <w:tc>
          <w:tcPr>
            <w:tcMar>
              <w:top w:type="dxa" w:w="60"/>
              <w:left w:type="dxa" w:w="100"/>
              <w:bottom w:type="dxa" w:w="60"/>
              <w:right w:type="dxa" w:w="100"/>
            </w:tcMar>
            <w:vAlign w:val="center"/>
          </w:tcPr>
          <w:p>
            <w:pPr>
              <w:pStyle w:val="Tabela"/>
              <w:jc w:val="left"/>
            </w:pPr>
            <w:r>
              <w:t xml:space="preserve">-0,48</w:t>
            </w:r>
          </w:p>
        </w:tc>
      </w:tr>
      <w:tr>
        <w:tc>
          <w:tcPr>
            <w:tcMar>
              <w:top w:type="dxa" w:w="60"/>
              <w:left w:type="dxa" w:w="100"/>
              <w:bottom w:type="dxa" w:w="60"/>
              <w:right w:type="dxa" w:w="100"/>
            </w:tcMar>
            <w:vAlign w:val="center"/>
          </w:tcPr>
          <w:p>
            <w:pPr>
              <w:pStyle w:val="Tabela"/>
              <w:jc w:val="left"/>
            </w:pPr>
            <w:r>
              <w:t xml:space="preserve">Pretos e pardos (%)</w:t>
            </w:r>
          </w:p>
        </w:tc>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87</w:t>
            </w:r>
          </w:p>
        </w:tc>
        <w:tc>
          <w:tcPr>
            <w:tcMar>
              <w:top w:type="dxa" w:w="60"/>
              <w:left w:type="dxa" w:w="100"/>
              <w:bottom w:type="dxa" w:w="60"/>
              <w:right w:type="dxa" w:w="100"/>
            </w:tcMar>
            <w:vAlign w:val="center"/>
          </w:tcPr>
          <w:p>
            <w:pPr>
              <w:pStyle w:val="Tabela"/>
              <w:jc w:val="left"/>
            </w:pPr>
            <w:r>
              <w:t xml:space="preserve">77,3</w:t>
            </w:r>
          </w:p>
        </w:tc>
        <w:tc>
          <w:tcPr>
            <w:tcMar>
              <w:top w:type="dxa" w:w="60"/>
              <w:left w:type="dxa" w:w="100"/>
              <w:bottom w:type="dxa" w:w="60"/>
              <w:right w:type="dxa" w:w="100"/>
            </w:tcMar>
            <w:vAlign w:val="center"/>
          </w:tcPr>
          <w:p>
            <w:pPr>
              <w:pStyle w:val="Tabela"/>
              <w:jc w:val="left"/>
            </w:pPr>
            <w:r>
              <w:t xml:space="preserve">69,0</w:t>
            </w:r>
          </w:p>
        </w:tc>
        <w:tc>
          <w:tcPr>
            <w:tcMar>
              <w:top w:type="dxa" w:w="60"/>
              <w:left w:type="dxa" w:w="100"/>
              <w:bottom w:type="dxa" w:w="60"/>
              <w:right w:type="dxa" w:w="100"/>
            </w:tcMar>
            <w:vAlign w:val="center"/>
          </w:tcPr>
          <w:p>
            <w:pPr>
              <w:pStyle w:val="Tabela"/>
              <w:jc w:val="left"/>
            </w:pPr>
            <w:r>
              <w:t xml:space="preserve">83,4</w:t>
            </w:r>
          </w:p>
        </w:tc>
        <w:tc>
          <w:tcPr>
            <w:tcMar>
              <w:top w:type="dxa" w:w="60"/>
              <w:left w:type="dxa" w:w="100"/>
              <w:bottom w:type="dxa" w:w="60"/>
              <w:right w:type="dxa" w:w="100"/>
            </w:tcMar>
            <w:vAlign w:val="center"/>
          </w:tcPr>
          <w:p>
            <w:pPr>
              <w:pStyle w:val="Tabela"/>
              <w:jc w:val="left"/>
            </w:pPr>
            <w:r>
              <w:t xml:space="preserve">7</w:t>
            </w:r>
          </w:p>
        </w:tc>
        <w:tc>
          <w:tcPr>
            <w:tcMar>
              <w:top w:type="dxa" w:w="60"/>
              <w:left w:type="dxa" w:w="100"/>
              <w:bottom w:type="dxa" w:w="60"/>
              <w:right w:type="dxa" w:w="100"/>
            </w:tcMar>
            <w:vAlign w:val="center"/>
          </w:tcPr>
          <w:p>
            <w:pPr>
              <w:pStyle w:val="Tabela"/>
              <w:jc w:val="left"/>
            </w:pPr>
            <w:r>
              <w:t xml:space="preserve">0,34</w:t>
            </w:r>
          </w:p>
        </w:tc>
        <w:tc>
          <w:tcPr>
            <w:tcMar>
              <w:top w:type="dxa" w:w="60"/>
              <w:left w:type="dxa" w:w="100"/>
              <w:bottom w:type="dxa" w:w="60"/>
              <w:right w:type="dxa" w:w="100"/>
            </w:tcMar>
            <w:vAlign w:val="center"/>
          </w:tcPr>
          <w:p>
            <w:pPr>
              <w:pStyle w:val="Tabela"/>
              <w:jc w:val="left"/>
            </w:pPr>
            <w:r>
              <w:t xml:space="preserve">0,31</w:t>
            </w:r>
          </w:p>
        </w:tc>
      </w:tr>
    </w:tbl>
    <w:p>
      <w:pPr>
        <w:spacing w:after="120"/>
      </w:pPr>
    </w:p>
    <w:p>
      <w:pPr>
        <w:pStyle w:val="Corpo"/>
      </w:pPr>
      <w:r>
        <w:t xml:space="preserve">Fonte: Elaboração própria a partir dos agregados por setor censitário do Universo (IBGE, 2010 e 2022), da série própria de mancha (ano de urbanização) e do núcleo histórico de 1990.</w:t>
      </w:r>
    </w:p>
    <w:p>
      <w:pPr>
        <w:pStyle w:val="Corpo"/>
      </w:pPr>
      <w:r>
        <w:t xml:space="preserve">Nota: Setores 'da sede' = setores urbanos cujo construído mapeado pertence majoritariamente à mancha contígua (E3c). CV = coeficiente de variação entre setores; ρ = correlação de Spearman entre setores com a distância ao núcleo de 1990 e com o ano de urbanização; ano de urbanização = mediana do primeiro ano urbano dos pixels do setor. O esgoto de 2010 inclui rede pluvial; o de 2022 só rede geral.</w:t>
      </w:r>
    </w:p>
    <w:p>
      <w:pPr>
        <w:spacing w:after="40" w:before="200"/>
        <w:jc w:val="center"/>
      </w:pPr>
      <w:r>
        <w:drawing>
          <wp:inline distT="0" distB="0" distL="0" distR="0">
            <wp:extent cx="5334000" cy="56509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650911"/>
                    </a:xfrm>
                    <a:prstGeom prst="rect">
                      <a:avLst/>
                    </a:prstGeom>
                  </pic:spPr>
                </pic:pic>
              </a:graphicData>
            </a:graphic>
          </wp:inline>
        </w:drawing>
      </w:r>
    </w:p>
    <w:p>
      <w:pPr>
        <w:pStyle w:val="Legenda"/>
        <w:jc w:val="center"/>
      </w:pPr>
      <w:r>
        <w:t xml:space="preserve">Figura 11 — Percentual de domicílios com água da rede geral e com esgoto por rede nos setores censitários da sede, 2010 e 2022 (classes fixas de 20 p.p.; ao fundo, a mancha construída de 2026). O esgoto de 2010 inclui rede pluvial. Fonte: IBGE — agregados por setor censitário (2010, 2022).</w:t>
      </w:r>
    </w:p>
    <w:p>
      <w:pPr>
        <w:pStyle w:val="Titulo2"/>
      </w:pPr>
      <w:r>
        <w:t xml:space="preserve">5.9 Comparação regional e linha de base de 1991</w:t>
      </w:r>
    </w:p>
    <w:p>
      <w:pPr>
        <w:pStyle w:val="Corpo"/>
      </w:pPr>
      <w:r>
        <w:t xml:space="preserve">A Figura 12 e a Tabela 9 comparam Canaã com Parauapebas e com quatro grupos de municípios do Pará em áreas mínimas comparáveis, agrupados pelo porte da CFEM per capita: outros mineradores e não mineradores do Sudeste Paraense e, no restante do estado, mineradores e não mineradores. A imigração de data fixa cai em todos os grupos de comparação entre 2000 e 2022 (de 17 % para 7 % nos outros mineradores do Sudeste Paraense; de 22 % para 15 % em Parauapebas) e dobra em Canaã (14 % para 25 %). A inserção na extrativa vai de 1,5 % para 10,4 % dos ocupados em Canaã e permanece abaixo de 1,5 % em todos os grupos do Sudeste Paraense fora de Parauapebas; a população em domicílio alugado vai de 3 % para 28 %, contra 17 % nos comparáveis; a renda média do trabalho cresce 40 % em Canaã e entre 0 e 16 % nos grupos regionais. A população de Canaã cresceu 606 % entre 2000 e 2022, contra 274 % em Parauapebas e 31 a 39 % nos demais grupos. A diferença-em-diferenças descritiva em relação a Parauapebas entre 2000 e 2022 é de +21,6 pontos percentuais em migrantes de data fixa, +23,1 em ocupados formais, +64,4 em esgoto adequado e +14,3 em domicílios alugados, todas significativas a 95 %; a diferença em renda média do trabalho (+R$ 434) não é.</w:t>
      </w:r>
    </w:p>
    <w:p>
      <w:pPr>
        <w:pStyle w:val="Corpo"/>
      </w:pPr>
      <w:r>
        <w:rPr>
          <w:b/>
          <w:bCs/>
        </w:rPr>
        <w:t xml:space="preserve">Tabela 9 — Canaã dos Carajás e grupos de municípios comparáveis (Áreas Mínimas Comparáveis), 2000–2022</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Indicador</w:t>
            </w:r>
          </w:p>
        </w:tc>
        <w:tc>
          <w:tcPr>
            <w:tcMar>
              <w:top w:type="dxa" w:w="60"/>
              <w:left w:type="dxa" w:w="100"/>
              <w:bottom w:type="dxa" w:w="60"/>
              <w:right w:type="dxa" w:w="100"/>
            </w:tcMar>
            <w:vAlign w:val="center"/>
          </w:tcPr>
          <w:p>
            <w:pPr>
              <w:pStyle w:val="TabelaCab"/>
              <w:jc w:val="left"/>
            </w:pPr>
            <w:r>
              <w:t xml:space="preserve">Grupo</w:t>
            </w:r>
          </w:p>
        </w:tc>
        <w:tc>
          <w:tcPr>
            <w:tcMar>
              <w:top w:type="dxa" w:w="60"/>
              <w:left w:type="dxa" w:w="100"/>
              <w:bottom w:type="dxa" w:w="60"/>
              <w:right w:type="dxa" w:w="100"/>
            </w:tcMar>
            <w:vAlign w:val="center"/>
          </w:tcPr>
          <w:p>
            <w:pPr>
              <w:pStyle w:val="TabelaCab"/>
              <w:jc w:val="left"/>
            </w:pPr>
            <w:r>
              <w:t xml:space="preserve">2000</w:t>
            </w:r>
          </w:p>
        </w:tc>
        <w:tc>
          <w:tcPr>
            <w:tcMar>
              <w:top w:type="dxa" w:w="60"/>
              <w:left w:type="dxa" w:w="100"/>
              <w:bottom w:type="dxa" w:w="60"/>
              <w:right w:type="dxa" w:w="100"/>
            </w:tcMar>
            <w:vAlign w:val="center"/>
          </w:tcPr>
          <w:p>
            <w:pPr>
              <w:pStyle w:val="TabelaCab"/>
              <w:jc w:val="left"/>
            </w:pPr>
            <w:r>
              <w:t xml:space="preserve">2010</w:t>
            </w:r>
          </w:p>
        </w:tc>
        <w:tc>
          <w:tcPr>
            <w:tcMar>
              <w:top w:type="dxa" w:w="60"/>
              <w:left w:type="dxa" w:w="100"/>
              <w:bottom w:type="dxa" w:w="60"/>
              <w:right w:type="dxa" w:w="100"/>
            </w:tcMar>
            <w:vAlign w:val="center"/>
          </w:tcPr>
          <w:p>
            <w:pPr>
              <w:pStyle w:val="TabelaCab"/>
              <w:jc w:val="left"/>
            </w:pPr>
            <w:r>
              <w:t xml:space="preserve">2022</w:t>
            </w:r>
          </w:p>
        </w:tc>
      </w:tr>
      <w:tr>
        <w:tc>
          <w:tcPr>
            <w:tcMar>
              <w:top w:type="dxa" w:w="60"/>
              <w:left w:type="dxa" w:w="100"/>
              <w:bottom w:type="dxa" w:w="60"/>
              <w:right w:type="dxa" w:w="100"/>
            </w:tcMar>
            <w:vAlign w:val="center"/>
          </w:tcPr>
          <w:p>
            <w:pPr>
              <w:pStyle w:val="Tabela"/>
              <w:jc w:val="left"/>
            </w:pPr>
            <w:r>
              <w:t xml:space="preserve">Imigrantes de data fixa (%)</w:t>
            </w:r>
          </w:p>
        </w:tc>
        <w:tc>
          <w:tcPr>
            <w:tcMar>
              <w:top w:type="dxa" w:w="60"/>
              <w:left w:type="dxa" w:w="100"/>
              <w:bottom w:type="dxa" w:w="60"/>
              <w:right w:type="dxa" w:w="100"/>
            </w:tcMar>
            <w:vAlign w:val="center"/>
          </w:tcPr>
          <w:p>
            <w:pPr>
              <w:pStyle w:val="Tabela"/>
              <w:jc w:val="left"/>
            </w:pPr>
            <w:r>
              <w:t xml:space="preserve">Canaã dos Carajás</w:t>
            </w:r>
          </w:p>
        </w:tc>
        <w:tc>
          <w:tcPr>
            <w:tcMar>
              <w:top w:type="dxa" w:w="60"/>
              <w:left w:type="dxa" w:w="100"/>
              <w:bottom w:type="dxa" w:w="60"/>
              <w:right w:type="dxa" w:w="100"/>
            </w:tcMar>
            <w:vAlign w:val="center"/>
          </w:tcPr>
          <w:p>
            <w:pPr>
              <w:pStyle w:val="Tabela"/>
              <w:jc w:val="left"/>
            </w:pPr>
            <w:r>
              <w:t xml:space="preserve">14,2</w:t>
            </w:r>
          </w:p>
        </w:tc>
        <w:tc>
          <w:tcPr>
            <w:tcMar>
              <w:top w:type="dxa" w:w="60"/>
              <w:left w:type="dxa" w:w="100"/>
              <w:bottom w:type="dxa" w:w="60"/>
              <w:right w:type="dxa" w:w="100"/>
            </w:tcMar>
            <w:vAlign w:val="center"/>
          </w:tcPr>
          <w:p>
            <w:pPr>
              <w:pStyle w:val="Tabela"/>
              <w:jc w:val="left"/>
            </w:pPr>
            <w:r>
              <w:t xml:space="preserve">28,9</w:t>
            </w:r>
          </w:p>
        </w:tc>
        <w:tc>
          <w:tcPr>
            <w:tcMar>
              <w:top w:type="dxa" w:w="60"/>
              <w:left w:type="dxa" w:w="100"/>
              <w:bottom w:type="dxa" w:w="60"/>
              <w:right w:type="dxa" w:w="100"/>
            </w:tcMar>
            <w:vAlign w:val="center"/>
          </w:tcPr>
          <w:p>
            <w:pPr>
              <w:pStyle w:val="Tabela"/>
              <w:jc w:val="left"/>
            </w:pPr>
            <w:r>
              <w:t xml:space="preserve">25,3</w:t>
            </w:r>
          </w:p>
        </w:tc>
      </w:tr>
      <w:tr>
        <w:tc>
          <w:tcPr>
            <w:tcMar>
              <w:top w:type="dxa" w:w="60"/>
              <w:left w:type="dxa" w:w="100"/>
              <w:bottom w:type="dxa" w:w="60"/>
              <w:right w:type="dxa" w:w="100"/>
            </w:tcMar>
            <w:vAlign w:val="center"/>
          </w:tcPr>
          <w:p>
            <w:pPr>
              <w:pStyle w:val="Tabela"/>
              <w:jc w:val="left"/>
            </w:pPr>
            <w:r>
              <w:t xml:space="preserve">Imigrantes de data fixa (%)</w:t>
            </w:r>
          </w:p>
        </w:tc>
        <w:tc>
          <w:tcPr>
            <w:tcMar>
              <w:top w:type="dxa" w:w="60"/>
              <w:left w:type="dxa" w:w="100"/>
              <w:bottom w:type="dxa" w:w="60"/>
              <w:right w:type="dxa" w:w="100"/>
            </w:tcMar>
            <w:vAlign w:val="center"/>
          </w:tcPr>
          <w:p>
            <w:pPr>
              <w:pStyle w:val="Tabela"/>
              <w:jc w:val="left"/>
            </w:pPr>
            <w:r>
              <w:t xml:space="preserve">Parauapebas</w:t>
            </w:r>
          </w:p>
        </w:tc>
        <w:tc>
          <w:tcPr>
            <w:tcMar>
              <w:top w:type="dxa" w:w="60"/>
              <w:left w:type="dxa" w:w="100"/>
              <w:bottom w:type="dxa" w:w="60"/>
              <w:right w:type="dxa" w:w="100"/>
            </w:tcMar>
            <w:vAlign w:val="center"/>
          </w:tcPr>
          <w:p>
            <w:pPr>
              <w:pStyle w:val="Tabela"/>
              <w:jc w:val="left"/>
            </w:pPr>
            <w:r>
              <w:t xml:space="preserve">22,4</w:t>
            </w:r>
          </w:p>
        </w:tc>
        <w:tc>
          <w:tcPr>
            <w:tcMar>
              <w:top w:type="dxa" w:w="60"/>
              <w:left w:type="dxa" w:w="100"/>
              <w:bottom w:type="dxa" w:w="60"/>
              <w:right w:type="dxa" w:w="100"/>
            </w:tcMar>
            <w:vAlign w:val="center"/>
          </w:tcPr>
          <w:p>
            <w:pPr>
              <w:pStyle w:val="Tabela"/>
              <w:jc w:val="left"/>
            </w:pPr>
            <w:r>
              <w:t xml:space="preserve">25,5</w:t>
            </w:r>
          </w:p>
        </w:tc>
        <w:tc>
          <w:tcPr>
            <w:tcMar>
              <w:top w:type="dxa" w:w="60"/>
              <w:left w:type="dxa" w:w="100"/>
              <w:bottom w:type="dxa" w:w="60"/>
              <w:right w:type="dxa" w:w="100"/>
            </w:tcMar>
            <w:vAlign w:val="center"/>
          </w:tcPr>
          <w:p>
            <w:pPr>
              <w:pStyle w:val="Tabela"/>
              <w:jc w:val="left"/>
            </w:pPr>
            <w:r>
              <w:t xml:space="preserve">14,6</w:t>
            </w:r>
          </w:p>
        </w:tc>
      </w:tr>
      <w:tr>
        <w:tc>
          <w:tcPr>
            <w:tcMar>
              <w:top w:type="dxa" w:w="60"/>
              <w:left w:type="dxa" w:w="100"/>
              <w:bottom w:type="dxa" w:w="60"/>
              <w:right w:type="dxa" w:w="100"/>
            </w:tcMar>
            <w:vAlign w:val="center"/>
          </w:tcPr>
          <w:p>
            <w:pPr>
              <w:pStyle w:val="Tabela"/>
              <w:jc w:val="left"/>
            </w:pPr>
            <w:r>
              <w:t xml:space="preserve">Imigrantes de data fixa (%)</w:t>
            </w:r>
          </w:p>
        </w:tc>
        <w:tc>
          <w:tcPr>
            <w:tcMar>
              <w:top w:type="dxa" w:w="60"/>
              <w:left w:type="dxa" w:w="100"/>
              <w:bottom w:type="dxa" w:w="60"/>
              <w:right w:type="dxa" w:w="100"/>
            </w:tcMar>
            <w:vAlign w:val="center"/>
          </w:tcPr>
          <w:p>
            <w:pPr>
              <w:pStyle w:val="Tabela"/>
              <w:jc w:val="left"/>
            </w:pPr>
            <w:r>
              <w:t xml:space="preserve">Sudeste Paraense — outros mineradores</w:t>
            </w:r>
          </w:p>
        </w:tc>
        <w:tc>
          <w:tcPr>
            <w:tcMar>
              <w:top w:type="dxa" w:w="60"/>
              <w:left w:type="dxa" w:w="100"/>
              <w:bottom w:type="dxa" w:w="60"/>
              <w:right w:type="dxa" w:w="100"/>
            </w:tcMar>
            <w:vAlign w:val="center"/>
          </w:tcPr>
          <w:p>
            <w:pPr>
              <w:pStyle w:val="Tabela"/>
              <w:jc w:val="left"/>
            </w:pPr>
            <w:r>
              <w:t xml:space="preserve">16,7</w:t>
            </w:r>
          </w:p>
        </w:tc>
        <w:tc>
          <w:tcPr>
            <w:tcMar>
              <w:top w:type="dxa" w:w="60"/>
              <w:left w:type="dxa" w:w="100"/>
              <w:bottom w:type="dxa" w:w="60"/>
              <w:right w:type="dxa" w:w="100"/>
            </w:tcMar>
            <w:vAlign w:val="center"/>
          </w:tcPr>
          <w:p>
            <w:pPr>
              <w:pStyle w:val="Tabela"/>
              <w:jc w:val="left"/>
            </w:pPr>
            <w:r>
              <w:t xml:space="preserve">11,0</w:t>
            </w:r>
          </w:p>
        </w:tc>
        <w:tc>
          <w:tcPr>
            <w:tcMar>
              <w:top w:type="dxa" w:w="60"/>
              <w:left w:type="dxa" w:w="100"/>
              <w:bottom w:type="dxa" w:w="60"/>
              <w:right w:type="dxa" w:w="100"/>
            </w:tcMar>
            <w:vAlign w:val="center"/>
          </w:tcPr>
          <w:p>
            <w:pPr>
              <w:pStyle w:val="Tabela"/>
              <w:jc w:val="left"/>
            </w:pPr>
            <w:r>
              <w:t xml:space="preserve">7,3</w:t>
            </w:r>
          </w:p>
        </w:tc>
      </w:tr>
      <w:tr>
        <w:tc>
          <w:tcPr>
            <w:tcMar>
              <w:top w:type="dxa" w:w="60"/>
              <w:left w:type="dxa" w:w="100"/>
              <w:bottom w:type="dxa" w:w="60"/>
              <w:right w:type="dxa" w:w="100"/>
            </w:tcMar>
            <w:vAlign w:val="center"/>
          </w:tcPr>
          <w:p>
            <w:pPr>
              <w:pStyle w:val="Tabela"/>
              <w:jc w:val="left"/>
            </w:pPr>
            <w:r>
              <w:t xml:space="preserve">Imigrantes de data fixa (%)</w:t>
            </w:r>
          </w:p>
        </w:tc>
        <w:tc>
          <w:tcPr>
            <w:tcMar>
              <w:top w:type="dxa" w:w="60"/>
              <w:left w:type="dxa" w:w="100"/>
              <w:bottom w:type="dxa" w:w="60"/>
              <w:right w:type="dxa" w:w="100"/>
            </w:tcMar>
            <w:vAlign w:val="center"/>
          </w:tcPr>
          <w:p>
            <w:pPr>
              <w:pStyle w:val="Tabela"/>
              <w:jc w:val="left"/>
            </w:pPr>
            <w:r>
              <w:t xml:space="preserve">Sudeste Paraense — não mineradores</w:t>
            </w:r>
          </w:p>
        </w:tc>
        <w:tc>
          <w:tcPr>
            <w:tcMar>
              <w:top w:type="dxa" w:w="60"/>
              <w:left w:type="dxa" w:w="100"/>
              <w:bottom w:type="dxa" w:w="60"/>
              <w:right w:type="dxa" w:w="100"/>
            </w:tcMar>
            <w:vAlign w:val="center"/>
          </w:tcPr>
          <w:p>
            <w:pPr>
              <w:pStyle w:val="Tabela"/>
              <w:jc w:val="left"/>
            </w:pPr>
            <w:r>
              <w:t xml:space="preserve">21,0</w:t>
            </w:r>
          </w:p>
        </w:tc>
        <w:tc>
          <w:tcPr>
            <w:tcMar>
              <w:top w:type="dxa" w:w="60"/>
              <w:left w:type="dxa" w:w="100"/>
              <w:bottom w:type="dxa" w:w="60"/>
              <w:right w:type="dxa" w:w="100"/>
            </w:tcMar>
            <w:vAlign w:val="center"/>
          </w:tcPr>
          <w:p>
            <w:pPr>
              <w:pStyle w:val="Tabela"/>
              <w:jc w:val="left"/>
            </w:pPr>
            <w:r>
              <w:t xml:space="preserve">10,5</w:t>
            </w:r>
          </w:p>
        </w:tc>
        <w:tc>
          <w:tcPr>
            <w:tcMar>
              <w:top w:type="dxa" w:w="60"/>
              <w:left w:type="dxa" w:w="100"/>
              <w:bottom w:type="dxa" w:w="60"/>
              <w:right w:type="dxa" w:w="100"/>
            </w:tcMar>
            <w:vAlign w:val="center"/>
          </w:tcPr>
          <w:p>
            <w:pPr>
              <w:pStyle w:val="Tabela"/>
              <w:jc w:val="left"/>
            </w:pPr>
            <w:r>
              <w:t xml:space="preserve">7,2</w:t>
            </w:r>
          </w:p>
        </w:tc>
      </w:tr>
      <w:tr>
        <w:tc>
          <w:tcPr>
            <w:tcMar>
              <w:top w:type="dxa" w:w="60"/>
              <w:left w:type="dxa" w:w="100"/>
              <w:bottom w:type="dxa" w:w="60"/>
              <w:right w:type="dxa" w:w="100"/>
            </w:tcMar>
            <w:vAlign w:val="center"/>
          </w:tcPr>
          <w:p>
            <w:pPr>
              <w:pStyle w:val="Tabela"/>
              <w:jc w:val="left"/>
            </w:pPr>
            <w:r>
              <w:t xml:space="preserve">Imigrantes de data fixa (%)</w:t>
            </w:r>
          </w:p>
        </w:tc>
        <w:tc>
          <w:tcPr>
            <w:tcMar>
              <w:top w:type="dxa" w:w="60"/>
              <w:left w:type="dxa" w:w="100"/>
              <w:bottom w:type="dxa" w:w="60"/>
              <w:right w:type="dxa" w:w="100"/>
            </w:tcMar>
            <w:vAlign w:val="center"/>
          </w:tcPr>
          <w:p>
            <w:pPr>
              <w:pStyle w:val="Tabela"/>
              <w:jc w:val="left"/>
            </w:pPr>
            <w:r>
              <w:t xml:space="preserve">Pará — mineradores (demais)</w:t>
            </w:r>
          </w:p>
        </w:tc>
        <w:tc>
          <w:tcPr>
            <w:tcMar>
              <w:top w:type="dxa" w:w="60"/>
              <w:left w:type="dxa" w:w="100"/>
              <w:bottom w:type="dxa" w:w="60"/>
              <w:right w:type="dxa" w:w="100"/>
            </w:tcMar>
            <w:vAlign w:val="center"/>
          </w:tcPr>
          <w:p>
            <w:pPr>
              <w:pStyle w:val="Tabela"/>
              <w:jc w:val="left"/>
            </w:pPr>
            <w:r>
              <w:t xml:space="preserve">8,5</w:t>
            </w:r>
          </w:p>
        </w:tc>
        <w:tc>
          <w:tcPr>
            <w:tcMar>
              <w:top w:type="dxa" w:w="60"/>
              <w:left w:type="dxa" w:w="100"/>
              <w:bottom w:type="dxa" w:w="60"/>
              <w:right w:type="dxa" w:w="100"/>
            </w:tcMar>
            <w:vAlign w:val="center"/>
          </w:tcPr>
          <w:p>
            <w:pPr>
              <w:pStyle w:val="Tabela"/>
              <w:jc w:val="left"/>
            </w:pPr>
            <w:r>
              <w:t xml:space="preserve">6,5</w:t>
            </w:r>
          </w:p>
        </w:tc>
        <w:tc>
          <w:tcPr>
            <w:tcMar>
              <w:top w:type="dxa" w:w="60"/>
              <w:left w:type="dxa" w:w="100"/>
              <w:bottom w:type="dxa" w:w="60"/>
              <w:right w:type="dxa" w:w="100"/>
            </w:tcMar>
            <w:vAlign w:val="center"/>
          </w:tcPr>
          <w:p>
            <w:pPr>
              <w:pStyle w:val="Tabela"/>
              <w:jc w:val="left"/>
            </w:pPr>
            <w:r>
              <w:t xml:space="preserve">5,8</w:t>
            </w:r>
          </w:p>
        </w:tc>
      </w:tr>
      <w:tr>
        <w:tc>
          <w:tcPr>
            <w:tcMar>
              <w:top w:type="dxa" w:w="60"/>
              <w:left w:type="dxa" w:w="100"/>
              <w:bottom w:type="dxa" w:w="60"/>
              <w:right w:type="dxa" w:w="100"/>
            </w:tcMar>
            <w:vAlign w:val="center"/>
          </w:tcPr>
          <w:p>
            <w:pPr>
              <w:pStyle w:val="Tabela"/>
              <w:jc w:val="left"/>
            </w:pPr>
            <w:r>
              <w:t xml:space="preserve">Imigrantes de data fixa (%)</w:t>
            </w:r>
          </w:p>
        </w:tc>
        <w:tc>
          <w:tcPr>
            <w:tcMar>
              <w:top w:type="dxa" w:w="60"/>
              <w:left w:type="dxa" w:w="100"/>
              <w:bottom w:type="dxa" w:w="60"/>
              <w:right w:type="dxa" w:w="100"/>
            </w:tcMar>
            <w:vAlign w:val="center"/>
          </w:tcPr>
          <w:p>
            <w:pPr>
              <w:pStyle w:val="Tabela"/>
              <w:jc w:val="left"/>
            </w:pPr>
            <w:r>
              <w:t xml:space="preserve">Pará — não mineradores (demais)</w:t>
            </w:r>
          </w:p>
        </w:tc>
        <w:tc>
          <w:tcPr>
            <w:tcMar>
              <w:top w:type="dxa" w:w="60"/>
              <w:left w:type="dxa" w:w="100"/>
              <w:bottom w:type="dxa" w:w="60"/>
              <w:right w:type="dxa" w:w="100"/>
            </w:tcMar>
            <w:vAlign w:val="center"/>
          </w:tcPr>
          <w:p>
            <w:pPr>
              <w:pStyle w:val="Tabela"/>
              <w:jc w:val="left"/>
            </w:pPr>
            <w:r>
              <w:t xml:space="preserve">6,2</w:t>
            </w:r>
          </w:p>
        </w:tc>
        <w:tc>
          <w:tcPr>
            <w:tcMar>
              <w:top w:type="dxa" w:w="60"/>
              <w:left w:type="dxa" w:w="100"/>
              <w:bottom w:type="dxa" w:w="60"/>
              <w:right w:type="dxa" w:w="100"/>
            </w:tcMar>
            <w:vAlign w:val="center"/>
          </w:tcPr>
          <w:p>
            <w:pPr>
              <w:pStyle w:val="Tabela"/>
              <w:jc w:val="left"/>
            </w:pPr>
            <w:r>
              <w:t xml:space="preserve">4,4</w:t>
            </w:r>
          </w:p>
        </w:tc>
        <w:tc>
          <w:tcPr>
            <w:tcMar>
              <w:top w:type="dxa" w:w="60"/>
              <w:left w:type="dxa" w:w="100"/>
              <w:bottom w:type="dxa" w:w="60"/>
              <w:right w:type="dxa" w:w="100"/>
            </w:tcMar>
            <w:vAlign w:val="center"/>
          </w:tcPr>
          <w:p>
            <w:pPr>
              <w:pStyle w:val="Tabela"/>
              <w:jc w:val="left"/>
            </w:pPr>
            <w:r>
              <w:t xml:space="preserve">4,5</w:t>
            </w:r>
          </w:p>
        </w:tc>
      </w:tr>
      <w:tr>
        <w:tc>
          <w:tcPr>
            <w:tcMar>
              <w:top w:type="dxa" w:w="60"/>
              <w:left w:type="dxa" w:w="100"/>
              <w:bottom w:type="dxa" w:w="60"/>
              <w:right w:type="dxa" w:w="100"/>
            </w:tcMar>
            <w:vAlign w:val="center"/>
          </w:tcPr>
          <w:p>
            <w:pPr>
              <w:pStyle w:val="Tabela"/>
              <w:jc w:val="left"/>
            </w:pPr>
            <w:r>
              <w:t xml:space="preserve">Ocupados na extrativa (%)</w:t>
            </w:r>
          </w:p>
        </w:tc>
        <w:tc>
          <w:tcPr>
            <w:tcMar>
              <w:top w:type="dxa" w:w="60"/>
              <w:left w:type="dxa" w:w="100"/>
              <w:bottom w:type="dxa" w:w="60"/>
              <w:right w:type="dxa" w:w="100"/>
            </w:tcMar>
            <w:vAlign w:val="center"/>
          </w:tcPr>
          <w:p>
            <w:pPr>
              <w:pStyle w:val="Tabela"/>
              <w:jc w:val="left"/>
            </w:pPr>
            <w:r>
              <w:t xml:space="preserve">Canaã dos Carajás</w:t>
            </w:r>
          </w:p>
        </w:tc>
        <w:tc>
          <w:tcPr>
            <w:tcMar>
              <w:top w:type="dxa" w:w="60"/>
              <w:left w:type="dxa" w:w="100"/>
              <w:bottom w:type="dxa" w:w="60"/>
              <w:right w:type="dxa" w:w="100"/>
            </w:tcMar>
            <w:vAlign w:val="center"/>
          </w:tcPr>
          <w:p>
            <w:pPr>
              <w:pStyle w:val="Tabela"/>
              <w:jc w:val="left"/>
            </w:pPr>
            <w:r>
              <w:t xml:space="preserve">1,5</w:t>
            </w:r>
          </w:p>
        </w:tc>
        <w:tc>
          <w:tcPr>
            <w:tcMar>
              <w:top w:type="dxa" w:w="60"/>
              <w:left w:type="dxa" w:w="100"/>
              <w:bottom w:type="dxa" w:w="60"/>
              <w:right w:type="dxa" w:w="100"/>
            </w:tcMar>
            <w:vAlign w:val="center"/>
          </w:tcPr>
          <w:p>
            <w:pPr>
              <w:pStyle w:val="Tabela"/>
              <w:jc w:val="left"/>
            </w:pPr>
            <w:r>
              <w:t xml:space="preserve">7,4</w:t>
            </w:r>
          </w:p>
        </w:tc>
        <w:tc>
          <w:tcPr>
            <w:tcMar>
              <w:top w:type="dxa" w:w="60"/>
              <w:left w:type="dxa" w:w="100"/>
              <w:bottom w:type="dxa" w:w="60"/>
              <w:right w:type="dxa" w:w="100"/>
            </w:tcMar>
            <w:vAlign w:val="center"/>
          </w:tcPr>
          <w:p>
            <w:pPr>
              <w:pStyle w:val="Tabela"/>
              <w:jc w:val="left"/>
            </w:pPr>
            <w:r>
              <w:t xml:space="preserve">10,4</w:t>
            </w:r>
          </w:p>
        </w:tc>
      </w:tr>
      <w:tr>
        <w:tc>
          <w:tcPr>
            <w:tcMar>
              <w:top w:type="dxa" w:w="60"/>
              <w:left w:type="dxa" w:w="100"/>
              <w:bottom w:type="dxa" w:w="60"/>
              <w:right w:type="dxa" w:w="100"/>
            </w:tcMar>
            <w:vAlign w:val="center"/>
          </w:tcPr>
          <w:p>
            <w:pPr>
              <w:pStyle w:val="Tabela"/>
              <w:jc w:val="left"/>
            </w:pPr>
            <w:r>
              <w:t xml:space="preserve">Ocupados na extrativa (%)</w:t>
            </w:r>
          </w:p>
        </w:tc>
        <w:tc>
          <w:tcPr>
            <w:tcMar>
              <w:top w:type="dxa" w:w="60"/>
              <w:left w:type="dxa" w:w="100"/>
              <w:bottom w:type="dxa" w:w="60"/>
              <w:right w:type="dxa" w:w="100"/>
            </w:tcMar>
            <w:vAlign w:val="center"/>
          </w:tcPr>
          <w:p>
            <w:pPr>
              <w:pStyle w:val="Tabela"/>
              <w:jc w:val="left"/>
            </w:pPr>
            <w:r>
              <w:t xml:space="preserve">Parauapebas</w:t>
            </w:r>
          </w:p>
        </w:tc>
        <w:tc>
          <w:tcPr>
            <w:tcMar>
              <w:top w:type="dxa" w:w="60"/>
              <w:left w:type="dxa" w:w="100"/>
              <w:bottom w:type="dxa" w:w="60"/>
              <w:right w:type="dxa" w:w="100"/>
            </w:tcMar>
            <w:vAlign w:val="center"/>
          </w:tcPr>
          <w:p>
            <w:pPr>
              <w:pStyle w:val="Tabela"/>
              <w:jc w:val="left"/>
            </w:pPr>
            <w:r>
              <w:t xml:space="preserve">8,5</w:t>
            </w:r>
          </w:p>
        </w:tc>
        <w:tc>
          <w:tcPr>
            <w:tcMar>
              <w:top w:type="dxa" w:w="60"/>
              <w:left w:type="dxa" w:w="100"/>
              <w:bottom w:type="dxa" w:w="60"/>
              <w:right w:type="dxa" w:w="100"/>
            </w:tcMar>
            <w:vAlign w:val="center"/>
          </w:tcPr>
          <w:p>
            <w:pPr>
              <w:pStyle w:val="Tabela"/>
              <w:jc w:val="left"/>
            </w:pPr>
            <w:r>
              <w:t xml:space="preserve">8,9</w:t>
            </w:r>
          </w:p>
        </w:tc>
        <w:tc>
          <w:tcPr>
            <w:tcMar>
              <w:top w:type="dxa" w:w="60"/>
              <w:left w:type="dxa" w:w="100"/>
              <w:bottom w:type="dxa" w:w="60"/>
              <w:right w:type="dxa" w:w="100"/>
            </w:tcMar>
            <w:vAlign w:val="center"/>
          </w:tcPr>
          <w:p>
            <w:pPr>
              <w:pStyle w:val="Tabela"/>
              <w:jc w:val="left"/>
            </w:pPr>
            <w:r>
              <w:t xml:space="preserve">7,7</w:t>
            </w:r>
          </w:p>
        </w:tc>
      </w:tr>
      <w:tr>
        <w:tc>
          <w:tcPr>
            <w:tcMar>
              <w:top w:type="dxa" w:w="60"/>
              <w:left w:type="dxa" w:w="100"/>
              <w:bottom w:type="dxa" w:w="60"/>
              <w:right w:type="dxa" w:w="100"/>
            </w:tcMar>
            <w:vAlign w:val="center"/>
          </w:tcPr>
          <w:p>
            <w:pPr>
              <w:pStyle w:val="Tabela"/>
              <w:jc w:val="left"/>
            </w:pPr>
            <w:r>
              <w:t xml:space="preserve">Ocupados na extrativa (%)</w:t>
            </w:r>
          </w:p>
        </w:tc>
        <w:tc>
          <w:tcPr>
            <w:tcMar>
              <w:top w:type="dxa" w:w="60"/>
              <w:left w:type="dxa" w:w="100"/>
              <w:bottom w:type="dxa" w:w="60"/>
              <w:right w:type="dxa" w:w="100"/>
            </w:tcMar>
            <w:vAlign w:val="center"/>
          </w:tcPr>
          <w:p>
            <w:pPr>
              <w:pStyle w:val="Tabela"/>
              <w:jc w:val="left"/>
            </w:pPr>
            <w:r>
              <w:t xml:space="preserve">Sudeste Paraense — outros mineradores</w:t>
            </w:r>
          </w:p>
        </w:tc>
        <w:tc>
          <w:tcPr>
            <w:tcMar>
              <w:top w:type="dxa" w:w="60"/>
              <w:left w:type="dxa" w:w="100"/>
              <w:bottom w:type="dxa" w:w="60"/>
              <w:right w:type="dxa" w:w="100"/>
            </w:tcMar>
            <w:vAlign w:val="center"/>
          </w:tcPr>
          <w:p>
            <w:pPr>
              <w:pStyle w:val="Tabela"/>
              <w:jc w:val="left"/>
            </w:pPr>
            <w:r>
              <w:t xml:space="preserve">0,5</w:t>
            </w:r>
          </w:p>
        </w:tc>
        <w:tc>
          <w:tcPr>
            <w:tcMar>
              <w:top w:type="dxa" w:w="60"/>
              <w:left w:type="dxa" w:w="100"/>
              <w:bottom w:type="dxa" w:w="60"/>
              <w:right w:type="dxa" w:w="100"/>
            </w:tcMar>
            <w:vAlign w:val="center"/>
          </w:tcPr>
          <w:p>
            <w:pPr>
              <w:pStyle w:val="Tabela"/>
              <w:jc w:val="left"/>
            </w:pPr>
            <w:r>
              <w:t xml:space="preserve">1,2</w:t>
            </w:r>
          </w:p>
        </w:tc>
        <w:tc>
          <w:tcPr>
            <w:tcMar>
              <w:top w:type="dxa" w:w="60"/>
              <w:left w:type="dxa" w:w="100"/>
              <w:bottom w:type="dxa" w:w="60"/>
              <w:right w:type="dxa" w:w="100"/>
            </w:tcMar>
            <w:vAlign w:val="center"/>
          </w:tcPr>
          <w:p>
            <w:pPr>
              <w:pStyle w:val="Tabela"/>
              <w:jc w:val="left"/>
            </w:pPr>
            <w:r>
              <w:t xml:space="preserve">1,2</w:t>
            </w:r>
          </w:p>
        </w:tc>
      </w:tr>
      <w:tr>
        <w:tc>
          <w:tcPr>
            <w:tcMar>
              <w:top w:type="dxa" w:w="60"/>
              <w:left w:type="dxa" w:w="100"/>
              <w:bottom w:type="dxa" w:w="60"/>
              <w:right w:type="dxa" w:w="100"/>
            </w:tcMar>
            <w:vAlign w:val="center"/>
          </w:tcPr>
          <w:p>
            <w:pPr>
              <w:pStyle w:val="Tabela"/>
              <w:jc w:val="left"/>
            </w:pPr>
            <w:r>
              <w:t xml:space="preserve">Ocupados na extrativa (%)</w:t>
            </w:r>
          </w:p>
        </w:tc>
        <w:tc>
          <w:tcPr>
            <w:tcMar>
              <w:top w:type="dxa" w:w="60"/>
              <w:left w:type="dxa" w:w="100"/>
              <w:bottom w:type="dxa" w:w="60"/>
              <w:right w:type="dxa" w:w="100"/>
            </w:tcMar>
            <w:vAlign w:val="center"/>
          </w:tcPr>
          <w:p>
            <w:pPr>
              <w:pStyle w:val="Tabela"/>
              <w:jc w:val="left"/>
            </w:pPr>
            <w:r>
              <w:t xml:space="preserve">Sudeste Paraense — não mineradores</w:t>
            </w:r>
          </w:p>
        </w:tc>
        <w:tc>
          <w:tcPr>
            <w:tcMar>
              <w:top w:type="dxa" w:w="60"/>
              <w:left w:type="dxa" w:w="100"/>
              <w:bottom w:type="dxa" w:w="60"/>
              <w:right w:type="dxa" w:w="100"/>
            </w:tcMar>
            <w:vAlign w:val="center"/>
          </w:tcPr>
          <w:p>
            <w:pPr>
              <w:pStyle w:val="Tabela"/>
              <w:jc w:val="left"/>
            </w:pPr>
            <w:r>
              <w:t xml:space="preserve">0,1</w:t>
            </w:r>
          </w:p>
        </w:tc>
        <w:tc>
          <w:tcPr>
            <w:tcMar>
              <w:top w:type="dxa" w:w="60"/>
              <w:left w:type="dxa" w:w="100"/>
              <w:bottom w:type="dxa" w:w="60"/>
              <w:right w:type="dxa" w:w="100"/>
            </w:tcMar>
            <w:vAlign w:val="center"/>
          </w:tcPr>
          <w:p>
            <w:pPr>
              <w:pStyle w:val="Tabela"/>
              <w:jc w:val="left"/>
            </w:pPr>
            <w:r>
              <w:t xml:space="preserve">0,2</w:t>
            </w:r>
          </w:p>
        </w:tc>
        <w:tc>
          <w:tcPr>
            <w:tcMar>
              <w:top w:type="dxa" w:w="60"/>
              <w:left w:type="dxa" w:w="100"/>
              <w:bottom w:type="dxa" w:w="60"/>
              <w:right w:type="dxa" w:w="100"/>
            </w:tcMar>
            <w:vAlign w:val="center"/>
          </w:tcPr>
          <w:p>
            <w:pPr>
              <w:pStyle w:val="Tabela"/>
              <w:jc w:val="left"/>
            </w:pPr>
            <w:r>
              <w:t xml:space="preserve">0,2</w:t>
            </w:r>
          </w:p>
        </w:tc>
      </w:tr>
      <w:tr>
        <w:tc>
          <w:tcPr>
            <w:tcMar>
              <w:top w:type="dxa" w:w="60"/>
              <w:left w:type="dxa" w:w="100"/>
              <w:bottom w:type="dxa" w:w="60"/>
              <w:right w:type="dxa" w:w="100"/>
            </w:tcMar>
            <w:vAlign w:val="center"/>
          </w:tcPr>
          <w:p>
            <w:pPr>
              <w:pStyle w:val="Tabela"/>
              <w:jc w:val="left"/>
            </w:pPr>
            <w:r>
              <w:t xml:space="preserve">Ocupados na extrativa (%)</w:t>
            </w:r>
          </w:p>
        </w:tc>
        <w:tc>
          <w:tcPr>
            <w:tcMar>
              <w:top w:type="dxa" w:w="60"/>
              <w:left w:type="dxa" w:w="100"/>
              <w:bottom w:type="dxa" w:w="60"/>
              <w:right w:type="dxa" w:w="100"/>
            </w:tcMar>
            <w:vAlign w:val="center"/>
          </w:tcPr>
          <w:p>
            <w:pPr>
              <w:pStyle w:val="Tabela"/>
              <w:jc w:val="left"/>
            </w:pPr>
            <w:r>
              <w:t xml:space="preserve">Pará — mineradores (demais)</w:t>
            </w:r>
          </w:p>
        </w:tc>
        <w:tc>
          <w:tcPr>
            <w:tcMar>
              <w:top w:type="dxa" w:w="60"/>
              <w:left w:type="dxa" w:w="100"/>
              <w:bottom w:type="dxa" w:w="60"/>
              <w:right w:type="dxa" w:w="100"/>
            </w:tcMar>
            <w:vAlign w:val="center"/>
          </w:tcPr>
          <w:p>
            <w:pPr>
              <w:pStyle w:val="Tabela"/>
              <w:jc w:val="left"/>
            </w:pPr>
            <w:r>
              <w:t xml:space="preserve">1,4</w:t>
            </w:r>
          </w:p>
        </w:tc>
        <w:tc>
          <w:tcPr>
            <w:tcMar>
              <w:top w:type="dxa" w:w="60"/>
              <w:left w:type="dxa" w:w="100"/>
              <w:bottom w:type="dxa" w:w="60"/>
              <w:right w:type="dxa" w:w="100"/>
            </w:tcMar>
            <w:vAlign w:val="center"/>
          </w:tcPr>
          <w:p>
            <w:pPr>
              <w:pStyle w:val="Tabela"/>
              <w:jc w:val="left"/>
            </w:pPr>
            <w:r>
              <w:t xml:space="preserve">0,7</w:t>
            </w:r>
          </w:p>
        </w:tc>
        <w:tc>
          <w:tcPr>
            <w:tcMar>
              <w:top w:type="dxa" w:w="60"/>
              <w:left w:type="dxa" w:w="100"/>
              <w:bottom w:type="dxa" w:w="60"/>
              <w:right w:type="dxa" w:w="100"/>
            </w:tcMar>
            <w:vAlign w:val="center"/>
          </w:tcPr>
          <w:p>
            <w:pPr>
              <w:pStyle w:val="Tabela"/>
              <w:jc w:val="left"/>
            </w:pPr>
            <w:r>
              <w:t xml:space="preserve">0,7</w:t>
            </w:r>
          </w:p>
        </w:tc>
      </w:tr>
      <w:tr>
        <w:tc>
          <w:tcPr>
            <w:tcMar>
              <w:top w:type="dxa" w:w="60"/>
              <w:left w:type="dxa" w:w="100"/>
              <w:bottom w:type="dxa" w:w="60"/>
              <w:right w:type="dxa" w:w="100"/>
            </w:tcMar>
            <w:vAlign w:val="center"/>
          </w:tcPr>
          <w:p>
            <w:pPr>
              <w:pStyle w:val="Tabela"/>
              <w:jc w:val="left"/>
            </w:pPr>
            <w:r>
              <w:t xml:space="preserve">Ocupados na extrativa (%)</w:t>
            </w:r>
          </w:p>
        </w:tc>
        <w:tc>
          <w:tcPr>
            <w:tcMar>
              <w:top w:type="dxa" w:w="60"/>
              <w:left w:type="dxa" w:w="100"/>
              <w:bottom w:type="dxa" w:w="60"/>
              <w:right w:type="dxa" w:w="100"/>
            </w:tcMar>
            <w:vAlign w:val="center"/>
          </w:tcPr>
          <w:p>
            <w:pPr>
              <w:pStyle w:val="Tabela"/>
              <w:jc w:val="left"/>
            </w:pPr>
            <w:r>
              <w:t xml:space="preserve">Pará — não mineradores (demais)</w:t>
            </w:r>
          </w:p>
        </w:tc>
        <w:tc>
          <w:tcPr>
            <w:tcMar>
              <w:top w:type="dxa" w:w="60"/>
              <w:left w:type="dxa" w:w="100"/>
              <w:bottom w:type="dxa" w:w="60"/>
              <w:right w:type="dxa" w:w="100"/>
            </w:tcMar>
            <w:vAlign w:val="center"/>
          </w:tcPr>
          <w:p>
            <w:pPr>
              <w:pStyle w:val="Tabela"/>
              <w:jc w:val="left"/>
            </w:pPr>
            <w:r>
              <w:t xml:space="preserve">0,2</w:t>
            </w:r>
          </w:p>
        </w:tc>
        <w:tc>
          <w:tcPr>
            <w:tcMar>
              <w:top w:type="dxa" w:w="60"/>
              <w:left w:type="dxa" w:w="100"/>
              <w:bottom w:type="dxa" w:w="60"/>
              <w:right w:type="dxa" w:w="100"/>
            </w:tcMar>
            <w:vAlign w:val="center"/>
          </w:tcPr>
          <w:p>
            <w:pPr>
              <w:pStyle w:val="Tabela"/>
              <w:jc w:val="left"/>
            </w:pPr>
            <w:r>
              <w:t xml:space="preserve">0,2</w:t>
            </w:r>
          </w:p>
        </w:tc>
        <w:tc>
          <w:tcPr>
            <w:tcMar>
              <w:top w:type="dxa" w:w="60"/>
              <w:left w:type="dxa" w:w="100"/>
              <w:bottom w:type="dxa" w:w="60"/>
              <w:right w:type="dxa" w:w="100"/>
            </w:tcMar>
            <w:vAlign w:val="center"/>
          </w:tcPr>
          <w:p>
            <w:pPr>
              <w:pStyle w:val="Tabela"/>
              <w:jc w:val="left"/>
            </w:pPr>
            <w:r>
              <w:t xml:space="preserve">0,2</w:t>
            </w:r>
          </w:p>
        </w:tc>
      </w:tr>
      <w:tr>
        <w:tc>
          <w:tcPr>
            <w:tcMar>
              <w:top w:type="dxa" w:w="60"/>
              <w:left w:type="dxa" w:w="100"/>
              <w:bottom w:type="dxa" w:w="60"/>
              <w:right w:type="dxa" w:w="100"/>
            </w:tcMar>
            <w:vAlign w:val="center"/>
          </w:tcPr>
          <w:p>
            <w:pPr>
              <w:pStyle w:val="Tabela"/>
              <w:jc w:val="left"/>
            </w:pPr>
            <w:r>
              <w:t xml:space="preserve">Pop. em domicílio sem esgoto adequado (%)</w:t>
            </w:r>
          </w:p>
        </w:tc>
        <w:tc>
          <w:tcPr>
            <w:tcMar>
              <w:top w:type="dxa" w:w="60"/>
              <w:left w:type="dxa" w:w="100"/>
              <w:bottom w:type="dxa" w:w="60"/>
              <w:right w:type="dxa" w:w="100"/>
            </w:tcMar>
            <w:vAlign w:val="center"/>
          </w:tcPr>
          <w:p>
            <w:pPr>
              <w:pStyle w:val="Tabela"/>
              <w:jc w:val="left"/>
            </w:pPr>
            <w:r>
              <w:t xml:space="preserve">Canaã dos Carajás</w:t>
            </w:r>
          </w:p>
        </w:tc>
        <w:tc>
          <w:tcPr>
            <w:tcMar>
              <w:top w:type="dxa" w:w="60"/>
              <w:left w:type="dxa" w:w="100"/>
              <w:bottom w:type="dxa" w:w="60"/>
              <w:right w:type="dxa" w:w="100"/>
            </w:tcMar>
            <w:vAlign w:val="center"/>
          </w:tcPr>
          <w:p>
            <w:pPr>
              <w:pStyle w:val="Tabela"/>
              <w:jc w:val="left"/>
            </w:pPr>
            <w:r>
              <w:t xml:space="preserve">92,9</w:t>
            </w:r>
          </w:p>
        </w:tc>
        <w:tc>
          <w:tcPr>
            <w:tcMar>
              <w:top w:type="dxa" w:w="60"/>
              <w:left w:type="dxa" w:w="100"/>
              <w:bottom w:type="dxa" w:w="60"/>
              <w:right w:type="dxa" w:w="100"/>
            </w:tcMar>
            <w:vAlign w:val="center"/>
          </w:tcPr>
          <w:p>
            <w:pPr>
              <w:pStyle w:val="Tabela"/>
              <w:jc w:val="left"/>
            </w:pPr>
            <w:r>
              <w:t xml:space="preserve">66,1</w:t>
            </w:r>
          </w:p>
        </w:tc>
        <w:tc>
          <w:tcPr>
            <w:tcMar>
              <w:top w:type="dxa" w:w="60"/>
              <w:left w:type="dxa" w:w="100"/>
              <w:bottom w:type="dxa" w:w="60"/>
              <w:right w:type="dxa" w:w="100"/>
            </w:tcMar>
            <w:vAlign w:val="center"/>
          </w:tcPr>
          <w:p>
            <w:pPr>
              <w:pStyle w:val="Tabela"/>
              <w:jc w:val="left"/>
            </w:pPr>
            <w:r>
              <w:t xml:space="preserve">40,3</w:t>
            </w:r>
          </w:p>
        </w:tc>
      </w:tr>
      <w:tr>
        <w:tc>
          <w:tcPr>
            <w:tcMar>
              <w:top w:type="dxa" w:w="60"/>
              <w:left w:type="dxa" w:w="100"/>
              <w:bottom w:type="dxa" w:w="60"/>
              <w:right w:type="dxa" w:w="100"/>
            </w:tcMar>
            <w:vAlign w:val="center"/>
          </w:tcPr>
          <w:p>
            <w:pPr>
              <w:pStyle w:val="Tabela"/>
              <w:jc w:val="left"/>
            </w:pPr>
            <w:r>
              <w:t xml:space="preserve">Pop. em domicílio sem esgoto adequado (%)</w:t>
            </w:r>
          </w:p>
        </w:tc>
        <w:tc>
          <w:tcPr>
            <w:tcMar>
              <w:top w:type="dxa" w:w="60"/>
              <w:left w:type="dxa" w:w="100"/>
              <w:bottom w:type="dxa" w:w="60"/>
              <w:right w:type="dxa" w:w="100"/>
            </w:tcMar>
            <w:vAlign w:val="center"/>
          </w:tcPr>
          <w:p>
            <w:pPr>
              <w:pStyle w:val="Tabela"/>
              <w:jc w:val="left"/>
            </w:pPr>
            <w:r>
              <w:t xml:space="preserve">Parauapebas</w:t>
            </w:r>
          </w:p>
        </w:tc>
        <w:tc>
          <w:tcPr>
            <w:tcMar>
              <w:top w:type="dxa" w:w="60"/>
              <w:left w:type="dxa" w:w="100"/>
              <w:bottom w:type="dxa" w:w="60"/>
              <w:right w:type="dxa" w:w="100"/>
            </w:tcMar>
            <w:vAlign w:val="center"/>
          </w:tcPr>
          <w:p>
            <w:pPr>
              <w:pStyle w:val="Tabela"/>
              <w:jc w:val="left"/>
            </w:pPr>
            <w:r>
              <w:t xml:space="preserve">43,7</w:t>
            </w:r>
          </w:p>
        </w:tc>
        <w:tc>
          <w:tcPr>
            <w:tcMar>
              <w:top w:type="dxa" w:w="60"/>
              <w:left w:type="dxa" w:w="100"/>
              <w:bottom w:type="dxa" w:w="60"/>
              <w:right w:type="dxa" w:w="100"/>
            </w:tcMar>
            <w:vAlign w:val="center"/>
          </w:tcPr>
          <w:p>
            <w:pPr>
              <w:pStyle w:val="Tabela"/>
              <w:jc w:val="left"/>
            </w:pPr>
            <w:r>
              <w:t xml:space="preserve">53,8</w:t>
            </w:r>
          </w:p>
        </w:tc>
        <w:tc>
          <w:tcPr>
            <w:tcMar>
              <w:top w:type="dxa" w:w="60"/>
              <w:left w:type="dxa" w:w="100"/>
              <w:bottom w:type="dxa" w:w="60"/>
              <w:right w:type="dxa" w:w="100"/>
            </w:tcMar>
            <w:vAlign w:val="center"/>
          </w:tcPr>
          <w:p>
            <w:pPr>
              <w:pStyle w:val="Tabela"/>
              <w:jc w:val="left"/>
            </w:pPr>
            <w:r>
              <w:t xml:space="preserve">71,8</w:t>
            </w:r>
          </w:p>
        </w:tc>
      </w:tr>
      <w:tr>
        <w:tc>
          <w:tcPr>
            <w:tcMar>
              <w:top w:type="dxa" w:w="60"/>
              <w:left w:type="dxa" w:w="100"/>
              <w:bottom w:type="dxa" w:w="60"/>
              <w:right w:type="dxa" w:w="100"/>
            </w:tcMar>
            <w:vAlign w:val="center"/>
          </w:tcPr>
          <w:p>
            <w:pPr>
              <w:pStyle w:val="Tabela"/>
              <w:jc w:val="left"/>
            </w:pPr>
            <w:r>
              <w:t xml:space="preserve">Pop. em domicílio sem esgoto adequado (%)</w:t>
            </w:r>
          </w:p>
        </w:tc>
        <w:tc>
          <w:tcPr>
            <w:tcMar>
              <w:top w:type="dxa" w:w="60"/>
              <w:left w:type="dxa" w:w="100"/>
              <w:bottom w:type="dxa" w:w="60"/>
              <w:right w:type="dxa" w:w="100"/>
            </w:tcMar>
            <w:vAlign w:val="center"/>
          </w:tcPr>
          <w:p>
            <w:pPr>
              <w:pStyle w:val="Tabela"/>
              <w:jc w:val="left"/>
            </w:pPr>
            <w:r>
              <w:t xml:space="preserve">Sudeste Paraense — outros mineradores</w:t>
            </w:r>
          </w:p>
        </w:tc>
        <w:tc>
          <w:tcPr>
            <w:tcMar>
              <w:top w:type="dxa" w:w="60"/>
              <w:left w:type="dxa" w:w="100"/>
              <w:bottom w:type="dxa" w:w="60"/>
              <w:right w:type="dxa" w:w="100"/>
            </w:tcMar>
            <w:vAlign w:val="center"/>
          </w:tcPr>
          <w:p>
            <w:pPr>
              <w:pStyle w:val="Tabela"/>
              <w:jc w:val="left"/>
            </w:pPr>
            <w:r>
              <w:t xml:space="preserve">82,1</w:t>
            </w:r>
          </w:p>
        </w:tc>
        <w:tc>
          <w:tcPr>
            <w:tcMar>
              <w:top w:type="dxa" w:w="60"/>
              <w:left w:type="dxa" w:w="100"/>
              <w:bottom w:type="dxa" w:w="60"/>
              <w:right w:type="dxa" w:w="100"/>
            </w:tcMar>
            <w:vAlign w:val="center"/>
          </w:tcPr>
          <w:p>
            <w:pPr>
              <w:pStyle w:val="Tabela"/>
              <w:jc w:val="left"/>
            </w:pPr>
            <w:r>
              <w:t xml:space="preserve">83,3</w:t>
            </w:r>
          </w:p>
        </w:tc>
        <w:tc>
          <w:tcPr>
            <w:tcMar>
              <w:top w:type="dxa" w:w="60"/>
              <w:left w:type="dxa" w:w="100"/>
              <w:bottom w:type="dxa" w:w="60"/>
              <w:right w:type="dxa" w:w="100"/>
            </w:tcMar>
            <w:vAlign w:val="center"/>
          </w:tcPr>
          <w:p>
            <w:pPr>
              <w:pStyle w:val="Tabela"/>
              <w:jc w:val="left"/>
            </w:pPr>
            <w:r>
              <w:t xml:space="preserve">89,0</w:t>
            </w:r>
          </w:p>
        </w:tc>
      </w:tr>
      <w:tr>
        <w:tc>
          <w:tcPr>
            <w:tcMar>
              <w:top w:type="dxa" w:w="60"/>
              <w:left w:type="dxa" w:w="100"/>
              <w:bottom w:type="dxa" w:w="60"/>
              <w:right w:type="dxa" w:w="100"/>
            </w:tcMar>
            <w:vAlign w:val="center"/>
          </w:tcPr>
          <w:p>
            <w:pPr>
              <w:pStyle w:val="Tabela"/>
              <w:jc w:val="left"/>
            </w:pPr>
            <w:r>
              <w:t xml:space="preserve">Pop. em domicílio sem esgoto adequado (%)</w:t>
            </w:r>
          </w:p>
        </w:tc>
        <w:tc>
          <w:tcPr>
            <w:tcMar>
              <w:top w:type="dxa" w:w="60"/>
              <w:left w:type="dxa" w:w="100"/>
              <w:bottom w:type="dxa" w:w="60"/>
              <w:right w:type="dxa" w:w="100"/>
            </w:tcMar>
            <w:vAlign w:val="center"/>
          </w:tcPr>
          <w:p>
            <w:pPr>
              <w:pStyle w:val="Tabela"/>
              <w:jc w:val="left"/>
            </w:pPr>
            <w:r>
              <w:t xml:space="preserve">Sudeste Paraense — não mineradores</w:t>
            </w:r>
          </w:p>
        </w:tc>
        <w:tc>
          <w:tcPr>
            <w:tcMar>
              <w:top w:type="dxa" w:w="60"/>
              <w:left w:type="dxa" w:w="100"/>
              <w:bottom w:type="dxa" w:w="60"/>
              <w:right w:type="dxa" w:w="100"/>
            </w:tcMar>
            <w:vAlign w:val="center"/>
          </w:tcPr>
          <w:p>
            <w:pPr>
              <w:pStyle w:val="Tabela"/>
              <w:jc w:val="left"/>
            </w:pPr>
            <w:r>
              <w:t xml:space="preserve">94,8</w:t>
            </w:r>
          </w:p>
        </w:tc>
        <w:tc>
          <w:tcPr>
            <w:tcMar>
              <w:top w:type="dxa" w:w="60"/>
              <w:left w:type="dxa" w:w="100"/>
              <w:bottom w:type="dxa" w:w="60"/>
              <w:right w:type="dxa" w:w="100"/>
            </w:tcMar>
            <w:vAlign w:val="center"/>
          </w:tcPr>
          <w:p>
            <w:pPr>
              <w:pStyle w:val="Tabela"/>
              <w:jc w:val="left"/>
            </w:pPr>
            <w:r>
              <w:t xml:space="preserve">91,4</w:t>
            </w:r>
          </w:p>
        </w:tc>
        <w:tc>
          <w:tcPr>
            <w:tcMar>
              <w:top w:type="dxa" w:w="60"/>
              <w:left w:type="dxa" w:w="100"/>
              <w:bottom w:type="dxa" w:w="60"/>
              <w:right w:type="dxa" w:w="100"/>
            </w:tcMar>
            <w:vAlign w:val="center"/>
          </w:tcPr>
          <w:p>
            <w:pPr>
              <w:pStyle w:val="Tabela"/>
              <w:jc w:val="left"/>
            </w:pPr>
            <w:r>
              <w:t xml:space="preserve">95,3</w:t>
            </w:r>
          </w:p>
        </w:tc>
      </w:tr>
      <w:tr>
        <w:tc>
          <w:tcPr>
            <w:tcMar>
              <w:top w:type="dxa" w:w="60"/>
              <w:left w:type="dxa" w:w="100"/>
              <w:bottom w:type="dxa" w:w="60"/>
              <w:right w:type="dxa" w:w="100"/>
            </w:tcMar>
            <w:vAlign w:val="center"/>
          </w:tcPr>
          <w:p>
            <w:pPr>
              <w:pStyle w:val="Tabela"/>
              <w:jc w:val="left"/>
            </w:pPr>
            <w:r>
              <w:t xml:space="preserve">Pop. em domicílio sem esgoto adequado (%)</w:t>
            </w:r>
          </w:p>
        </w:tc>
        <w:tc>
          <w:tcPr>
            <w:tcMar>
              <w:top w:type="dxa" w:w="60"/>
              <w:left w:type="dxa" w:w="100"/>
              <w:bottom w:type="dxa" w:w="60"/>
              <w:right w:type="dxa" w:w="100"/>
            </w:tcMar>
            <w:vAlign w:val="center"/>
          </w:tcPr>
          <w:p>
            <w:pPr>
              <w:pStyle w:val="Tabela"/>
              <w:jc w:val="left"/>
            </w:pPr>
            <w:r>
              <w:t xml:space="preserve">Pará — mineradores (demais)</w:t>
            </w:r>
          </w:p>
        </w:tc>
        <w:tc>
          <w:tcPr>
            <w:tcMar>
              <w:top w:type="dxa" w:w="60"/>
              <w:left w:type="dxa" w:w="100"/>
              <w:bottom w:type="dxa" w:w="60"/>
              <w:right w:type="dxa" w:w="100"/>
            </w:tcMar>
            <w:vAlign w:val="center"/>
          </w:tcPr>
          <w:p>
            <w:pPr>
              <w:pStyle w:val="Tabela"/>
              <w:jc w:val="left"/>
            </w:pPr>
            <w:r>
              <w:t xml:space="preserve">52,4</w:t>
            </w:r>
          </w:p>
        </w:tc>
        <w:tc>
          <w:tcPr>
            <w:tcMar>
              <w:top w:type="dxa" w:w="60"/>
              <w:left w:type="dxa" w:w="100"/>
              <w:bottom w:type="dxa" w:w="60"/>
              <w:right w:type="dxa" w:w="100"/>
            </w:tcMar>
            <w:vAlign w:val="center"/>
          </w:tcPr>
          <w:p>
            <w:pPr>
              <w:pStyle w:val="Tabela"/>
              <w:jc w:val="left"/>
            </w:pPr>
            <w:r>
              <w:t xml:space="preserve">61,2</w:t>
            </w:r>
          </w:p>
        </w:tc>
        <w:tc>
          <w:tcPr>
            <w:tcMar>
              <w:top w:type="dxa" w:w="60"/>
              <w:left w:type="dxa" w:w="100"/>
              <w:bottom w:type="dxa" w:w="60"/>
              <w:right w:type="dxa" w:w="100"/>
            </w:tcMar>
            <w:vAlign w:val="center"/>
          </w:tcPr>
          <w:p>
            <w:pPr>
              <w:pStyle w:val="Tabela"/>
              <w:jc w:val="left"/>
            </w:pPr>
            <w:r>
              <w:t xml:space="preserve">74,1</w:t>
            </w:r>
          </w:p>
        </w:tc>
      </w:tr>
      <w:tr>
        <w:tc>
          <w:tcPr>
            <w:tcMar>
              <w:top w:type="dxa" w:w="60"/>
              <w:left w:type="dxa" w:w="100"/>
              <w:bottom w:type="dxa" w:w="60"/>
              <w:right w:type="dxa" w:w="100"/>
            </w:tcMar>
            <w:vAlign w:val="center"/>
          </w:tcPr>
          <w:p>
            <w:pPr>
              <w:pStyle w:val="Tabela"/>
              <w:jc w:val="left"/>
            </w:pPr>
            <w:r>
              <w:t xml:space="preserve">Pop. em domicílio sem esgoto adequado (%)</w:t>
            </w:r>
          </w:p>
        </w:tc>
        <w:tc>
          <w:tcPr>
            <w:tcMar>
              <w:top w:type="dxa" w:w="60"/>
              <w:left w:type="dxa" w:w="100"/>
              <w:bottom w:type="dxa" w:w="60"/>
              <w:right w:type="dxa" w:w="100"/>
            </w:tcMar>
            <w:vAlign w:val="center"/>
          </w:tcPr>
          <w:p>
            <w:pPr>
              <w:pStyle w:val="Tabela"/>
              <w:jc w:val="left"/>
            </w:pPr>
            <w:r>
              <w:t xml:space="preserve">Pará — não mineradores (demais)</w:t>
            </w:r>
          </w:p>
        </w:tc>
        <w:tc>
          <w:tcPr>
            <w:tcMar>
              <w:top w:type="dxa" w:w="60"/>
              <w:left w:type="dxa" w:w="100"/>
              <w:bottom w:type="dxa" w:w="60"/>
              <w:right w:type="dxa" w:w="100"/>
            </w:tcMar>
            <w:vAlign w:val="center"/>
          </w:tcPr>
          <w:p>
            <w:pPr>
              <w:pStyle w:val="Tabela"/>
              <w:jc w:val="left"/>
            </w:pPr>
            <w:r>
              <w:t xml:space="preserve">86,3</w:t>
            </w:r>
          </w:p>
        </w:tc>
        <w:tc>
          <w:tcPr>
            <w:tcMar>
              <w:top w:type="dxa" w:w="60"/>
              <w:left w:type="dxa" w:w="100"/>
              <w:bottom w:type="dxa" w:w="60"/>
              <w:right w:type="dxa" w:w="100"/>
            </w:tcMar>
            <w:vAlign w:val="center"/>
          </w:tcPr>
          <w:p>
            <w:pPr>
              <w:pStyle w:val="Tabela"/>
              <w:jc w:val="left"/>
            </w:pPr>
            <w:r>
              <w:t xml:space="preserve">86,9</w:t>
            </w:r>
          </w:p>
        </w:tc>
        <w:tc>
          <w:tcPr>
            <w:tcMar>
              <w:top w:type="dxa" w:w="60"/>
              <w:left w:type="dxa" w:w="100"/>
              <w:bottom w:type="dxa" w:w="60"/>
              <w:right w:type="dxa" w:w="100"/>
            </w:tcMar>
            <w:vAlign w:val="center"/>
          </w:tcPr>
          <w:p>
            <w:pPr>
              <w:pStyle w:val="Tabela"/>
              <w:jc w:val="left"/>
            </w:pPr>
            <w:r>
              <w:t xml:space="preserve">97,0</w:t>
            </w:r>
          </w:p>
        </w:tc>
      </w:tr>
      <w:tr>
        <w:tc>
          <w:tcPr>
            <w:tcMar>
              <w:top w:type="dxa" w:w="60"/>
              <w:left w:type="dxa" w:w="100"/>
              <w:bottom w:type="dxa" w:w="60"/>
              <w:right w:type="dxa" w:w="100"/>
            </w:tcMar>
            <w:vAlign w:val="center"/>
          </w:tcPr>
          <w:p>
            <w:pPr>
              <w:pStyle w:val="Tabela"/>
              <w:jc w:val="left"/>
            </w:pPr>
            <w:r>
              <w:t xml:space="preserve">Pop. em domicílio alugado (%)</w:t>
            </w:r>
          </w:p>
        </w:tc>
        <w:tc>
          <w:tcPr>
            <w:tcMar>
              <w:top w:type="dxa" w:w="60"/>
              <w:left w:type="dxa" w:w="100"/>
              <w:bottom w:type="dxa" w:w="60"/>
              <w:right w:type="dxa" w:w="100"/>
            </w:tcMar>
            <w:vAlign w:val="center"/>
          </w:tcPr>
          <w:p>
            <w:pPr>
              <w:pStyle w:val="Tabela"/>
              <w:jc w:val="left"/>
            </w:pPr>
            <w:r>
              <w:t xml:space="preserve">Canaã dos Carajás</w:t>
            </w:r>
          </w:p>
        </w:tc>
        <w:tc>
          <w:tcPr>
            <w:tcMar>
              <w:top w:type="dxa" w:w="60"/>
              <w:left w:type="dxa" w:w="100"/>
              <w:bottom w:type="dxa" w:w="60"/>
              <w:right w:type="dxa" w:w="100"/>
            </w:tcMar>
            <w:vAlign w:val="center"/>
          </w:tcPr>
          <w:p>
            <w:pPr>
              <w:pStyle w:val="Tabela"/>
              <w:jc w:val="left"/>
            </w:pPr>
            <w:r>
              <w:t xml:space="preserve">3,2</w:t>
            </w:r>
          </w:p>
        </w:tc>
        <w:tc>
          <w:tcPr>
            <w:tcMar>
              <w:top w:type="dxa" w:w="60"/>
              <w:left w:type="dxa" w:w="100"/>
              <w:bottom w:type="dxa" w:w="60"/>
              <w:right w:type="dxa" w:w="100"/>
            </w:tcMar>
            <w:vAlign w:val="center"/>
          </w:tcPr>
          <w:p>
            <w:pPr>
              <w:pStyle w:val="Tabela"/>
              <w:jc w:val="left"/>
            </w:pPr>
            <w:r>
              <w:t xml:space="preserve">23,1</w:t>
            </w:r>
          </w:p>
        </w:tc>
        <w:tc>
          <w:tcPr>
            <w:tcMar>
              <w:top w:type="dxa" w:w="60"/>
              <w:left w:type="dxa" w:w="100"/>
              <w:bottom w:type="dxa" w:w="60"/>
              <w:right w:type="dxa" w:w="100"/>
            </w:tcMar>
            <w:vAlign w:val="center"/>
          </w:tcPr>
          <w:p>
            <w:pPr>
              <w:pStyle w:val="Tabela"/>
              <w:jc w:val="left"/>
            </w:pPr>
            <w:r>
              <w:t xml:space="preserve">28,0</w:t>
            </w:r>
          </w:p>
        </w:tc>
      </w:tr>
      <w:tr>
        <w:tc>
          <w:tcPr>
            <w:tcMar>
              <w:top w:type="dxa" w:w="60"/>
              <w:left w:type="dxa" w:w="100"/>
              <w:bottom w:type="dxa" w:w="60"/>
              <w:right w:type="dxa" w:w="100"/>
            </w:tcMar>
            <w:vAlign w:val="center"/>
          </w:tcPr>
          <w:p>
            <w:pPr>
              <w:pStyle w:val="Tabela"/>
              <w:jc w:val="left"/>
            </w:pPr>
            <w:r>
              <w:t xml:space="preserve">Pop. em domicílio alugado (%)</w:t>
            </w:r>
          </w:p>
        </w:tc>
        <w:tc>
          <w:tcPr>
            <w:tcMar>
              <w:top w:type="dxa" w:w="60"/>
              <w:left w:type="dxa" w:w="100"/>
              <w:bottom w:type="dxa" w:w="60"/>
              <w:right w:type="dxa" w:w="100"/>
            </w:tcMar>
            <w:vAlign w:val="center"/>
          </w:tcPr>
          <w:p>
            <w:pPr>
              <w:pStyle w:val="Tabela"/>
              <w:jc w:val="left"/>
            </w:pPr>
            <w:r>
              <w:t xml:space="preserve">Parauapebas</w:t>
            </w:r>
          </w:p>
        </w:tc>
        <w:tc>
          <w:tcPr>
            <w:tcMar>
              <w:top w:type="dxa" w:w="60"/>
              <w:left w:type="dxa" w:w="100"/>
              <w:bottom w:type="dxa" w:w="60"/>
              <w:right w:type="dxa" w:w="100"/>
            </w:tcMar>
            <w:vAlign w:val="center"/>
          </w:tcPr>
          <w:p>
            <w:pPr>
              <w:pStyle w:val="Tabela"/>
              <w:jc w:val="left"/>
            </w:pPr>
            <w:r>
              <w:t xml:space="preserve">16,4</w:t>
            </w:r>
          </w:p>
        </w:tc>
        <w:tc>
          <w:tcPr>
            <w:tcMar>
              <w:top w:type="dxa" w:w="60"/>
              <w:left w:type="dxa" w:w="100"/>
              <w:bottom w:type="dxa" w:w="60"/>
              <w:right w:type="dxa" w:w="100"/>
            </w:tcMar>
            <w:vAlign w:val="center"/>
          </w:tcPr>
          <w:p>
            <w:pPr>
              <w:pStyle w:val="Tabela"/>
              <w:jc w:val="left"/>
            </w:pPr>
            <w:r>
              <w:t xml:space="preserve">32,3</w:t>
            </w:r>
          </w:p>
        </w:tc>
        <w:tc>
          <w:tcPr>
            <w:tcMar>
              <w:top w:type="dxa" w:w="60"/>
              <w:left w:type="dxa" w:w="100"/>
              <w:bottom w:type="dxa" w:w="60"/>
              <w:right w:type="dxa" w:w="100"/>
            </w:tcMar>
            <w:vAlign w:val="center"/>
          </w:tcPr>
          <w:p>
            <w:pPr>
              <w:pStyle w:val="Tabela"/>
              <w:jc w:val="left"/>
            </w:pPr>
            <w:r>
              <w:t xml:space="preserve">28,0</w:t>
            </w:r>
          </w:p>
        </w:tc>
      </w:tr>
      <w:tr>
        <w:tc>
          <w:tcPr>
            <w:tcMar>
              <w:top w:type="dxa" w:w="60"/>
              <w:left w:type="dxa" w:w="100"/>
              <w:bottom w:type="dxa" w:w="60"/>
              <w:right w:type="dxa" w:w="100"/>
            </w:tcMar>
            <w:vAlign w:val="center"/>
          </w:tcPr>
          <w:p>
            <w:pPr>
              <w:pStyle w:val="Tabela"/>
              <w:jc w:val="left"/>
            </w:pPr>
            <w:r>
              <w:t xml:space="preserve">Pop. em domicílio alugado (%)</w:t>
            </w:r>
          </w:p>
        </w:tc>
        <w:tc>
          <w:tcPr>
            <w:tcMar>
              <w:top w:type="dxa" w:w="60"/>
              <w:left w:type="dxa" w:w="100"/>
              <w:bottom w:type="dxa" w:w="60"/>
              <w:right w:type="dxa" w:w="100"/>
            </w:tcMar>
            <w:vAlign w:val="center"/>
          </w:tcPr>
          <w:p>
            <w:pPr>
              <w:pStyle w:val="Tabela"/>
              <w:jc w:val="left"/>
            </w:pPr>
            <w:r>
              <w:t xml:space="preserve">Sudeste Paraense — outros mineradores</w:t>
            </w:r>
          </w:p>
        </w:tc>
        <w:tc>
          <w:tcPr>
            <w:tcMar>
              <w:top w:type="dxa" w:w="60"/>
              <w:left w:type="dxa" w:w="100"/>
              <w:bottom w:type="dxa" w:w="60"/>
              <w:right w:type="dxa" w:w="100"/>
            </w:tcMar>
            <w:vAlign w:val="center"/>
          </w:tcPr>
          <w:p>
            <w:pPr>
              <w:pStyle w:val="Tabela"/>
              <w:jc w:val="left"/>
            </w:pPr>
            <w:r>
              <w:t xml:space="preserve">7,7</w:t>
            </w:r>
          </w:p>
        </w:tc>
        <w:tc>
          <w:tcPr>
            <w:tcMar>
              <w:top w:type="dxa" w:w="60"/>
              <w:left w:type="dxa" w:w="100"/>
              <w:bottom w:type="dxa" w:w="60"/>
              <w:right w:type="dxa" w:w="100"/>
            </w:tcMar>
            <w:vAlign w:val="center"/>
          </w:tcPr>
          <w:p>
            <w:pPr>
              <w:pStyle w:val="Tabela"/>
              <w:jc w:val="left"/>
            </w:pPr>
            <w:r>
              <w:t xml:space="preserve">13,8</w:t>
            </w:r>
          </w:p>
        </w:tc>
        <w:tc>
          <w:tcPr>
            <w:tcMar>
              <w:top w:type="dxa" w:w="60"/>
              <w:left w:type="dxa" w:w="100"/>
              <w:bottom w:type="dxa" w:w="60"/>
              <w:right w:type="dxa" w:w="100"/>
            </w:tcMar>
            <w:vAlign w:val="center"/>
          </w:tcPr>
          <w:p>
            <w:pPr>
              <w:pStyle w:val="Tabela"/>
              <w:jc w:val="left"/>
            </w:pPr>
            <w:r>
              <w:t xml:space="preserve">17,2</w:t>
            </w:r>
          </w:p>
        </w:tc>
      </w:tr>
      <w:tr>
        <w:tc>
          <w:tcPr>
            <w:tcMar>
              <w:top w:type="dxa" w:w="60"/>
              <w:left w:type="dxa" w:w="100"/>
              <w:bottom w:type="dxa" w:w="60"/>
              <w:right w:type="dxa" w:w="100"/>
            </w:tcMar>
            <w:vAlign w:val="center"/>
          </w:tcPr>
          <w:p>
            <w:pPr>
              <w:pStyle w:val="Tabela"/>
              <w:jc w:val="left"/>
            </w:pPr>
            <w:r>
              <w:t xml:space="preserve">Pop. em domicílio alugado (%)</w:t>
            </w:r>
          </w:p>
        </w:tc>
        <w:tc>
          <w:tcPr>
            <w:tcMar>
              <w:top w:type="dxa" w:w="60"/>
              <w:left w:type="dxa" w:w="100"/>
              <w:bottom w:type="dxa" w:w="60"/>
              <w:right w:type="dxa" w:w="100"/>
            </w:tcMar>
            <w:vAlign w:val="center"/>
          </w:tcPr>
          <w:p>
            <w:pPr>
              <w:pStyle w:val="Tabela"/>
              <w:jc w:val="left"/>
            </w:pPr>
            <w:r>
              <w:t xml:space="preserve">Sudeste Paraense — não mineradores</w:t>
            </w:r>
          </w:p>
        </w:tc>
        <w:tc>
          <w:tcPr>
            <w:tcMar>
              <w:top w:type="dxa" w:w="60"/>
              <w:left w:type="dxa" w:w="100"/>
              <w:bottom w:type="dxa" w:w="60"/>
              <w:right w:type="dxa" w:w="100"/>
            </w:tcMar>
            <w:vAlign w:val="center"/>
          </w:tcPr>
          <w:p>
            <w:pPr>
              <w:pStyle w:val="Tabela"/>
              <w:jc w:val="left"/>
            </w:pPr>
            <w:r>
              <w:t xml:space="preserve">5,7</w:t>
            </w:r>
          </w:p>
        </w:tc>
        <w:tc>
          <w:tcPr>
            <w:tcMar>
              <w:top w:type="dxa" w:w="60"/>
              <w:left w:type="dxa" w:w="100"/>
              <w:bottom w:type="dxa" w:w="60"/>
              <w:right w:type="dxa" w:w="100"/>
            </w:tcMar>
            <w:vAlign w:val="center"/>
          </w:tcPr>
          <w:p>
            <w:pPr>
              <w:pStyle w:val="Tabela"/>
              <w:jc w:val="left"/>
            </w:pPr>
            <w:r>
              <w:t xml:space="preserve">11,9</w:t>
            </w:r>
          </w:p>
        </w:tc>
        <w:tc>
          <w:tcPr>
            <w:tcMar>
              <w:top w:type="dxa" w:w="60"/>
              <w:left w:type="dxa" w:w="100"/>
              <w:bottom w:type="dxa" w:w="60"/>
              <w:right w:type="dxa" w:w="100"/>
            </w:tcMar>
            <w:vAlign w:val="center"/>
          </w:tcPr>
          <w:p>
            <w:pPr>
              <w:pStyle w:val="Tabela"/>
              <w:jc w:val="left"/>
            </w:pPr>
            <w:r>
              <w:t xml:space="preserve">16,9</w:t>
            </w:r>
          </w:p>
        </w:tc>
      </w:tr>
      <w:tr>
        <w:tc>
          <w:tcPr>
            <w:tcMar>
              <w:top w:type="dxa" w:w="60"/>
              <w:left w:type="dxa" w:w="100"/>
              <w:bottom w:type="dxa" w:w="60"/>
              <w:right w:type="dxa" w:w="100"/>
            </w:tcMar>
            <w:vAlign w:val="center"/>
          </w:tcPr>
          <w:p>
            <w:pPr>
              <w:pStyle w:val="Tabela"/>
              <w:jc w:val="left"/>
            </w:pPr>
            <w:r>
              <w:t xml:space="preserve">Pop. em domicílio alugado (%)</w:t>
            </w:r>
          </w:p>
        </w:tc>
        <w:tc>
          <w:tcPr>
            <w:tcMar>
              <w:top w:type="dxa" w:w="60"/>
              <w:left w:type="dxa" w:w="100"/>
              <w:bottom w:type="dxa" w:w="60"/>
              <w:right w:type="dxa" w:w="100"/>
            </w:tcMar>
            <w:vAlign w:val="center"/>
          </w:tcPr>
          <w:p>
            <w:pPr>
              <w:pStyle w:val="Tabela"/>
              <w:jc w:val="left"/>
            </w:pPr>
            <w:r>
              <w:t xml:space="preserve">Pará — mineradores (demais)</w:t>
            </w:r>
          </w:p>
        </w:tc>
        <w:tc>
          <w:tcPr>
            <w:tcMar>
              <w:top w:type="dxa" w:w="60"/>
              <w:left w:type="dxa" w:w="100"/>
              <w:bottom w:type="dxa" w:w="60"/>
              <w:right w:type="dxa" w:w="100"/>
            </w:tcMar>
            <w:vAlign w:val="center"/>
          </w:tcPr>
          <w:p>
            <w:pPr>
              <w:pStyle w:val="Tabela"/>
              <w:jc w:val="left"/>
            </w:pPr>
            <w:r>
              <w:t xml:space="preserve">6,4</w:t>
            </w:r>
          </w:p>
        </w:tc>
        <w:tc>
          <w:tcPr>
            <w:tcMar>
              <w:top w:type="dxa" w:w="60"/>
              <w:left w:type="dxa" w:w="100"/>
              <w:bottom w:type="dxa" w:w="60"/>
              <w:right w:type="dxa" w:w="100"/>
            </w:tcMar>
            <w:vAlign w:val="center"/>
          </w:tcPr>
          <w:p>
            <w:pPr>
              <w:pStyle w:val="Tabela"/>
              <w:jc w:val="left"/>
            </w:pPr>
            <w:r>
              <w:t xml:space="preserve">10,3</w:t>
            </w:r>
          </w:p>
        </w:tc>
        <w:tc>
          <w:tcPr>
            <w:tcMar>
              <w:top w:type="dxa" w:w="60"/>
              <w:left w:type="dxa" w:w="100"/>
              <w:bottom w:type="dxa" w:w="60"/>
              <w:right w:type="dxa" w:w="100"/>
            </w:tcMar>
            <w:vAlign w:val="center"/>
          </w:tcPr>
          <w:p>
            <w:pPr>
              <w:pStyle w:val="Tabela"/>
              <w:jc w:val="left"/>
            </w:pPr>
            <w:r>
              <w:t xml:space="preserve">13,7</w:t>
            </w:r>
          </w:p>
        </w:tc>
      </w:tr>
      <w:tr>
        <w:tc>
          <w:tcPr>
            <w:tcMar>
              <w:top w:type="dxa" w:w="60"/>
              <w:left w:type="dxa" w:w="100"/>
              <w:bottom w:type="dxa" w:w="60"/>
              <w:right w:type="dxa" w:w="100"/>
            </w:tcMar>
            <w:vAlign w:val="center"/>
          </w:tcPr>
          <w:p>
            <w:pPr>
              <w:pStyle w:val="Tabela"/>
              <w:jc w:val="left"/>
            </w:pPr>
            <w:r>
              <w:t xml:space="preserve">Pop. em domicílio alugado (%)</w:t>
            </w:r>
          </w:p>
        </w:tc>
        <w:tc>
          <w:tcPr>
            <w:tcMar>
              <w:top w:type="dxa" w:w="60"/>
              <w:left w:type="dxa" w:w="100"/>
              <w:bottom w:type="dxa" w:w="60"/>
              <w:right w:type="dxa" w:w="100"/>
            </w:tcMar>
            <w:vAlign w:val="center"/>
          </w:tcPr>
          <w:p>
            <w:pPr>
              <w:pStyle w:val="Tabela"/>
              <w:jc w:val="left"/>
            </w:pPr>
            <w:r>
              <w:t xml:space="preserve">Pará — não mineradores (demais)</w:t>
            </w:r>
          </w:p>
        </w:tc>
        <w:tc>
          <w:tcPr>
            <w:tcMar>
              <w:top w:type="dxa" w:w="60"/>
              <w:left w:type="dxa" w:w="100"/>
              <w:bottom w:type="dxa" w:w="60"/>
              <w:right w:type="dxa" w:w="100"/>
            </w:tcMar>
            <w:vAlign w:val="center"/>
          </w:tcPr>
          <w:p>
            <w:pPr>
              <w:pStyle w:val="Tabela"/>
              <w:jc w:val="left"/>
            </w:pPr>
            <w:r>
              <w:t xml:space="preserve">2,2</w:t>
            </w:r>
          </w:p>
        </w:tc>
        <w:tc>
          <w:tcPr>
            <w:tcMar>
              <w:top w:type="dxa" w:w="60"/>
              <w:left w:type="dxa" w:w="100"/>
              <w:bottom w:type="dxa" w:w="60"/>
              <w:right w:type="dxa" w:w="100"/>
            </w:tcMar>
            <w:vAlign w:val="center"/>
          </w:tcPr>
          <w:p>
            <w:pPr>
              <w:pStyle w:val="Tabela"/>
              <w:jc w:val="left"/>
            </w:pPr>
            <w:r>
              <w:t xml:space="preserve">3,6</w:t>
            </w:r>
          </w:p>
        </w:tc>
        <w:tc>
          <w:tcPr>
            <w:tcMar>
              <w:top w:type="dxa" w:w="60"/>
              <w:left w:type="dxa" w:w="100"/>
              <w:bottom w:type="dxa" w:w="60"/>
              <w:right w:type="dxa" w:w="100"/>
            </w:tcMar>
            <w:vAlign w:val="center"/>
          </w:tcPr>
          <w:p>
            <w:pPr>
              <w:pStyle w:val="Tabela"/>
              <w:jc w:val="left"/>
            </w:pPr>
            <w:r>
              <w:t xml:space="preserve">5,2</w:t>
            </w:r>
          </w:p>
        </w:tc>
      </w:tr>
      <w:tr>
        <w:tc>
          <w:tcPr>
            <w:tcMar>
              <w:top w:type="dxa" w:w="60"/>
              <w:left w:type="dxa" w:w="100"/>
              <w:bottom w:type="dxa" w:w="60"/>
              <w:right w:type="dxa" w:w="100"/>
            </w:tcMar>
            <w:vAlign w:val="center"/>
          </w:tcPr>
          <w:p>
            <w:pPr>
              <w:pStyle w:val="Tabela"/>
              <w:jc w:val="left"/>
            </w:pPr>
            <w:r>
              <w:t xml:space="preserve">Renda média do trabalho (R$ 2022)</w:t>
            </w:r>
          </w:p>
        </w:tc>
        <w:tc>
          <w:tcPr>
            <w:tcMar>
              <w:top w:type="dxa" w:w="60"/>
              <w:left w:type="dxa" w:w="100"/>
              <w:bottom w:type="dxa" w:w="60"/>
              <w:right w:type="dxa" w:w="100"/>
            </w:tcMar>
            <w:vAlign w:val="center"/>
          </w:tcPr>
          <w:p>
            <w:pPr>
              <w:pStyle w:val="Tabela"/>
              <w:jc w:val="left"/>
            </w:pPr>
            <w:r>
              <w:t xml:space="preserve">Canaã dos Carajás</w:t>
            </w:r>
          </w:p>
        </w:tc>
        <w:tc>
          <w:tcPr>
            <w:tcMar>
              <w:top w:type="dxa" w:w="60"/>
              <w:left w:type="dxa" w:w="100"/>
              <w:bottom w:type="dxa" w:w="60"/>
              <w:right w:type="dxa" w:w="100"/>
            </w:tcMar>
            <w:vAlign w:val="center"/>
          </w:tcPr>
          <w:p>
            <w:pPr>
              <w:pStyle w:val="Tabela"/>
              <w:jc w:val="left"/>
            </w:pPr>
            <w:r>
              <w:t xml:space="preserve">1.949</w:t>
            </w:r>
          </w:p>
        </w:tc>
        <w:tc>
          <w:tcPr>
            <w:tcMar>
              <w:top w:type="dxa" w:w="60"/>
              <w:left w:type="dxa" w:w="100"/>
              <w:bottom w:type="dxa" w:w="60"/>
              <w:right w:type="dxa" w:w="100"/>
            </w:tcMar>
            <w:vAlign w:val="center"/>
          </w:tcPr>
          <w:p>
            <w:pPr>
              <w:pStyle w:val="Tabela"/>
              <w:jc w:val="left"/>
            </w:pPr>
            <w:r>
              <w:t xml:space="preserve">2.274</w:t>
            </w:r>
          </w:p>
        </w:tc>
        <w:tc>
          <w:tcPr>
            <w:tcMar>
              <w:top w:type="dxa" w:w="60"/>
              <w:left w:type="dxa" w:w="100"/>
              <w:bottom w:type="dxa" w:w="60"/>
              <w:right w:type="dxa" w:w="100"/>
            </w:tcMar>
            <w:vAlign w:val="center"/>
          </w:tcPr>
          <w:p>
            <w:pPr>
              <w:pStyle w:val="Tabela"/>
              <w:jc w:val="left"/>
            </w:pPr>
            <w:r>
              <w:t xml:space="preserve">2.734</w:t>
            </w:r>
          </w:p>
        </w:tc>
      </w:tr>
      <w:tr>
        <w:tc>
          <w:tcPr>
            <w:tcMar>
              <w:top w:type="dxa" w:w="60"/>
              <w:left w:type="dxa" w:w="100"/>
              <w:bottom w:type="dxa" w:w="60"/>
              <w:right w:type="dxa" w:w="100"/>
            </w:tcMar>
            <w:vAlign w:val="center"/>
          </w:tcPr>
          <w:p>
            <w:pPr>
              <w:pStyle w:val="Tabela"/>
              <w:jc w:val="left"/>
            </w:pPr>
            <w:r>
              <w:t xml:space="preserve">Renda média do trabalho (R$ 2022)</w:t>
            </w:r>
          </w:p>
        </w:tc>
        <w:tc>
          <w:tcPr>
            <w:tcMar>
              <w:top w:type="dxa" w:w="60"/>
              <w:left w:type="dxa" w:w="100"/>
              <w:bottom w:type="dxa" w:w="60"/>
              <w:right w:type="dxa" w:w="100"/>
            </w:tcMar>
            <w:vAlign w:val="center"/>
          </w:tcPr>
          <w:p>
            <w:pPr>
              <w:pStyle w:val="Tabela"/>
              <w:jc w:val="left"/>
            </w:pPr>
            <w:r>
              <w:t xml:space="preserve">Parauapebas</w:t>
            </w:r>
          </w:p>
        </w:tc>
        <w:tc>
          <w:tcPr>
            <w:tcMar>
              <w:top w:type="dxa" w:w="60"/>
              <w:left w:type="dxa" w:w="100"/>
              <w:bottom w:type="dxa" w:w="60"/>
              <w:right w:type="dxa" w:w="100"/>
            </w:tcMar>
            <w:vAlign w:val="center"/>
          </w:tcPr>
          <w:p>
            <w:pPr>
              <w:pStyle w:val="Tabela"/>
              <w:jc w:val="left"/>
            </w:pPr>
            <w:r>
              <w:t xml:space="preserve">2.381</w:t>
            </w:r>
          </w:p>
        </w:tc>
        <w:tc>
          <w:tcPr>
            <w:tcMar>
              <w:top w:type="dxa" w:w="60"/>
              <w:left w:type="dxa" w:w="100"/>
              <w:bottom w:type="dxa" w:w="60"/>
              <w:right w:type="dxa" w:w="100"/>
            </w:tcMar>
            <w:vAlign w:val="center"/>
          </w:tcPr>
          <w:p>
            <w:pPr>
              <w:pStyle w:val="Tabela"/>
              <w:jc w:val="left"/>
            </w:pPr>
            <w:r>
              <w:t xml:space="preserve">2.590</w:t>
            </w:r>
          </w:p>
        </w:tc>
        <w:tc>
          <w:tcPr>
            <w:tcMar>
              <w:top w:type="dxa" w:w="60"/>
              <w:left w:type="dxa" w:w="100"/>
              <w:bottom w:type="dxa" w:w="60"/>
              <w:right w:type="dxa" w:w="100"/>
            </w:tcMar>
            <w:vAlign w:val="center"/>
          </w:tcPr>
          <w:p>
            <w:pPr>
              <w:pStyle w:val="Tabela"/>
              <w:jc w:val="left"/>
            </w:pPr>
            <w:r>
              <w:t xml:space="preserve">2.732</w:t>
            </w:r>
          </w:p>
        </w:tc>
      </w:tr>
      <w:tr>
        <w:tc>
          <w:tcPr>
            <w:tcMar>
              <w:top w:type="dxa" w:w="60"/>
              <w:left w:type="dxa" w:w="100"/>
              <w:bottom w:type="dxa" w:w="60"/>
              <w:right w:type="dxa" w:w="100"/>
            </w:tcMar>
            <w:vAlign w:val="center"/>
          </w:tcPr>
          <w:p>
            <w:pPr>
              <w:pStyle w:val="Tabela"/>
              <w:jc w:val="left"/>
            </w:pPr>
            <w:r>
              <w:t xml:space="preserve">Renda média do trabalho (R$ 2022)</w:t>
            </w:r>
          </w:p>
        </w:tc>
        <w:tc>
          <w:tcPr>
            <w:tcMar>
              <w:top w:type="dxa" w:w="60"/>
              <w:left w:type="dxa" w:w="100"/>
              <w:bottom w:type="dxa" w:w="60"/>
              <w:right w:type="dxa" w:w="100"/>
            </w:tcMar>
            <w:vAlign w:val="center"/>
          </w:tcPr>
          <w:p>
            <w:pPr>
              <w:pStyle w:val="Tabela"/>
              <w:jc w:val="left"/>
            </w:pPr>
            <w:r>
              <w:t xml:space="preserve">Sudeste Paraense — outros mineradores</w:t>
            </w:r>
          </w:p>
        </w:tc>
        <w:tc>
          <w:tcPr>
            <w:tcMar>
              <w:top w:type="dxa" w:w="60"/>
              <w:left w:type="dxa" w:w="100"/>
              <w:bottom w:type="dxa" w:w="60"/>
              <w:right w:type="dxa" w:w="100"/>
            </w:tcMar>
            <w:vAlign w:val="center"/>
          </w:tcPr>
          <w:p>
            <w:pPr>
              <w:pStyle w:val="Tabela"/>
              <w:jc w:val="left"/>
            </w:pPr>
            <w:r>
              <w:t xml:space="preserve">1.788</w:t>
            </w:r>
          </w:p>
        </w:tc>
        <w:tc>
          <w:tcPr>
            <w:tcMar>
              <w:top w:type="dxa" w:w="60"/>
              <w:left w:type="dxa" w:w="100"/>
              <w:bottom w:type="dxa" w:w="60"/>
              <w:right w:type="dxa" w:w="100"/>
            </w:tcMar>
            <w:vAlign w:val="center"/>
          </w:tcPr>
          <w:p>
            <w:pPr>
              <w:pStyle w:val="Tabela"/>
              <w:jc w:val="left"/>
            </w:pPr>
            <w:r>
              <w:t xml:space="preserve">1.903</w:t>
            </w:r>
          </w:p>
        </w:tc>
        <w:tc>
          <w:tcPr>
            <w:tcMar>
              <w:top w:type="dxa" w:w="60"/>
              <w:left w:type="dxa" w:w="100"/>
              <w:bottom w:type="dxa" w:w="60"/>
              <w:right w:type="dxa" w:w="100"/>
            </w:tcMar>
            <w:vAlign w:val="center"/>
          </w:tcPr>
          <w:p>
            <w:pPr>
              <w:pStyle w:val="Tabela"/>
              <w:jc w:val="left"/>
            </w:pPr>
            <w:r>
              <w:t xml:space="preserve">2.079</w:t>
            </w:r>
          </w:p>
        </w:tc>
      </w:tr>
      <w:tr>
        <w:tc>
          <w:tcPr>
            <w:tcMar>
              <w:top w:type="dxa" w:w="60"/>
              <w:left w:type="dxa" w:w="100"/>
              <w:bottom w:type="dxa" w:w="60"/>
              <w:right w:type="dxa" w:w="100"/>
            </w:tcMar>
            <w:vAlign w:val="center"/>
          </w:tcPr>
          <w:p>
            <w:pPr>
              <w:pStyle w:val="Tabela"/>
              <w:jc w:val="left"/>
            </w:pPr>
            <w:r>
              <w:t xml:space="preserve">Renda média do trabalho (R$ 2022)</w:t>
            </w:r>
          </w:p>
        </w:tc>
        <w:tc>
          <w:tcPr>
            <w:tcMar>
              <w:top w:type="dxa" w:w="60"/>
              <w:left w:type="dxa" w:w="100"/>
              <w:bottom w:type="dxa" w:w="60"/>
              <w:right w:type="dxa" w:w="100"/>
            </w:tcMar>
            <w:vAlign w:val="center"/>
          </w:tcPr>
          <w:p>
            <w:pPr>
              <w:pStyle w:val="Tabela"/>
              <w:jc w:val="left"/>
            </w:pPr>
            <w:r>
              <w:t xml:space="preserve">Sudeste Paraense — não mineradores</w:t>
            </w:r>
          </w:p>
        </w:tc>
        <w:tc>
          <w:tcPr>
            <w:tcMar>
              <w:top w:type="dxa" w:w="60"/>
              <w:left w:type="dxa" w:w="100"/>
              <w:bottom w:type="dxa" w:w="60"/>
              <w:right w:type="dxa" w:w="100"/>
            </w:tcMar>
            <w:vAlign w:val="center"/>
          </w:tcPr>
          <w:p>
            <w:pPr>
              <w:pStyle w:val="Tabela"/>
              <w:jc w:val="left"/>
            </w:pPr>
            <w:r>
              <w:t xml:space="preserve">1.826</w:t>
            </w:r>
          </w:p>
        </w:tc>
        <w:tc>
          <w:tcPr>
            <w:tcMar>
              <w:top w:type="dxa" w:w="60"/>
              <w:left w:type="dxa" w:w="100"/>
              <w:bottom w:type="dxa" w:w="60"/>
              <w:right w:type="dxa" w:w="100"/>
            </w:tcMar>
            <w:vAlign w:val="center"/>
          </w:tcPr>
          <w:p>
            <w:pPr>
              <w:pStyle w:val="Tabela"/>
              <w:jc w:val="left"/>
            </w:pPr>
            <w:r>
              <w:t xml:space="preserve">2.033</w:t>
            </w:r>
          </w:p>
        </w:tc>
        <w:tc>
          <w:tcPr>
            <w:tcMar>
              <w:top w:type="dxa" w:w="60"/>
              <w:left w:type="dxa" w:w="100"/>
              <w:bottom w:type="dxa" w:w="60"/>
              <w:right w:type="dxa" w:w="100"/>
            </w:tcMar>
            <w:vAlign w:val="center"/>
          </w:tcPr>
          <w:p>
            <w:pPr>
              <w:pStyle w:val="Tabela"/>
              <w:jc w:val="left"/>
            </w:pPr>
            <w:r>
              <w:t xml:space="preserve">1.786</w:t>
            </w:r>
          </w:p>
        </w:tc>
      </w:tr>
      <w:tr>
        <w:tc>
          <w:tcPr>
            <w:tcMar>
              <w:top w:type="dxa" w:w="60"/>
              <w:left w:type="dxa" w:w="100"/>
              <w:bottom w:type="dxa" w:w="60"/>
              <w:right w:type="dxa" w:w="100"/>
            </w:tcMar>
            <w:vAlign w:val="center"/>
          </w:tcPr>
          <w:p>
            <w:pPr>
              <w:pStyle w:val="Tabela"/>
              <w:jc w:val="left"/>
            </w:pPr>
            <w:r>
              <w:t xml:space="preserve">Renda média do trabalho (R$ 2022)</w:t>
            </w:r>
          </w:p>
        </w:tc>
        <w:tc>
          <w:tcPr>
            <w:tcMar>
              <w:top w:type="dxa" w:w="60"/>
              <w:left w:type="dxa" w:w="100"/>
              <w:bottom w:type="dxa" w:w="60"/>
              <w:right w:type="dxa" w:w="100"/>
            </w:tcMar>
            <w:vAlign w:val="center"/>
          </w:tcPr>
          <w:p>
            <w:pPr>
              <w:pStyle w:val="Tabela"/>
              <w:jc w:val="left"/>
            </w:pPr>
            <w:r>
              <w:t xml:space="preserve">Pará — mineradores (demais)</w:t>
            </w:r>
          </w:p>
        </w:tc>
        <w:tc>
          <w:tcPr>
            <w:tcMar>
              <w:top w:type="dxa" w:w="60"/>
              <w:left w:type="dxa" w:w="100"/>
              <w:bottom w:type="dxa" w:w="60"/>
              <w:right w:type="dxa" w:w="100"/>
            </w:tcMar>
            <w:vAlign w:val="center"/>
          </w:tcPr>
          <w:p>
            <w:pPr>
              <w:pStyle w:val="Tabela"/>
              <w:jc w:val="left"/>
            </w:pPr>
            <w:r>
              <w:t xml:space="preserve">1.870</w:t>
            </w:r>
          </w:p>
        </w:tc>
        <w:tc>
          <w:tcPr>
            <w:tcMar>
              <w:top w:type="dxa" w:w="60"/>
              <w:left w:type="dxa" w:w="100"/>
              <w:bottom w:type="dxa" w:w="60"/>
              <w:right w:type="dxa" w:w="100"/>
            </w:tcMar>
            <w:vAlign w:val="center"/>
          </w:tcPr>
          <w:p>
            <w:pPr>
              <w:pStyle w:val="Tabela"/>
              <w:jc w:val="left"/>
            </w:pPr>
            <w:r>
              <w:t xml:space="preserve">1.997</w:t>
            </w:r>
          </w:p>
        </w:tc>
        <w:tc>
          <w:tcPr>
            <w:tcMar>
              <w:top w:type="dxa" w:w="60"/>
              <w:left w:type="dxa" w:w="100"/>
              <w:bottom w:type="dxa" w:w="60"/>
              <w:right w:type="dxa" w:w="100"/>
            </w:tcMar>
            <w:vAlign w:val="center"/>
          </w:tcPr>
          <w:p>
            <w:pPr>
              <w:pStyle w:val="Tabela"/>
              <w:jc w:val="left"/>
            </w:pPr>
            <w:r>
              <w:t xml:space="preserve">2.133</w:t>
            </w:r>
          </w:p>
        </w:tc>
      </w:tr>
      <w:tr>
        <w:tc>
          <w:tcPr>
            <w:tcMar>
              <w:top w:type="dxa" w:w="60"/>
              <w:left w:type="dxa" w:w="100"/>
              <w:bottom w:type="dxa" w:w="60"/>
              <w:right w:type="dxa" w:w="100"/>
            </w:tcMar>
            <w:vAlign w:val="center"/>
          </w:tcPr>
          <w:p>
            <w:pPr>
              <w:pStyle w:val="Tabela"/>
              <w:jc w:val="left"/>
            </w:pPr>
            <w:r>
              <w:t xml:space="preserve">Renda média do trabalho (R$ 2022)</w:t>
            </w:r>
          </w:p>
        </w:tc>
        <w:tc>
          <w:tcPr>
            <w:tcMar>
              <w:top w:type="dxa" w:w="60"/>
              <w:left w:type="dxa" w:w="100"/>
              <w:bottom w:type="dxa" w:w="60"/>
              <w:right w:type="dxa" w:w="100"/>
            </w:tcMar>
            <w:vAlign w:val="center"/>
          </w:tcPr>
          <w:p>
            <w:pPr>
              <w:pStyle w:val="Tabela"/>
              <w:jc w:val="left"/>
            </w:pPr>
            <w:r>
              <w:t xml:space="preserve">Pará — não mineradores (demais)</w:t>
            </w:r>
          </w:p>
        </w:tc>
        <w:tc>
          <w:tcPr>
            <w:tcMar>
              <w:top w:type="dxa" w:w="60"/>
              <w:left w:type="dxa" w:w="100"/>
              <w:bottom w:type="dxa" w:w="60"/>
              <w:right w:type="dxa" w:w="100"/>
            </w:tcMar>
            <w:vAlign w:val="center"/>
          </w:tcPr>
          <w:p>
            <w:pPr>
              <w:pStyle w:val="Tabela"/>
              <w:jc w:val="left"/>
            </w:pPr>
            <w:r>
              <w:t xml:space="preserve">1.156</w:t>
            </w:r>
          </w:p>
        </w:tc>
        <w:tc>
          <w:tcPr>
            <w:tcMar>
              <w:top w:type="dxa" w:w="60"/>
              <w:left w:type="dxa" w:w="100"/>
              <w:bottom w:type="dxa" w:w="60"/>
              <w:right w:type="dxa" w:w="100"/>
            </w:tcMar>
            <w:vAlign w:val="center"/>
          </w:tcPr>
          <w:p>
            <w:pPr>
              <w:pStyle w:val="Tabela"/>
              <w:jc w:val="left"/>
            </w:pPr>
            <w:r>
              <w:t xml:space="preserve">1.128</w:t>
            </w:r>
          </w:p>
        </w:tc>
        <w:tc>
          <w:tcPr>
            <w:tcMar>
              <w:top w:type="dxa" w:w="60"/>
              <w:left w:type="dxa" w:w="100"/>
              <w:bottom w:type="dxa" w:w="60"/>
              <w:right w:type="dxa" w:w="100"/>
            </w:tcMar>
            <w:vAlign w:val="center"/>
          </w:tcPr>
          <w:p>
            <w:pPr>
              <w:pStyle w:val="Tabela"/>
              <w:jc w:val="left"/>
            </w:pPr>
            <w:r>
              <w:t xml:space="preserve">1.341</w:t>
            </w:r>
          </w:p>
        </w:tc>
      </w:tr>
      <w:tr>
        <w:tc>
          <w:tcPr>
            <w:tcMar>
              <w:top w:type="dxa" w:w="60"/>
              <w:left w:type="dxa" w:w="100"/>
              <w:bottom w:type="dxa" w:w="60"/>
              <w:right w:type="dxa" w:w="100"/>
            </w:tcMar>
            <w:vAlign w:val="center"/>
          </w:tcPr>
          <w:p>
            <w:pPr>
              <w:pStyle w:val="Tabela"/>
              <w:jc w:val="left"/>
            </w:pPr>
            <w:r>
              <w:t xml:space="preserve">População (var. % vs 2000)</w:t>
            </w:r>
          </w:p>
        </w:tc>
        <w:tc>
          <w:tcPr>
            <w:tcMar>
              <w:top w:type="dxa" w:w="60"/>
              <w:left w:type="dxa" w:w="100"/>
              <w:bottom w:type="dxa" w:w="60"/>
              <w:right w:type="dxa" w:w="100"/>
            </w:tcMar>
            <w:vAlign w:val="center"/>
          </w:tcPr>
          <w:p>
            <w:pPr>
              <w:pStyle w:val="Tabela"/>
              <w:jc w:val="left"/>
            </w:pPr>
            <w:r>
              <w:t xml:space="preserve">Canaã dos Carajás</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145</w:t>
            </w:r>
          </w:p>
        </w:tc>
        <w:tc>
          <w:tcPr>
            <w:tcMar>
              <w:top w:type="dxa" w:w="60"/>
              <w:left w:type="dxa" w:w="100"/>
              <w:bottom w:type="dxa" w:w="60"/>
              <w:right w:type="dxa" w:w="100"/>
            </w:tcMar>
            <w:vAlign w:val="center"/>
          </w:tcPr>
          <w:p>
            <w:pPr>
              <w:pStyle w:val="Tabela"/>
              <w:jc w:val="left"/>
            </w:pPr>
            <w:r>
              <w:t xml:space="preserve">606</w:t>
            </w:r>
          </w:p>
        </w:tc>
      </w:tr>
      <w:tr>
        <w:tc>
          <w:tcPr>
            <w:tcMar>
              <w:top w:type="dxa" w:w="60"/>
              <w:left w:type="dxa" w:w="100"/>
              <w:bottom w:type="dxa" w:w="60"/>
              <w:right w:type="dxa" w:w="100"/>
            </w:tcMar>
            <w:vAlign w:val="center"/>
          </w:tcPr>
          <w:p>
            <w:pPr>
              <w:pStyle w:val="Tabela"/>
              <w:jc w:val="left"/>
            </w:pPr>
            <w:r>
              <w:t xml:space="preserve">População (var. % vs 2000)</w:t>
            </w:r>
          </w:p>
        </w:tc>
        <w:tc>
          <w:tcPr>
            <w:tcMar>
              <w:top w:type="dxa" w:w="60"/>
              <w:left w:type="dxa" w:w="100"/>
              <w:bottom w:type="dxa" w:w="60"/>
              <w:right w:type="dxa" w:w="100"/>
            </w:tcMar>
            <w:vAlign w:val="center"/>
          </w:tcPr>
          <w:p>
            <w:pPr>
              <w:pStyle w:val="Tabela"/>
              <w:jc w:val="left"/>
            </w:pPr>
            <w:r>
              <w:t xml:space="preserve">Parauapebas</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115</w:t>
            </w:r>
          </w:p>
        </w:tc>
        <w:tc>
          <w:tcPr>
            <w:tcMar>
              <w:top w:type="dxa" w:w="60"/>
              <w:left w:type="dxa" w:w="100"/>
              <w:bottom w:type="dxa" w:w="60"/>
              <w:right w:type="dxa" w:w="100"/>
            </w:tcMar>
            <w:vAlign w:val="center"/>
          </w:tcPr>
          <w:p>
            <w:pPr>
              <w:pStyle w:val="Tabela"/>
              <w:jc w:val="left"/>
            </w:pPr>
            <w:r>
              <w:t xml:space="preserve">274</w:t>
            </w:r>
          </w:p>
        </w:tc>
      </w:tr>
      <w:tr>
        <w:tc>
          <w:tcPr>
            <w:tcMar>
              <w:top w:type="dxa" w:w="60"/>
              <w:left w:type="dxa" w:w="100"/>
              <w:bottom w:type="dxa" w:w="60"/>
              <w:right w:type="dxa" w:w="100"/>
            </w:tcMar>
            <w:vAlign w:val="center"/>
          </w:tcPr>
          <w:p>
            <w:pPr>
              <w:pStyle w:val="Tabela"/>
              <w:jc w:val="left"/>
            </w:pPr>
            <w:r>
              <w:t xml:space="preserve">População (var. % vs 2000)</w:t>
            </w:r>
          </w:p>
        </w:tc>
        <w:tc>
          <w:tcPr>
            <w:tcMar>
              <w:top w:type="dxa" w:w="60"/>
              <w:left w:type="dxa" w:w="100"/>
              <w:bottom w:type="dxa" w:w="60"/>
              <w:right w:type="dxa" w:w="100"/>
            </w:tcMar>
            <w:vAlign w:val="center"/>
          </w:tcPr>
          <w:p>
            <w:pPr>
              <w:pStyle w:val="Tabela"/>
              <w:jc w:val="left"/>
            </w:pPr>
            <w:r>
              <w:t xml:space="preserve">Sudeste Paraense — outros mineradores</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31</w:t>
            </w:r>
          </w:p>
        </w:tc>
        <w:tc>
          <w:tcPr>
            <w:tcMar>
              <w:top w:type="dxa" w:w="60"/>
              <w:left w:type="dxa" w:w="100"/>
              <w:bottom w:type="dxa" w:w="60"/>
              <w:right w:type="dxa" w:w="100"/>
            </w:tcMar>
            <w:vAlign w:val="center"/>
          </w:tcPr>
          <w:p>
            <w:pPr>
              <w:pStyle w:val="Tabela"/>
              <w:jc w:val="left"/>
            </w:pPr>
            <w:r>
              <w:t xml:space="preserve">31</w:t>
            </w:r>
          </w:p>
        </w:tc>
      </w:tr>
      <w:tr>
        <w:tc>
          <w:tcPr>
            <w:tcMar>
              <w:top w:type="dxa" w:w="60"/>
              <w:left w:type="dxa" w:w="100"/>
              <w:bottom w:type="dxa" w:w="60"/>
              <w:right w:type="dxa" w:w="100"/>
            </w:tcMar>
            <w:vAlign w:val="center"/>
          </w:tcPr>
          <w:p>
            <w:pPr>
              <w:pStyle w:val="Tabela"/>
              <w:jc w:val="left"/>
            </w:pPr>
            <w:r>
              <w:t xml:space="preserve">População (var. % vs 2000)</w:t>
            </w:r>
          </w:p>
        </w:tc>
        <w:tc>
          <w:tcPr>
            <w:tcMar>
              <w:top w:type="dxa" w:w="60"/>
              <w:left w:type="dxa" w:w="100"/>
              <w:bottom w:type="dxa" w:w="60"/>
              <w:right w:type="dxa" w:w="100"/>
            </w:tcMar>
            <w:vAlign w:val="center"/>
          </w:tcPr>
          <w:p>
            <w:pPr>
              <w:pStyle w:val="Tabela"/>
              <w:jc w:val="left"/>
            </w:pPr>
            <w:r>
              <w:t xml:space="preserve">Sudeste Paraense — não mineradores</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39</w:t>
            </w:r>
          </w:p>
        </w:tc>
        <w:tc>
          <w:tcPr>
            <w:tcMar>
              <w:top w:type="dxa" w:w="60"/>
              <w:left w:type="dxa" w:w="100"/>
              <w:bottom w:type="dxa" w:w="60"/>
              <w:right w:type="dxa" w:w="100"/>
            </w:tcMar>
            <w:vAlign w:val="center"/>
          </w:tcPr>
          <w:p>
            <w:pPr>
              <w:pStyle w:val="Tabela"/>
              <w:jc w:val="left"/>
            </w:pPr>
            <w:r>
              <w:t xml:space="preserve">37</w:t>
            </w:r>
          </w:p>
        </w:tc>
      </w:tr>
      <w:tr>
        <w:tc>
          <w:tcPr>
            <w:tcMar>
              <w:top w:type="dxa" w:w="60"/>
              <w:left w:type="dxa" w:w="100"/>
              <w:bottom w:type="dxa" w:w="60"/>
              <w:right w:type="dxa" w:w="100"/>
            </w:tcMar>
            <w:vAlign w:val="center"/>
          </w:tcPr>
          <w:p>
            <w:pPr>
              <w:pStyle w:val="Tabela"/>
              <w:jc w:val="left"/>
            </w:pPr>
            <w:r>
              <w:t xml:space="preserve">População (var. % vs 2000)</w:t>
            </w:r>
          </w:p>
        </w:tc>
        <w:tc>
          <w:tcPr>
            <w:tcMar>
              <w:top w:type="dxa" w:w="60"/>
              <w:left w:type="dxa" w:w="100"/>
              <w:bottom w:type="dxa" w:w="60"/>
              <w:right w:type="dxa" w:w="100"/>
            </w:tcMar>
            <w:vAlign w:val="center"/>
          </w:tcPr>
          <w:p>
            <w:pPr>
              <w:pStyle w:val="Tabela"/>
              <w:jc w:val="left"/>
            </w:pPr>
            <w:r>
              <w:t xml:space="preserve">Pará — mineradores (demais)</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16</w:t>
            </w:r>
          </w:p>
        </w:tc>
        <w:tc>
          <w:tcPr>
            <w:tcMar>
              <w:top w:type="dxa" w:w="60"/>
              <w:left w:type="dxa" w:w="100"/>
              <w:bottom w:type="dxa" w:w="60"/>
              <w:right w:type="dxa" w:w="100"/>
            </w:tcMar>
            <w:vAlign w:val="center"/>
          </w:tcPr>
          <w:p>
            <w:pPr>
              <w:pStyle w:val="Tabela"/>
              <w:jc w:val="left"/>
            </w:pPr>
            <w:r>
              <w:t xml:space="preserve">22</w:t>
            </w:r>
          </w:p>
        </w:tc>
      </w:tr>
      <w:tr>
        <w:tc>
          <w:tcPr>
            <w:tcMar>
              <w:top w:type="dxa" w:w="60"/>
              <w:left w:type="dxa" w:w="100"/>
              <w:bottom w:type="dxa" w:w="60"/>
              <w:right w:type="dxa" w:w="100"/>
            </w:tcMar>
            <w:vAlign w:val="center"/>
          </w:tcPr>
          <w:p>
            <w:pPr>
              <w:pStyle w:val="Tabela"/>
              <w:jc w:val="left"/>
            </w:pPr>
            <w:r>
              <w:t xml:space="preserve">População (var. % vs 2000)</w:t>
            </w:r>
          </w:p>
        </w:tc>
        <w:tc>
          <w:tcPr>
            <w:tcMar>
              <w:top w:type="dxa" w:w="60"/>
              <w:left w:type="dxa" w:w="100"/>
              <w:bottom w:type="dxa" w:w="60"/>
              <w:right w:type="dxa" w:w="100"/>
            </w:tcMar>
            <w:vAlign w:val="center"/>
          </w:tcPr>
          <w:p>
            <w:pPr>
              <w:pStyle w:val="Tabela"/>
              <w:jc w:val="left"/>
            </w:pPr>
            <w:r>
              <w:t xml:space="preserve">Pará — não mineradores (demais)</w:t>
            </w:r>
          </w:p>
        </w:tc>
        <w:tc>
          <w:tcPr>
            <w:tcMar>
              <w:top w:type="dxa" w:w="60"/>
              <w:left w:type="dxa" w:w="100"/>
              <w:bottom w:type="dxa" w:w="60"/>
              <w:right w:type="dxa" w:w="100"/>
            </w:tcMar>
            <w:vAlign w:val="center"/>
          </w:tcPr>
          <w:p>
            <w:pPr>
              <w:pStyle w:val="Tabela"/>
              <w:jc w:val="left"/>
            </w:pPr>
            <w:r>
              <w:t xml:space="preserve">0</w:t>
            </w:r>
          </w:p>
        </w:tc>
        <w:tc>
          <w:tcPr>
            <w:tcMar>
              <w:top w:type="dxa" w:w="60"/>
              <w:left w:type="dxa" w:w="100"/>
              <w:bottom w:type="dxa" w:w="60"/>
              <w:right w:type="dxa" w:w="100"/>
            </w:tcMar>
            <w:vAlign w:val="center"/>
          </w:tcPr>
          <w:p>
            <w:pPr>
              <w:pStyle w:val="Tabela"/>
              <w:jc w:val="left"/>
            </w:pPr>
            <w:r>
              <w:t xml:space="preserve">26</w:t>
            </w:r>
          </w:p>
        </w:tc>
        <w:tc>
          <w:tcPr>
            <w:tcMar>
              <w:top w:type="dxa" w:w="60"/>
              <w:left w:type="dxa" w:w="100"/>
              <w:bottom w:type="dxa" w:w="60"/>
              <w:right w:type="dxa" w:w="100"/>
            </w:tcMar>
            <w:vAlign w:val="center"/>
          </w:tcPr>
          <w:p>
            <w:pPr>
              <w:pStyle w:val="Tabela"/>
              <w:jc w:val="left"/>
            </w:pPr>
            <w:r>
              <w:t xml:space="preserve">39</w:t>
            </w:r>
          </w:p>
        </w:tc>
      </w:tr>
    </w:tbl>
    <w:p>
      <w:pPr>
        <w:spacing w:after="120"/>
      </w:pPr>
    </w:p>
    <w:p>
      <w:pPr>
        <w:pStyle w:val="Corpo"/>
      </w:pPr>
      <w:r>
        <w:t xml:space="preserve">Fonte: Painel municipal 2000–2022 do projeto irmão migracoes-mineracao (microdados da amostra dos Censos; CFEM/ANM), médias ponderadas pela população.</w:t>
      </w:r>
    </w:p>
    <w:p>
      <w:pPr>
        <w:pStyle w:val="Corpo"/>
      </w:pPr>
      <w:r>
        <w:t xml:space="preserve">Nota: Grupos por porte de CFEM per capita (lib.mineracao do projeto irmão). Municípios por grupo em 2022: Canaã dos Carajás: 1; Parauapebas: 1; Sudeste Paraense — outros mineradores: 29; Sudeste Paraense — não mineradores: 8; Pará — mineradores (demais): 54; Pará — não mineradores (demais): 50. Sudeste Paraense = mesorregião IBGE 1506 (39 municípios).</w:t>
      </w:r>
    </w:p>
    <w:p>
      <w:pPr>
        <w:spacing w:after="40" w:before="200"/>
        <w:jc w:val="center"/>
      </w:pPr>
      <w:r>
        <w:drawing>
          <wp:inline distT="0" distB="0" distL="0" distR="0">
            <wp:extent cx="5334000" cy="17646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764694"/>
                    </a:xfrm>
                    <a:prstGeom prst="rect">
                      <a:avLst/>
                    </a:prstGeom>
                  </pic:spPr>
                </pic:pic>
              </a:graphicData>
            </a:graphic>
          </wp:inline>
        </w:drawing>
      </w:r>
    </w:p>
    <w:p>
      <w:pPr>
        <w:pStyle w:val="Legenda"/>
        <w:jc w:val="center"/>
      </w:pPr>
      <w:r>
        <w:t xml:space="preserve">Figura 12 — Canaã dos Carajás, Parauapebas e grupos de municípios do Pará (Áreas Mínimas Comparáveis 2000–2022, médias ponderadas pela população; grupos por porte de CFEM per capita), Censos 2000, 2010 e 2022. Fonte: Painel municipal 2000–2022 do projeto irmão migracoes-mineracao (microdados da amostra dos Censos; ANM).</w:t>
      </w:r>
    </w:p>
    <w:p>
      <w:pPr>
        <w:pStyle w:val="Corpo"/>
      </w:pPr>
      <w:r>
        <w:t xml:space="preserve">A Tabela 10 e a Figura 14 fecham o arco com a linha de base de 1991. Parauapebas, que então incluía o atual Canaã, era uma sociedade de fronteira: 43 % da população havia chegado nos cinco anos anteriores, 35 % dos ocupados estavam na agropecuária e 11 % na extrativa (a mina de ferro de Carajás já operava), 78 % dos adultos não tinham o fundamental completo, 21 % dos domicílios tinham água da rede e 62 % energia elétrica, e 44 % da população tinha menos de 15 anos. Canaã em 2000 era mais rural e mais pobre que essa média (55 % na agropecuária, 2,4 % com água da rede, 7 % de ocupados formais). Em 2022 a cidade tem 61 % de ocupados formais, 13 % de adultos com superior completo, 67 % de domicílios com água da rede e 93 % com lixo coletado. A mancha da sede em 1990 e 1991 media 46 e 62 ha.</w:t>
      </w:r>
    </w:p>
    <w:p>
      <w:pPr>
        <w:pStyle w:val="Corpo"/>
      </w:pPr>
      <w:r>
        <w:rPr>
          <w:b/>
          <w:bCs/>
        </w:rPr>
        <w:t xml:space="preserve">Tabela 10 — Linha de base pré-mineral: Parauapebas em 1991 (inclui o atual Canaã dos Carajás) e Canaã em 2000 e 2022</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Indicador</w:t>
            </w:r>
          </w:p>
        </w:tc>
        <w:tc>
          <w:tcPr>
            <w:tcMar>
              <w:top w:type="dxa" w:w="60"/>
              <w:left w:type="dxa" w:w="100"/>
              <w:bottom w:type="dxa" w:w="60"/>
              <w:right w:type="dxa" w:w="100"/>
            </w:tcMar>
            <w:vAlign w:val="center"/>
          </w:tcPr>
          <w:p>
            <w:pPr>
              <w:pStyle w:val="TabelaCab"/>
              <w:jc w:val="left"/>
            </w:pPr>
            <w:r>
              <w:t xml:space="preserve">Parauapebas 1991 (inclui Canaã)</w:t>
            </w:r>
          </w:p>
        </w:tc>
        <w:tc>
          <w:tcPr>
            <w:tcMar>
              <w:top w:type="dxa" w:w="60"/>
              <w:left w:type="dxa" w:w="100"/>
              <w:bottom w:type="dxa" w:w="60"/>
              <w:right w:type="dxa" w:w="100"/>
            </w:tcMar>
            <w:vAlign w:val="center"/>
          </w:tcPr>
          <w:p>
            <w:pPr>
              <w:pStyle w:val="TabelaCab"/>
              <w:jc w:val="left"/>
            </w:pPr>
            <w:r>
              <w:t xml:space="preserve">Pará 1991</w:t>
            </w:r>
          </w:p>
        </w:tc>
        <w:tc>
          <w:tcPr>
            <w:tcMar>
              <w:top w:type="dxa" w:w="60"/>
              <w:left w:type="dxa" w:w="100"/>
              <w:bottom w:type="dxa" w:w="60"/>
              <w:right w:type="dxa" w:w="100"/>
            </w:tcMar>
            <w:vAlign w:val="center"/>
          </w:tcPr>
          <w:p>
            <w:pPr>
              <w:pStyle w:val="TabelaCab"/>
              <w:jc w:val="left"/>
            </w:pPr>
            <w:r>
              <w:t xml:space="preserve">Canaã 2000</w:t>
            </w:r>
          </w:p>
        </w:tc>
        <w:tc>
          <w:tcPr>
            <w:tcMar>
              <w:top w:type="dxa" w:w="60"/>
              <w:left w:type="dxa" w:w="100"/>
              <w:bottom w:type="dxa" w:w="60"/>
              <w:right w:type="dxa" w:w="100"/>
            </w:tcMar>
            <w:vAlign w:val="center"/>
          </w:tcPr>
          <w:p>
            <w:pPr>
              <w:pStyle w:val="TabelaCab"/>
              <w:jc w:val="left"/>
            </w:pPr>
            <w:r>
              <w:t xml:space="preserve">Canaã 2022</w:t>
            </w:r>
          </w:p>
        </w:tc>
        <w:tc>
          <w:tcPr>
            <w:tcMar>
              <w:top w:type="dxa" w:w="60"/>
              <w:left w:type="dxa" w:w="100"/>
              <w:bottom w:type="dxa" w:w="60"/>
              <w:right w:type="dxa" w:w="100"/>
            </w:tcMar>
            <w:vAlign w:val="center"/>
          </w:tcPr>
          <w:p>
            <w:pPr>
              <w:pStyle w:val="TabelaCab"/>
              <w:jc w:val="left"/>
            </w:pPr>
            <w:r>
              <w:t xml:space="preserve">Canaã sede 2022</w:t>
            </w:r>
          </w:p>
        </w:tc>
      </w:tr>
      <w:tr>
        <w:tc>
          <w:tcPr>
            <w:tcMar>
              <w:top w:type="dxa" w:w="60"/>
              <w:left w:type="dxa" w:w="100"/>
              <w:bottom w:type="dxa" w:w="60"/>
              <w:right w:type="dxa" w:w="100"/>
            </w:tcMar>
            <w:vAlign w:val="center"/>
          </w:tcPr>
          <w:p>
            <w:pPr>
              <w:pStyle w:val="Tabela"/>
              <w:jc w:val="left"/>
            </w:pPr>
            <w:r>
              <w:t xml:space="preserve">Migrantes de data fixa (%)</w:t>
            </w:r>
          </w:p>
        </w:tc>
        <w:tc>
          <w:tcPr>
            <w:tcMar>
              <w:top w:type="dxa" w:w="60"/>
              <w:left w:type="dxa" w:w="100"/>
              <w:bottom w:type="dxa" w:w="60"/>
              <w:right w:type="dxa" w:w="100"/>
            </w:tcMar>
            <w:vAlign w:val="center"/>
          </w:tcPr>
          <w:p>
            <w:pPr>
              <w:pStyle w:val="Tabela"/>
              <w:jc w:val="left"/>
            </w:pPr>
            <w:r>
              <w:t xml:space="preserve">42,9</w:t>
            </w:r>
          </w:p>
        </w:tc>
        <w:tc>
          <w:tcPr>
            <w:tcMar>
              <w:top w:type="dxa" w:w="60"/>
              <w:left w:type="dxa" w:w="100"/>
              <w:bottom w:type="dxa" w:w="60"/>
              <w:right w:type="dxa" w:w="100"/>
            </w:tcMar>
            <w:vAlign w:val="center"/>
          </w:tcPr>
          <w:p>
            <w:pPr>
              <w:pStyle w:val="Tabela"/>
              <w:jc w:val="left"/>
            </w:pPr>
            <w:r>
              <w:t xml:space="preserve">12,5</w:t>
            </w:r>
          </w:p>
        </w:tc>
        <w:tc>
          <w:tcPr>
            <w:tcMar>
              <w:top w:type="dxa" w:w="60"/>
              <w:left w:type="dxa" w:w="100"/>
              <w:bottom w:type="dxa" w:w="60"/>
              <w:right w:type="dxa" w:w="100"/>
            </w:tcMar>
            <w:vAlign w:val="center"/>
          </w:tcPr>
          <w:p>
            <w:pPr>
              <w:pStyle w:val="Tabela"/>
              <w:jc w:val="left"/>
            </w:pPr>
            <w:r>
              <w:t xml:space="preserve">16,1</w:t>
            </w:r>
          </w:p>
        </w:tc>
        <w:tc>
          <w:tcPr>
            <w:tcMar>
              <w:top w:type="dxa" w:w="60"/>
              <w:left w:type="dxa" w:w="100"/>
              <w:bottom w:type="dxa" w:w="60"/>
              <w:right w:type="dxa" w:w="100"/>
            </w:tcMar>
            <w:vAlign w:val="center"/>
          </w:tcPr>
          <w:p>
            <w:pPr>
              <w:pStyle w:val="Tabela"/>
              <w:jc w:val="left"/>
            </w:pPr>
            <w:r>
              <w:t xml:space="preserve">27,8</w:t>
            </w:r>
          </w:p>
        </w:tc>
        <w:tc>
          <w:tcPr>
            <w:tcMar>
              <w:top w:type="dxa" w:w="60"/>
              <w:left w:type="dxa" w:w="100"/>
              <w:bottom w:type="dxa" w:w="60"/>
              <w:right w:type="dxa" w:w="100"/>
            </w:tcMar>
            <w:vAlign w:val="center"/>
          </w:tcPr>
          <w:p>
            <w:pPr>
              <w:pStyle w:val="Tabela"/>
              <w:jc w:val="left"/>
            </w:pPr>
            <w:r>
              <w:t xml:space="preserve">29,2</w:t>
            </w:r>
          </w:p>
        </w:tc>
      </w:tr>
      <w:tr>
        <w:tc>
          <w:tcPr>
            <w:tcMar>
              <w:top w:type="dxa" w:w="60"/>
              <w:left w:type="dxa" w:w="100"/>
              <w:bottom w:type="dxa" w:w="60"/>
              <w:right w:type="dxa" w:w="100"/>
            </w:tcMar>
            <w:vAlign w:val="center"/>
          </w:tcPr>
          <w:p>
            <w:pPr>
              <w:pStyle w:val="Tabela"/>
              <w:jc w:val="left"/>
            </w:pPr>
            <w:r>
              <w:t xml:space="preserve">Naturais do município (%)</w:t>
            </w:r>
          </w:p>
        </w:tc>
        <w:tc>
          <w:tcPr>
            <w:tcMar>
              <w:top w:type="dxa" w:w="60"/>
              <w:left w:type="dxa" w:w="100"/>
              <w:bottom w:type="dxa" w:w="60"/>
              <w:right w:type="dxa" w:w="100"/>
            </w:tcMar>
            <w:vAlign w:val="center"/>
          </w:tcPr>
          <w:p>
            <w:pPr>
              <w:pStyle w:val="Tabela"/>
              <w:jc w:val="left"/>
            </w:pPr>
            <w:r>
              <w:t xml:space="preserve">18,7</w:t>
            </w:r>
          </w:p>
        </w:tc>
        <w:tc>
          <w:tcPr>
            <w:tcMar>
              <w:top w:type="dxa" w:w="60"/>
              <w:left w:type="dxa" w:w="100"/>
              <w:bottom w:type="dxa" w:w="60"/>
              <w:right w:type="dxa" w:w="100"/>
            </w:tcMar>
            <w:vAlign w:val="center"/>
          </w:tcPr>
          <w:p>
            <w:pPr>
              <w:pStyle w:val="Tabela"/>
              <w:jc w:val="left"/>
            </w:pPr>
            <w:r>
              <w:t xml:space="preserve">67,7</w:t>
            </w:r>
          </w:p>
        </w:tc>
        <w:tc>
          <w:tcPr>
            <w:tcMar>
              <w:top w:type="dxa" w:w="60"/>
              <w:left w:type="dxa" w:w="100"/>
              <w:bottom w:type="dxa" w:w="60"/>
              <w:right w:type="dxa" w:w="100"/>
            </w:tcMar>
            <w:vAlign w:val="center"/>
          </w:tcPr>
          <w:p>
            <w:pPr>
              <w:pStyle w:val="Tabela"/>
              <w:jc w:val="left"/>
            </w:pPr>
            <w:r>
              <w:t xml:space="preserve">28,5</w:t>
            </w:r>
          </w:p>
        </w:tc>
        <w:tc>
          <w:tcPr>
            <w:tcMar>
              <w:top w:type="dxa" w:w="60"/>
              <w:left w:type="dxa" w:w="100"/>
              <w:bottom w:type="dxa" w:w="60"/>
              <w:right w:type="dxa" w:w="100"/>
            </w:tcMar>
            <w:vAlign w:val="center"/>
          </w:tcPr>
          <w:p>
            <w:pPr>
              <w:pStyle w:val="Tabela"/>
              <w:jc w:val="left"/>
            </w:pPr>
            <w:r>
              <w:t xml:space="preserve">24,7</w:t>
            </w:r>
          </w:p>
        </w:tc>
        <w:tc>
          <w:tcPr>
            <w:tcMar>
              <w:top w:type="dxa" w:w="60"/>
              <w:left w:type="dxa" w:w="100"/>
              <w:bottom w:type="dxa" w:w="60"/>
              <w:right w:type="dxa" w:w="100"/>
            </w:tcMar>
            <w:vAlign w:val="center"/>
          </w:tcPr>
          <w:p>
            <w:pPr>
              <w:pStyle w:val="Tabela"/>
              <w:jc w:val="left"/>
            </w:pPr>
            <w:r>
              <w:t xml:space="preserve">24,0</w:t>
            </w:r>
          </w:p>
        </w:tc>
      </w:tr>
      <w:tr>
        <w:tc>
          <w:tcPr>
            <w:tcMar>
              <w:top w:type="dxa" w:w="60"/>
              <w:left w:type="dxa" w:w="100"/>
              <w:bottom w:type="dxa" w:w="60"/>
              <w:right w:type="dxa" w:w="100"/>
            </w:tcMar>
            <w:vAlign w:val="center"/>
          </w:tcPr>
          <w:p>
            <w:pPr>
              <w:pStyle w:val="Tabela"/>
              <w:jc w:val="left"/>
            </w:pPr>
            <w:r>
              <w:t xml:space="preserve">Naturais de outra UF (%)</w:t>
            </w:r>
          </w:p>
        </w:tc>
        <w:tc>
          <w:tcPr>
            <w:tcMar>
              <w:top w:type="dxa" w:w="60"/>
              <w:left w:type="dxa" w:w="100"/>
              <w:bottom w:type="dxa" w:w="60"/>
              <w:right w:type="dxa" w:w="100"/>
            </w:tcMar>
            <w:vAlign w:val="center"/>
          </w:tcPr>
          <w:p>
            <w:pPr>
              <w:pStyle w:val="Tabela"/>
              <w:jc w:val="left"/>
            </w:pPr>
            <w:r>
              <w:t xml:space="preserve">68,2</w:t>
            </w:r>
          </w:p>
        </w:tc>
        <w:tc>
          <w:tcPr>
            <w:tcMar>
              <w:top w:type="dxa" w:w="60"/>
              <w:left w:type="dxa" w:w="100"/>
              <w:bottom w:type="dxa" w:w="60"/>
              <w:right w:type="dxa" w:w="100"/>
            </w:tcMar>
            <w:vAlign w:val="center"/>
          </w:tcPr>
          <w:p>
            <w:pPr>
              <w:pStyle w:val="Tabela"/>
              <w:jc w:val="left"/>
            </w:pPr>
            <w:r>
              <w:t xml:space="preserve">17,8</w:t>
            </w:r>
          </w:p>
        </w:tc>
        <w:tc>
          <w:tcPr>
            <w:tcMar>
              <w:top w:type="dxa" w:w="60"/>
              <w:left w:type="dxa" w:w="100"/>
              <w:bottom w:type="dxa" w:w="60"/>
              <w:right w:type="dxa" w:w="100"/>
            </w:tcMar>
            <w:vAlign w:val="center"/>
          </w:tcPr>
          <w:p>
            <w:pPr>
              <w:pStyle w:val="Tabela"/>
              <w:jc w:val="left"/>
            </w:pPr>
            <w:r>
              <w:t xml:space="preserve">62,5</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Sem instrução / fund. incompleto, 25+ (%)</w:t>
            </w:r>
          </w:p>
        </w:tc>
        <w:tc>
          <w:tcPr>
            <w:tcMar>
              <w:top w:type="dxa" w:w="60"/>
              <w:left w:type="dxa" w:w="100"/>
              <w:bottom w:type="dxa" w:w="60"/>
              <w:right w:type="dxa" w:w="100"/>
            </w:tcMar>
            <w:vAlign w:val="center"/>
          </w:tcPr>
          <w:p>
            <w:pPr>
              <w:pStyle w:val="Tabela"/>
              <w:jc w:val="left"/>
            </w:pPr>
            <w:r>
              <w:t xml:space="preserve">78,3</w:t>
            </w:r>
          </w:p>
        </w:tc>
        <w:tc>
          <w:tcPr>
            <w:tcMar>
              <w:top w:type="dxa" w:w="60"/>
              <w:left w:type="dxa" w:w="100"/>
              <w:bottom w:type="dxa" w:w="60"/>
              <w:right w:type="dxa" w:w="100"/>
            </w:tcMar>
            <w:vAlign w:val="center"/>
          </w:tcPr>
          <w:p>
            <w:pPr>
              <w:pStyle w:val="Tabela"/>
              <w:jc w:val="left"/>
            </w:pPr>
            <w:r>
              <w:t xml:space="preserve">77,5</w:t>
            </w:r>
          </w:p>
        </w:tc>
        <w:tc>
          <w:tcPr>
            <w:tcMar>
              <w:top w:type="dxa" w:w="60"/>
              <w:left w:type="dxa" w:w="100"/>
              <w:bottom w:type="dxa" w:w="60"/>
              <w:right w:type="dxa" w:w="100"/>
            </w:tcMar>
            <w:vAlign w:val="center"/>
          </w:tcPr>
          <w:p>
            <w:pPr>
              <w:pStyle w:val="Tabela"/>
              <w:jc w:val="left"/>
            </w:pPr>
            <w:r>
              <w:t xml:space="preserve">86,0</w:t>
            </w:r>
          </w:p>
        </w:tc>
        <w:tc>
          <w:tcPr>
            <w:tcMar>
              <w:top w:type="dxa" w:w="60"/>
              <w:left w:type="dxa" w:w="100"/>
              <w:bottom w:type="dxa" w:w="60"/>
              <w:right w:type="dxa" w:w="100"/>
            </w:tcMar>
            <w:vAlign w:val="center"/>
          </w:tcPr>
          <w:p>
            <w:pPr>
              <w:pStyle w:val="Tabela"/>
              <w:jc w:val="left"/>
            </w:pPr>
            <w:r>
              <w:t xml:space="preserve">27,8</w:t>
            </w:r>
          </w:p>
        </w:tc>
        <w:tc>
          <w:tcPr>
            <w:tcMar>
              <w:top w:type="dxa" w:w="60"/>
              <w:left w:type="dxa" w:w="100"/>
              <w:bottom w:type="dxa" w:w="60"/>
              <w:right w:type="dxa" w:w="100"/>
            </w:tcMar>
            <w:vAlign w:val="center"/>
          </w:tcPr>
          <w:p>
            <w:pPr>
              <w:pStyle w:val="Tabela"/>
              <w:jc w:val="left"/>
            </w:pPr>
            <w:r>
              <w:t xml:space="preserve">24,8</w:t>
            </w:r>
          </w:p>
        </w:tc>
      </w:tr>
      <w:tr>
        <w:tc>
          <w:tcPr>
            <w:tcMar>
              <w:top w:type="dxa" w:w="60"/>
              <w:left w:type="dxa" w:w="100"/>
              <w:bottom w:type="dxa" w:w="60"/>
              <w:right w:type="dxa" w:w="100"/>
            </w:tcMar>
            <w:vAlign w:val="center"/>
          </w:tcPr>
          <w:p>
            <w:pPr>
              <w:pStyle w:val="Tabela"/>
              <w:jc w:val="left"/>
            </w:pPr>
            <w:r>
              <w:t xml:space="preserve">Superior completo, 25+ (%)</w:t>
            </w:r>
          </w:p>
        </w:tc>
        <w:tc>
          <w:tcPr>
            <w:tcMar>
              <w:top w:type="dxa" w:w="60"/>
              <w:left w:type="dxa" w:w="100"/>
              <w:bottom w:type="dxa" w:w="60"/>
              <w:right w:type="dxa" w:w="100"/>
            </w:tcMar>
            <w:vAlign w:val="center"/>
          </w:tcPr>
          <w:p>
            <w:pPr>
              <w:pStyle w:val="Tabela"/>
              <w:jc w:val="left"/>
            </w:pPr>
            <w:r>
              <w:t xml:space="preserve">1,8*</w:t>
            </w:r>
          </w:p>
        </w:tc>
        <w:tc>
          <w:tcPr>
            <w:tcMar>
              <w:top w:type="dxa" w:w="60"/>
              <w:left w:type="dxa" w:w="100"/>
              <w:bottom w:type="dxa" w:w="60"/>
              <w:right w:type="dxa" w:w="100"/>
            </w:tcMar>
            <w:vAlign w:val="center"/>
          </w:tcPr>
          <w:p>
            <w:pPr>
              <w:pStyle w:val="Tabela"/>
              <w:jc w:val="left"/>
            </w:pPr>
            <w:r>
              <w:t xml:space="preserve">2,8</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12,9</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Taxa de ocupação 10+ (%)</w:t>
            </w:r>
          </w:p>
        </w:tc>
        <w:tc>
          <w:tcPr>
            <w:tcMar>
              <w:top w:type="dxa" w:w="60"/>
              <w:left w:type="dxa" w:w="100"/>
              <w:bottom w:type="dxa" w:w="60"/>
              <w:right w:type="dxa" w:w="100"/>
            </w:tcMar>
            <w:vAlign w:val="center"/>
          </w:tcPr>
          <w:p>
            <w:pPr>
              <w:pStyle w:val="Tabela"/>
              <w:jc w:val="left"/>
            </w:pPr>
            <w:r>
              <w:t xml:space="preserve">45,4</w:t>
            </w:r>
          </w:p>
        </w:tc>
        <w:tc>
          <w:tcPr>
            <w:tcMar>
              <w:top w:type="dxa" w:w="60"/>
              <w:left w:type="dxa" w:w="100"/>
              <w:bottom w:type="dxa" w:w="60"/>
              <w:right w:type="dxa" w:w="100"/>
            </w:tcMar>
            <w:vAlign w:val="center"/>
          </w:tcPr>
          <w:p>
            <w:pPr>
              <w:pStyle w:val="Tabela"/>
              <w:jc w:val="left"/>
            </w:pPr>
            <w:r>
              <w:t xml:space="preserve">43,1</w:t>
            </w:r>
          </w:p>
        </w:tc>
        <w:tc>
          <w:tcPr>
            <w:tcMar>
              <w:top w:type="dxa" w:w="60"/>
              <w:left w:type="dxa" w:w="100"/>
              <w:bottom w:type="dxa" w:w="60"/>
              <w:right w:type="dxa" w:w="100"/>
            </w:tcMar>
            <w:vAlign w:val="center"/>
          </w:tcPr>
          <w:p>
            <w:pPr>
              <w:pStyle w:val="Tabela"/>
              <w:jc w:val="left"/>
            </w:pPr>
            <w:r>
              <w:t xml:space="preserve">46,1</w:t>
            </w:r>
          </w:p>
        </w:tc>
        <w:tc>
          <w:tcPr>
            <w:tcMar>
              <w:top w:type="dxa" w:w="60"/>
              <w:left w:type="dxa" w:w="100"/>
              <w:bottom w:type="dxa" w:w="60"/>
              <w:right w:type="dxa" w:w="100"/>
            </w:tcMar>
            <w:vAlign w:val="center"/>
          </w:tcPr>
          <w:p>
            <w:pPr>
              <w:pStyle w:val="Tabela"/>
              <w:jc w:val="left"/>
            </w:pPr>
            <w:r>
              <w:t xml:space="preserve">55,4</w:t>
            </w:r>
          </w:p>
        </w:tc>
        <w:tc>
          <w:tcPr>
            <w:tcMar>
              <w:top w:type="dxa" w:w="60"/>
              <w:left w:type="dxa" w:w="100"/>
              <w:bottom w:type="dxa" w:w="60"/>
              <w:right w:type="dxa" w:w="100"/>
            </w:tcMar>
            <w:vAlign w:val="center"/>
          </w:tcPr>
          <w:p>
            <w:pPr>
              <w:pStyle w:val="Tabela"/>
              <w:jc w:val="left"/>
            </w:pPr>
            <w:r>
              <w:t xml:space="preserve">57,1</w:t>
            </w:r>
          </w:p>
        </w:tc>
      </w:tr>
      <w:tr>
        <w:tc>
          <w:tcPr>
            <w:tcMar>
              <w:top w:type="dxa" w:w="60"/>
              <w:left w:type="dxa" w:w="100"/>
              <w:bottom w:type="dxa" w:w="60"/>
              <w:right w:type="dxa" w:w="100"/>
            </w:tcMar>
            <w:vAlign w:val="center"/>
          </w:tcPr>
          <w:p>
            <w:pPr>
              <w:pStyle w:val="Tabela"/>
              <w:jc w:val="left"/>
            </w:pPr>
            <w:r>
              <w:t xml:space="preserve">Ocupados na agropecuária (%)</w:t>
            </w:r>
          </w:p>
        </w:tc>
        <w:tc>
          <w:tcPr>
            <w:tcMar>
              <w:top w:type="dxa" w:w="60"/>
              <w:left w:type="dxa" w:w="100"/>
              <w:bottom w:type="dxa" w:w="60"/>
              <w:right w:type="dxa" w:w="100"/>
            </w:tcMar>
            <w:vAlign w:val="center"/>
          </w:tcPr>
          <w:p>
            <w:pPr>
              <w:pStyle w:val="Tabela"/>
              <w:jc w:val="left"/>
            </w:pPr>
            <w:r>
              <w:t xml:space="preserve">34,7</w:t>
            </w:r>
          </w:p>
        </w:tc>
        <w:tc>
          <w:tcPr>
            <w:tcMar>
              <w:top w:type="dxa" w:w="60"/>
              <w:left w:type="dxa" w:w="100"/>
              <w:bottom w:type="dxa" w:w="60"/>
              <w:right w:type="dxa" w:w="100"/>
            </w:tcMar>
            <w:vAlign w:val="center"/>
          </w:tcPr>
          <w:p>
            <w:pPr>
              <w:pStyle w:val="Tabela"/>
              <w:jc w:val="left"/>
            </w:pPr>
            <w:r>
              <w:t xml:space="preserve">35,0</w:t>
            </w:r>
          </w:p>
        </w:tc>
        <w:tc>
          <w:tcPr>
            <w:tcMar>
              <w:top w:type="dxa" w:w="60"/>
              <w:left w:type="dxa" w:w="100"/>
              <w:bottom w:type="dxa" w:w="60"/>
              <w:right w:type="dxa" w:w="100"/>
            </w:tcMar>
            <w:vAlign w:val="center"/>
          </w:tcPr>
          <w:p>
            <w:pPr>
              <w:pStyle w:val="Tabela"/>
              <w:jc w:val="left"/>
            </w:pPr>
            <w:r>
              <w:t xml:space="preserve">55,2</w:t>
            </w:r>
          </w:p>
        </w:tc>
        <w:tc>
          <w:tcPr>
            <w:tcMar>
              <w:top w:type="dxa" w:w="60"/>
              <w:left w:type="dxa" w:w="100"/>
              <w:bottom w:type="dxa" w:w="60"/>
              <w:right w:type="dxa" w:w="100"/>
            </w:tcMar>
            <w:vAlign w:val="center"/>
          </w:tcPr>
          <w:p>
            <w:pPr>
              <w:pStyle w:val="Tabela"/>
              <w:jc w:val="left"/>
            </w:pPr>
            <w:r>
              <w:t xml:space="preserve">3,4</w:t>
            </w:r>
          </w:p>
        </w:tc>
        <w:tc>
          <w:tcPr>
            <w:tcMar>
              <w:top w:type="dxa" w:w="60"/>
              <w:left w:type="dxa" w:w="100"/>
              <w:bottom w:type="dxa" w:w="60"/>
              <w:right w:type="dxa" w:w="100"/>
            </w:tcMar>
            <w:vAlign w:val="center"/>
          </w:tcPr>
          <w:p>
            <w:pPr>
              <w:pStyle w:val="Tabela"/>
              <w:jc w:val="left"/>
            </w:pPr>
            <w:r>
              <w:t xml:space="preserve">1,2*</w:t>
            </w:r>
          </w:p>
        </w:tc>
      </w:tr>
      <w:tr>
        <w:tc>
          <w:tcPr>
            <w:tcMar>
              <w:top w:type="dxa" w:w="60"/>
              <w:left w:type="dxa" w:w="100"/>
              <w:bottom w:type="dxa" w:w="60"/>
              <w:right w:type="dxa" w:w="100"/>
            </w:tcMar>
            <w:vAlign w:val="center"/>
          </w:tcPr>
          <w:p>
            <w:pPr>
              <w:pStyle w:val="Tabela"/>
              <w:jc w:val="left"/>
            </w:pPr>
            <w:r>
              <w:t xml:space="preserve">Ocupados na extrativa mineral (%)</w:t>
            </w:r>
          </w:p>
        </w:tc>
        <w:tc>
          <w:tcPr>
            <w:tcMar>
              <w:top w:type="dxa" w:w="60"/>
              <w:left w:type="dxa" w:w="100"/>
              <w:bottom w:type="dxa" w:w="60"/>
              <w:right w:type="dxa" w:w="100"/>
            </w:tcMar>
            <w:vAlign w:val="center"/>
          </w:tcPr>
          <w:p>
            <w:pPr>
              <w:pStyle w:val="Tabela"/>
              <w:jc w:val="left"/>
            </w:pPr>
            <w:r>
              <w:t xml:space="preserve">10,6</w:t>
            </w:r>
          </w:p>
        </w:tc>
        <w:tc>
          <w:tcPr>
            <w:tcMar>
              <w:top w:type="dxa" w:w="60"/>
              <w:left w:type="dxa" w:w="100"/>
              <w:bottom w:type="dxa" w:w="60"/>
              <w:right w:type="dxa" w:w="100"/>
            </w:tcMar>
            <w:vAlign w:val="center"/>
          </w:tcPr>
          <w:p>
            <w:pPr>
              <w:pStyle w:val="Tabela"/>
              <w:jc w:val="left"/>
            </w:pPr>
            <w:r>
              <w:t xml:space="preserve">2,5</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10,4</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Ocupados na construção (%)</w:t>
            </w:r>
          </w:p>
        </w:tc>
        <w:tc>
          <w:tcPr>
            <w:tcMar>
              <w:top w:type="dxa" w:w="60"/>
              <w:left w:type="dxa" w:w="100"/>
              <w:bottom w:type="dxa" w:w="60"/>
              <w:right w:type="dxa" w:w="100"/>
            </w:tcMar>
            <w:vAlign w:val="center"/>
          </w:tcPr>
          <w:p>
            <w:pPr>
              <w:pStyle w:val="Tabela"/>
              <w:jc w:val="left"/>
            </w:pPr>
            <w:r>
              <w:t xml:space="preserve">8,3</w:t>
            </w:r>
          </w:p>
        </w:tc>
        <w:tc>
          <w:tcPr>
            <w:tcMar>
              <w:top w:type="dxa" w:w="60"/>
              <w:left w:type="dxa" w:w="100"/>
              <w:bottom w:type="dxa" w:w="60"/>
              <w:right w:type="dxa" w:w="100"/>
            </w:tcMar>
            <w:vAlign w:val="center"/>
          </w:tcPr>
          <w:p>
            <w:pPr>
              <w:pStyle w:val="Tabela"/>
              <w:jc w:val="left"/>
            </w:pPr>
            <w:r>
              <w:t xml:space="preserve">4,9</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14,1</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Ocupados nos serviços (%)</w:t>
            </w:r>
          </w:p>
        </w:tc>
        <w:tc>
          <w:tcPr>
            <w:tcMar>
              <w:top w:type="dxa" w:w="60"/>
              <w:left w:type="dxa" w:w="100"/>
              <w:bottom w:type="dxa" w:w="60"/>
              <w:right w:type="dxa" w:w="100"/>
            </w:tcMar>
            <w:vAlign w:val="center"/>
          </w:tcPr>
          <w:p>
            <w:pPr>
              <w:pStyle w:val="Tabela"/>
              <w:jc w:val="left"/>
            </w:pPr>
            <w:r>
              <w:t xml:space="preserve">14,5</w:t>
            </w:r>
          </w:p>
        </w:tc>
        <w:tc>
          <w:tcPr>
            <w:tcMar>
              <w:top w:type="dxa" w:w="60"/>
              <w:left w:type="dxa" w:w="100"/>
              <w:bottom w:type="dxa" w:w="60"/>
              <w:right w:type="dxa" w:w="100"/>
            </w:tcMar>
            <w:vAlign w:val="center"/>
          </w:tcPr>
          <w:p>
            <w:pPr>
              <w:pStyle w:val="Tabela"/>
              <w:jc w:val="left"/>
            </w:pPr>
            <w:r>
              <w:t xml:space="preserve">15,0</w:t>
            </w:r>
          </w:p>
        </w:tc>
        <w:tc>
          <w:tcPr>
            <w:tcMar>
              <w:top w:type="dxa" w:w="60"/>
              <w:left w:type="dxa" w:w="100"/>
              <w:bottom w:type="dxa" w:w="60"/>
              <w:right w:type="dxa" w:w="100"/>
            </w:tcMar>
            <w:vAlign w:val="center"/>
          </w:tcPr>
          <w:p>
            <w:pPr>
              <w:pStyle w:val="Tabela"/>
              <w:jc w:val="left"/>
            </w:pPr>
            <w:r>
              <w:t xml:space="preserve">5,7*</w:t>
            </w:r>
          </w:p>
        </w:tc>
        <w:tc>
          <w:tcPr>
            <w:tcMar>
              <w:top w:type="dxa" w:w="60"/>
              <w:left w:type="dxa" w:w="100"/>
              <w:bottom w:type="dxa" w:w="60"/>
              <w:right w:type="dxa" w:w="100"/>
            </w:tcMar>
            <w:vAlign w:val="center"/>
          </w:tcPr>
          <w:p>
            <w:pPr>
              <w:pStyle w:val="Tabela"/>
              <w:jc w:val="left"/>
            </w:pPr>
            <w:r>
              <w:t xml:space="preserve">25,2</w:t>
            </w:r>
          </w:p>
        </w:tc>
        <w:tc>
          <w:tcPr>
            <w:tcMar>
              <w:top w:type="dxa" w:w="60"/>
              <w:left w:type="dxa" w:w="100"/>
              <w:bottom w:type="dxa" w:w="60"/>
              <w:right w:type="dxa" w:w="100"/>
            </w:tcMar>
            <w:vAlign w:val="center"/>
          </w:tcPr>
          <w:p>
            <w:pPr>
              <w:pStyle w:val="Tabela"/>
              <w:jc w:val="left"/>
            </w:pPr>
            <w:r>
              <w:t xml:space="preserve">25,7</w:t>
            </w:r>
          </w:p>
        </w:tc>
      </w:tr>
      <w:tr>
        <w:tc>
          <w:tcPr>
            <w:tcMar>
              <w:top w:type="dxa" w:w="60"/>
              <w:left w:type="dxa" w:w="100"/>
              <w:bottom w:type="dxa" w:w="60"/>
              <w:right w:type="dxa" w:w="100"/>
            </w:tcMar>
            <w:vAlign w:val="center"/>
          </w:tcPr>
          <w:p>
            <w:pPr>
              <w:pStyle w:val="Tabela"/>
              <w:jc w:val="left"/>
            </w:pPr>
            <w:r>
              <w:t xml:space="preserve">Ocupados formais (%)</w:t>
            </w:r>
          </w:p>
        </w:tc>
        <w:tc>
          <w:tcPr>
            <w:tcMar>
              <w:top w:type="dxa" w:w="60"/>
              <w:left w:type="dxa" w:w="100"/>
              <w:bottom w:type="dxa" w:w="60"/>
              <w:right w:type="dxa" w:w="100"/>
            </w:tcMar>
            <w:vAlign w:val="center"/>
          </w:tcPr>
          <w:p>
            <w:pPr>
              <w:pStyle w:val="Tabela"/>
              <w:jc w:val="left"/>
            </w:pPr>
            <w:r>
              <w:t xml:space="preserve">35,9</w:t>
            </w:r>
          </w:p>
        </w:tc>
        <w:tc>
          <w:tcPr>
            <w:tcMar>
              <w:top w:type="dxa" w:w="60"/>
              <w:left w:type="dxa" w:w="100"/>
              <w:bottom w:type="dxa" w:w="60"/>
              <w:right w:type="dxa" w:w="100"/>
            </w:tcMar>
            <w:vAlign w:val="center"/>
          </w:tcPr>
          <w:p>
            <w:pPr>
              <w:pStyle w:val="Tabela"/>
              <w:jc w:val="left"/>
            </w:pPr>
            <w:r>
              <w:t xml:space="preserve">29,4</w:t>
            </w:r>
          </w:p>
        </w:tc>
        <w:tc>
          <w:tcPr>
            <w:tcMar>
              <w:top w:type="dxa" w:w="60"/>
              <w:left w:type="dxa" w:w="100"/>
              <w:bottom w:type="dxa" w:w="60"/>
              <w:right w:type="dxa" w:w="100"/>
            </w:tcMar>
            <w:vAlign w:val="center"/>
          </w:tcPr>
          <w:p>
            <w:pPr>
              <w:pStyle w:val="Tabela"/>
              <w:jc w:val="left"/>
            </w:pPr>
            <w:r>
              <w:t xml:space="preserve">7,1</w:t>
            </w:r>
          </w:p>
        </w:tc>
        <w:tc>
          <w:tcPr>
            <w:tcMar>
              <w:top w:type="dxa" w:w="60"/>
              <w:left w:type="dxa" w:w="100"/>
              <w:bottom w:type="dxa" w:w="60"/>
              <w:right w:type="dxa" w:w="100"/>
            </w:tcMar>
            <w:vAlign w:val="center"/>
          </w:tcPr>
          <w:p>
            <w:pPr>
              <w:pStyle w:val="Tabela"/>
              <w:jc w:val="left"/>
            </w:pPr>
            <w:r>
              <w:t xml:space="preserve">60,9</w:t>
            </w:r>
          </w:p>
        </w:tc>
        <w:tc>
          <w:tcPr>
            <w:tcMar>
              <w:top w:type="dxa" w:w="60"/>
              <w:left w:type="dxa" w:w="100"/>
              <w:bottom w:type="dxa" w:w="60"/>
              <w:right w:type="dxa" w:w="100"/>
            </w:tcMar>
            <w:vAlign w:val="center"/>
          </w:tcPr>
          <w:p>
            <w:pPr>
              <w:pStyle w:val="Tabela"/>
              <w:jc w:val="left"/>
            </w:pPr>
            <w:r>
              <w:t xml:space="preserve">62,5</w:t>
            </w:r>
          </w:p>
        </w:tc>
      </w:tr>
      <w:tr>
        <w:tc>
          <w:tcPr>
            <w:tcMar>
              <w:top w:type="dxa" w:w="60"/>
              <w:left w:type="dxa" w:w="100"/>
              <w:bottom w:type="dxa" w:w="60"/>
              <w:right w:type="dxa" w:w="100"/>
            </w:tcMar>
            <w:vAlign w:val="center"/>
          </w:tcPr>
          <w:p>
            <w:pPr>
              <w:pStyle w:val="Tabela"/>
              <w:jc w:val="left"/>
            </w:pPr>
            <w:r>
              <w:t xml:space="preserve">Domicílios com água da rede (%)</w:t>
            </w:r>
          </w:p>
        </w:tc>
        <w:tc>
          <w:tcPr>
            <w:tcMar>
              <w:top w:type="dxa" w:w="60"/>
              <w:left w:type="dxa" w:w="100"/>
              <w:bottom w:type="dxa" w:w="60"/>
              <w:right w:type="dxa" w:w="100"/>
            </w:tcMar>
            <w:vAlign w:val="center"/>
          </w:tcPr>
          <w:p>
            <w:pPr>
              <w:pStyle w:val="Tabela"/>
              <w:jc w:val="left"/>
            </w:pPr>
            <w:r>
              <w:t xml:space="preserve">20,7</w:t>
            </w:r>
          </w:p>
        </w:tc>
        <w:tc>
          <w:tcPr>
            <w:tcMar>
              <w:top w:type="dxa" w:w="60"/>
              <w:left w:type="dxa" w:w="100"/>
              <w:bottom w:type="dxa" w:w="60"/>
              <w:right w:type="dxa" w:w="100"/>
            </w:tcMar>
            <w:vAlign w:val="center"/>
          </w:tcPr>
          <w:p>
            <w:pPr>
              <w:pStyle w:val="Tabela"/>
              <w:jc w:val="left"/>
            </w:pPr>
            <w:r>
              <w:t xml:space="preserve">40,0</w:t>
            </w:r>
          </w:p>
        </w:tc>
        <w:tc>
          <w:tcPr>
            <w:tcMar>
              <w:top w:type="dxa" w:w="60"/>
              <w:left w:type="dxa" w:w="100"/>
              <w:bottom w:type="dxa" w:w="60"/>
              <w:right w:type="dxa" w:w="100"/>
            </w:tcMar>
            <w:vAlign w:val="center"/>
          </w:tcPr>
          <w:p>
            <w:pPr>
              <w:pStyle w:val="Tabela"/>
              <w:jc w:val="left"/>
            </w:pPr>
            <w:r>
              <w:t xml:space="preserve">2,4**</w:t>
            </w:r>
          </w:p>
        </w:tc>
        <w:tc>
          <w:tcPr>
            <w:tcMar>
              <w:top w:type="dxa" w:w="60"/>
              <w:left w:type="dxa" w:w="100"/>
              <w:bottom w:type="dxa" w:w="60"/>
              <w:right w:type="dxa" w:w="100"/>
            </w:tcMar>
            <w:vAlign w:val="center"/>
          </w:tcPr>
          <w:p>
            <w:pPr>
              <w:pStyle w:val="Tabela"/>
              <w:jc w:val="left"/>
            </w:pPr>
            <w:r>
              <w:t xml:space="preserve">67,1</w:t>
            </w:r>
          </w:p>
        </w:tc>
        <w:tc>
          <w:tcPr>
            <w:tcMar>
              <w:top w:type="dxa" w:w="60"/>
              <w:left w:type="dxa" w:w="100"/>
              <w:bottom w:type="dxa" w:w="60"/>
              <w:right w:type="dxa" w:w="100"/>
            </w:tcMar>
            <w:vAlign w:val="center"/>
          </w:tcPr>
          <w:p>
            <w:pPr>
              <w:pStyle w:val="Tabela"/>
              <w:jc w:val="left"/>
            </w:pPr>
            <w:r>
              <w:t xml:space="preserve">71,9</w:t>
            </w:r>
          </w:p>
        </w:tc>
      </w:tr>
      <w:tr>
        <w:tc>
          <w:tcPr>
            <w:tcMar>
              <w:top w:type="dxa" w:w="60"/>
              <w:left w:type="dxa" w:w="100"/>
              <w:bottom w:type="dxa" w:w="60"/>
              <w:right w:type="dxa" w:w="100"/>
            </w:tcMar>
            <w:vAlign w:val="center"/>
          </w:tcPr>
          <w:p>
            <w:pPr>
              <w:pStyle w:val="Tabela"/>
              <w:jc w:val="left"/>
            </w:pPr>
            <w:r>
              <w:t xml:space="preserve">Esgoto adequado (%)</w:t>
            </w:r>
          </w:p>
        </w:tc>
        <w:tc>
          <w:tcPr>
            <w:tcMar>
              <w:top w:type="dxa" w:w="60"/>
              <w:left w:type="dxa" w:w="100"/>
              <w:bottom w:type="dxa" w:w="60"/>
              <w:right w:type="dxa" w:w="100"/>
            </w:tcMar>
            <w:vAlign w:val="center"/>
          </w:tcPr>
          <w:p>
            <w:pPr>
              <w:pStyle w:val="Tabela"/>
              <w:jc w:val="left"/>
            </w:pPr>
            <w:r>
              <w:t xml:space="preserve">22,8</w:t>
            </w:r>
          </w:p>
        </w:tc>
        <w:tc>
          <w:tcPr>
            <w:tcMar>
              <w:top w:type="dxa" w:w="60"/>
              <w:left w:type="dxa" w:w="100"/>
              <w:bottom w:type="dxa" w:w="60"/>
              <w:right w:type="dxa" w:w="100"/>
            </w:tcMar>
            <w:vAlign w:val="center"/>
          </w:tcPr>
          <w:p>
            <w:pPr>
              <w:pStyle w:val="Tabela"/>
              <w:jc w:val="left"/>
            </w:pPr>
            <w:r>
              <w:t xml:space="preserve">29,2</w:t>
            </w:r>
          </w:p>
        </w:tc>
        <w:tc>
          <w:tcPr>
            <w:tcMar>
              <w:top w:type="dxa" w:w="60"/>
              <w:left w:type="dxa" w:w="100"/>
              <w:bottom w:type="dxa" w:w="60"/>
              <w:right w:type="dxa" w:w="100"/>
            </w:tcMar>
            <w:vAlign w:val="center"/>
          </w:tcPr>
          <w:p>
            <w:pPr>
              <w:pStyle w:val="Tabela"/>
              <w:jc w:val="left"/>
            </w:pPr>
            <w:r>
              <w:t xml:space="preserve">6,9*</w:t>
            </w:r>
          </w:p>
        </w:tc>
        <w:tc>
          <w:tcPr>
            <w:tcMar>
              <w:top w:type="dxa" w:w="60"/>
              <w:left w:type="dxa" w:w="100"/>
              <w:bottom w:type="dxa" w:w="60"/>
              <w:right w:type="dxa" w:w="100"/>
            </w:tcMar>
            <w:vAlign w:val="center"/>
          </w:tcPr>
          <w:p>
            <w:pPr>
              <w:pStyle w:val="Tabela"/>
              <w:jc w:val="left"/>
            </w:pPr>
            <w:r>
              <w:t xml:space="preserve">78,2</w:t>
            </w:r>
          </w:p>
        </w:tc>
        <w:tc>
          <w:tcPr>
            <w:tcMar>
              <w:top w:type="dxa" w:w="60"/>
              <w:left w:type="dxa" w:w="100"/>
              <w:bottom w:type="dxa" w:w="60"/>
              <w:right w:type="dxa" w:w="100"/>
            </w:tcMar>
            <w:vAlign w:val="center"/>
          </w:tcPr>
          <w:p>
            <w:pPr>
              <w:pStyle w:val="Tabela"/>
              <w:jc w:val="left"/>
            </w:pPr>
            <w:r>
              <w:t xml:space="preserve">81,5</w:t>
            </w:r>
          </w:p>
        </w:tc>
      </w:tr>
      <w:tr>
        <w:tc>
          <w:tcPr>
            <w:tcMar>
              <w:top w:type="dxa" w:w="60"/>
              <w:left w:type="dxa" w:w="100"/>
              <w:bottom w:type="dxa" w:w="60"/>
              <w:right w:type="dxa" w:w="100"/>
            </w:tcMar>
            <w:vAlign w:val="center"/>
          </w:tcPr>
          <w:p>
            <w:pPr>
              <w:pStyle w:val="Tabela"/>
              <w:jc w:val="left"/>
            </w:pPr>
            <w:r>
              <w:t xml:space="preserve">Lixo coletado (%)</w:t>
            </w:r>
          </w:p>
        </w:tc>
        <w:tc>
          <w:tcPr>
            <w:tcMar>
              <w:top w:type="dxa" w:w="60"/>
              <w:left w:type="dxa" w:w="100"/>
              <w:bottom w:type="dxa" w:w="60"/>
              <w:right w:type="dxa" w:w="100"/>
            </w:tcMar>
            <w:vAlign w:val="center"/>
          </w:tcPr>
          <w:p>
            <w:pPr>
              <w:pStyle w:val="Tabela"/>
              <w:jc w:val="left"/>
            </w:pPr>
            <w:r>
              <w:t xml:space="preserve">50,5</w:t>
            </w:r>
          </w:p>
        </w:tc>
        <w:tc>
          <w:tcPr>
            <w:tcMar>
              <w:top w:type="dxa" w:w="60"/>
              <w:left w:type="dxa" w:w="100"/>
              <w:bottom w:type="dxa" w:w="60"/>
              <w:right w:type="dxa" w:w="100"/>
            </w:tcMar>
            <w:vAlign w:val="center"/>
          </w:tcPr>
          <w:p>
            <w:pPr>
              <w:pStyle w:val="Tabela"/>
              <w:jc w:val="left"/>
            </w:pPr>
            <w:r>
              <w:t xml:space="preserve">32,9</w:t>
            </w:r>
          </w:p>
        </w:tc>
        <w:tc>
          <w:tcPr>
            <w:tcMar>
              <w:top w:type="dxa" w:w="60"/>
              <w:left w:type="dxa" w:w="100"/>
              <w:bottom w:type="dxa" w:w="60"/>
              <w:right w:type="dxa" w:w="100"/>
            </w:tcMar>
            <w:vAlign w:val="center"/>
          </w:tcPr>
          <w:p>
            <w:pPr>
              <w:pStyle w:val="Tabela"/>
              <w:jc w:val="left"/>
            </w:pPr>
            <w:r>
              <w:t xml:space="preserve">24,9</w:t>
            </w:r>
          </w:p>
        </w:tc>
        <w:tc>
          <w:tcPr>
            <w:tcMar>
              <w:top w:type="dxa" w:w="60"/>
              <w:left w:type="dxa" w:w="100"/>
              <w:bottom w:type="dxa" w:w="60"/>
              <w:right w:type="dxa" w:w="100"/>
            </w:tcMar>
            <w:vAlign w:val="center"/>
          </w:tcPr>
          <w:p>
            <w:pPr>
              <w:pStyle w:val="Tabela"/>
              <w:jc w:val="left"/>
            </w:pPr>
            <w:r>
              <w:t xml:space="preserve">93,3</w:t>
            </w:r>
          </w:p>
        </w:tc>
        <w:tc>
          <w:tcPr>
            <w:tcMar>
              <w:top w:type="dxa" w:w="60"/>
              <w:left w:type="dxa" w:w="100"/>
              <w:bottom w:type="dxa" w:w="60"/>
              <w:right w:type="dxa" w:w="100"/>
            </w:tcMar>
            <w:vAlign w:val="center"/>
          </w:tcPr>
          <w:p>
            <w:pPr>
              <w:pStyle w:val="Tabela"/>
              <w:jc w:val="left"/>
            </w:pPr>
            <w:r>
              <w:t xml:space="preserve">98,7</w:t>
            </w:r>
          </w:p>
        </w:tc>
      </w:tr>
      <w:tr>
        <w:tc>
          <w:tcPr>
            <w:tcMar>
              <w:top w:type="dxa" w:w="60"/>
              <w:left w:type="dxa" w:w="100"/>
              <w:bottom w:type="dxa" w:w="60"/>
              <w:right w:type="dxa" w:w="100"/>
            </w:tcMar>
            <w:vAlign w:val="center"/>
          </w:tcPr>
          <w:p>
            <w:pPr>
              <w:pStyle w:val="Tabela"/>
              <w:jc w:val="left"/>
            </w:pPr>
            <w:r>
              <w:t xml:space="preserve">Energia elétrica (%)</w:t>
            </w:r>
          </w:p>
        </w:tc>
        <w:tc>
          <w:tcPr>
            <w:tcMar>
              <w:top w:type="dxa" w:w="60"/>
              <w:left w:type="dxa" w:w="100"/>
              <w:bottom w:type="dxa" w:w="60"/>
              <w:right w:type="dxa" w:w="100"/>
            </w:tcMar>
            <w:vAlign w:val="center"/>
          </w:tcPr>
          <w:p>
            <w:pPr>
              <w:pStyle w:val="Tabela"/>
              <w:jc w:val="left"/>
            </w:pPr>
            <w:r>
              <w:t xml:space="preserve">62,1</w:t>
            </w:r>
          </w:p>
        </w:tc>
        <w:tc>
          <w:tcPr>
            <w:tcMar>
              <w:top w:type="dxa" w:w="60"/>
              <w:left w:type="dxa" w:w="100"/>
              <w:bottom w:type="dxa" w:w="60"/>
              <w:right w:type="dxa" w:w="100"/>
            </w:tcMar>
            <w:vAlign w:val="center"/>
          </w:tcPr>
          <w:p>
            <w:pPr>
              <w:pStyle w:val="Tabela"/>
              <w:jc w:val="left"/>
            </w:pPr>
            <w:r>
              <w:t xml:space="preserve">66,1</w:t>
            </w:r>
          </w:p>
        </w:tc>
        <w:tc>
          <w:tcPr>
            <w:tcMar>
              <w:top w:type="dxa" w:w="60"/>
              <w:left w:type="dxa" w:w="100"/>
              <w:bottom w:type="dxa" w:w="60"/>
              <w:right w:type="dxa" w:w="100"/>
            </w:tcMar>
            <w:vAlign w:val="center"/>
          </w:tcPr>
          <w:p>
            <w:pPr>
              <w:pStyle w:val="Tabela"/>
              <w:jc w:val="left"/>
            </w:pPr>
            <w:r>
              <w:t xml:space="preserve">62,2</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Domicílios alugados (%)</w:t>
            </w:r>
          </w:p>
        </w:tc>
        <w:tc>
          <w:tcPr>
            <w:tcMar>
              <w:top w:type="dxa" w:w="60"/>
              <w:left w:type="dxa" w:w="100"/>
              <w:bottom w:type="dxa" w:w="60"/>
              <w:right w:type="dxa" w:w="100"/>
            </w:tcMar>
            <w:vAlign w:val="center"/>
          </w:tcPr>
          <w:p>
            <w:pPr>
              <w:pStyle w:val="Tabela"/>
              <w:jc w:val="left"/>
            </w:pPr>
            <w:r>
              <w:t xml:space="preserve">10,9</w:t>
            </w:r>
          </w:p>
        </w:tc>
        <w:tc>
          <w:tcPr>
            <w:tcMar>
              <w:top w:type="dxa" w:w="60"/>
              <w:left w:type="dxa" w:w="100"/>
              <w:bottom w:type="dxa" w:w="60"/>
              <w:right w:type="dxa" w:w="100"/>
            </w:tcMar>
            <w:vAlign w:val="center"/>
          </w:tcPr>
          <w:p>
            <w:pPr>
              <w:pStyle w:val="Tabela"/>
              <w:jc w:val="left"/>
            </w:pPr>
            <w:r>
              <w:t xml:space="preserve">8,9</w:t>
            </w:r>
          </w:p>
        </w:tc>
        <w:tc>
          <w:tcPr>
            <w:tcMar>
              <w:top w:type="dxa" w:w="60"/>
              <w:left w:type="dxa" w:w="100"/>
              <w:bottom w:type="dxa" w:w="60"/>
              <w:right w:type="dxa" w:w="100"/>
            </w:tcMar>
            <w:vAlign w:val="center"/>
          </w:tcPr>
          <w:p>
            <w:pPr>
              <w:pStyle w:val="Tabela"/>
              <w:jc w:val="left"/>
            </w:pPr>
            <w:r>
              <w:t xml:space="preserve">4,0*</w:t>
            </w:r>
          </w:p>
        </w:tc>
        <w:tc>
          <w:tcPr>
            <w:tcMar>
              <w:top w:type="dxa" w:w="60"/>
              <w:left w:type="dxa" w:w="100"/>
              <w:bottom w:type="dxa" w:w="60"/>
              <w:right w:type="dxa" w:w="100"/>
            </w:tcMar>
            <w:vAlign w:val="center"/>
          </w:tcPr>
          <w:p>
            <w:pPr>
              <w:pStyle w:val="Tabela"/>
              <w:jc w:val="left"/>
            </w:pPr>
            <w:r>
              <w:t xml:space="preserve">31,5</w:t>
            </w:r>
          </w:p>
        </w:tc>
        <w:tc>
          <w:tcPr>
            <w:tcMar>
              <w:top w:type="dxa" w:w="60"/>
              <w:left w:type="dxa" w:w="100"/>
              <w:bottom w:type="dxa" w:w="60"/>
              <w:right w:type="dxa" w:w="100"/>
            </w:tcMar>
            <w:vAlign w:val="center"/>
          </w:tcPr>
          <w:p>
            <w:pPr>
              <w:pStyle w:val="Tabela"/>
              <w:jc w:val="left"/>
            </w:pPr>
            <w:r>
              <w:t xml:space="preserve">34,4</w:t>
            </w:r>
          </w:p>
        </w:tc>
      </w:tr>
      <w:tr>
        <w:tc>
          <w:tcPr>
            <w:tcMar>
              <w:top w:type="dxa" w:w="60"/>
              <w:left w:type="dxa" w:w="100"/>
              <w:bottom w:type="dxa" w:w="60"/>
              <w:right w:type="dxa" w:w="100"/>
            </w:tcMar>
            <w:vAlign w:val="center"/>
          </w:tcPr>
          <w:p>
            <w:pPr>
              <w:pStyle w:val="Tabela"/>
              <w:jc w:val="left"/>
            </w:pPr>
            <w:r>
              <w:t xml:space="preserve">Mais de 3 moradores/dormitório (%)</w:t>
            </w:r>
          </w:p>
        </w:tc>
        <w:tc>
          <w:tcPr>
            <w:tcMar>
              <w:top w:type="dxa" w:w="60"/>
              <w:left w:type="dxa" w:w="100"/>
              <w:bottom w:type="dxa" w:w="60"/>
              <w:right w:type="dxa" w:w="100"/>
            </w:tcMar>
            <w:vAlign w:val="center"/>
          </w:tcPr>
          <w:p>
            <w:pPr>
              <w:pStyle w:val="Tabela"/>
              <w:jc w:val="left"/>
            </w:pPr>
            <w:r>
              <w:t xml:space="preserve">15,1</w:t>
            </w:r>
          </w:p>
        </w:tc>
        <w:tc>
          <w:tcPr>
            <w:tcMar>
              <w:top w:type="dxa" w:w="60"/>
              <w:left w:type="dxa" w:w="100"/>
              <w:bottom w:type="dxa" w:w="60"/>
              <w:right w:type="dxa" w:w="100"/>
            </w:tcMar>
            <w:vAlign w:val="center"/>
          </w:tcPr>
          <w:p>
            <w:pPr>
              <w:pStyle w:val="Tabela"/>
              <w:jc w:val="left"/>
            </w:pPr>
            <w:r>
              <w:t xml:space="preserve">27,8</w:t>
            </w:r>
          </w:p>
        </w:tc>
        <w:tc>
          <w:tcPr>
            <w:tcMar>
              <w:top w:type="dxa" w:w="60"/>
              <w:left w:type="dxa" w:w="100"/>
              <w:bottom w:type="dxa" w:w="60"/>
              <w:right w:type="dxa" w:w="100"/>
            </w:tcMar>
            <w:vAlign w:val="center"/>
          </w:tcPr>
          <w:p>
            <w:pPr>
              <w:pStyle w:val="Tabela"/>
              <w:jc w:val="left"/>
            </w:pPr>
            <w:r>
              <w:t xml:space="preserve">10,1</w:t>
            </w:r>
          </w:p>
        </w:tc>
        <w:tc>
          <w:tcPr>
            <w:tcMar>
              <w:top w:type="dxa" w:w="60"/>
              <w:left w:type="dxa" w:w="100"/>
              <w:bottom w:type="dxa" w:w="60"/>
              <w:right w:type="dxa" w:w="100"/>
            </w:tcMar>
            <w:vAlign w:val="center"/>
          </w:tcPr>
          <w:p>
            <w:pPr>
              <w:pStyle w:val="Tabela"/>
              <w:jc w:val="left"/>
            </w:pPr>
            <w:r>
              <w:t xml:space="preserve">5,3</w:t>
            </w:r>
          </w:p>
        </w:tc>
        <w:tc>
          <w:tcPr>
            <w:tcMar>
              <w:top w:type="dxa" w:w="60"/>
              <w:left w:type="dxa" w:w="100"/>
              <w:bottom w:type="dxa" w:w="60"/>
              <w:right w:type="dxa" w:w="100"/>
            </w:tcMar>
            <w:vAlign w:val="center"/>
          </w:tcPr>
          <w:p>
            <w:pPr>
              <w:pStyle w:val="Tabela"/>
              <w:jc w:val="left"/>
            </w:pPr>
            <w:r>
              <w:t xml:space="preserve">—</w:t>
            </w:r>
          </w:p>
        </w:tc>
      </w:tr>
      <w:tr>
        <w:tc>
          <w:tcPr>
            <w:tcMar>
              <w:top w:type="dxa" w:w="60"/>
              <w:left w:type="dxa" w:w="100"/>
              <w:bottom w:type="dxa" w:w="60"/>
              <w:right w:type="dxa" w:w="100"/>
            </w:tcMar>
            <w:vAlign w:val="center"/>
          </w:tcPr>
          <w:p>
            <w:pPr>
              <w:pStyle w:val="Tabela"/>
              <w:jc w:val="left"/>
            </w:pPr>
            <w:r>
              <w:t xml:space="preserve">População de 0–14 anos (%)</w:t>
            </w:r>
          </w:p>
        </w:tc>
        <w:tc>
          <w:tcPr>
            <w:tcMar>
              <w:top w:type="dxa" w:w="60"/>
              <w:left w:type="dxa" w:w="100"/>
              <w:bottom w:type="dxa" w:w="60"/>
              <w:right w:type="dxa" w:w="100"/>
            </w:tcMar>
            <w:vAlign w:val="center"/>
          </w:tcPr>
          <w:p>
            <w:pPr>
              <w:pStyle w:val="Tabela"/>
              <w:jc w:val="left"/>
            </w:pPr>
            <w:r>
              <w:t xml:space="preserve">43,7</w:t>
            </w:r>
          </w:p>
        </w:tc>
        <w:tc>
          <w:tcPr>
            <w:tcMar>
              <w:top w:type="dxa" w:w="60"/>
              <w:left w:type="dxa" w:w="100"/>
              <w:bottom w:type="dxa" w:w="60"/>
              <w:right w:type="dxa" w:w="100"/>
            </w:tcMar>
            <w:vAlign w:val="center"/>
          </w:tcPr>
          <w:p>
            <w:pPr>
              <w:pStyle w:val="Tabela"/>
              <w:jc w:val="left"/>
            </w:pPr>
            <w:r>
              <w:t xml:space="preserve">42,9</w:t>
            </w:r>
          </w:p>
        </w:tc>
        <w:tc>
          <w:tcPr>
            <w:tcMar>
              <w:top w:type="dxa" w:w="60"/>
              <w:left w:type="dxa" w:w="100"/>
              <w:bottom w:type="dxa" w:w="60"/>
              <w:right w:type="dxa" w:w="100"/>
            </w:tcMar>
            <w:vAlign w:val="center"/>
          </w:tcPr>
          <w:p>
            <w:pPr>
              <w:pStyle w:val="Tabela"/>
              <w:jc w:val="left"/>
            </w:pPr>
            <w:r>
              <w:t xml:space="preserve">36,7</w:t>
            </w:r>
          </w:p>
        </w:tc>
        <w:tc>
          <w:tcPr>
            <w:tcMar>
              <w:top w:type="dxa" w:w="60"/>
              <w:left w:type="dxa" w:w="100"/>
              <w:bottom w:type="dxa" w:w="60"/>
              <w:right w:type="dxa" w:w="100"/>
            </w:tcMar>
            <w:vAlign w:val="center"/>
          </w:tcPr>
          <w:p>
            <w:pPr>
              <w:pStyle w:val="Tabela"/>
              <w:jc w:val="left"/>
            </w:pPr>
            <w:r>
              <w:t xml:space="preserve">27,2</w:t>
            </w:r>
          </w:p>
        </w:tc>
        <w:tc>
          <w:tcPr>
            <w:tcMar>
              <w:top w:type="dxa" w:w="60"/>
              <w:left w:type="dxa" w:w="100"/>
              <w:bottom w:type="dxa" w:w="60"/>
              <w:right w:type="dxa" w:w="100"/>
            </w:tcMar>
            <w:vAlign w:val="center"/>
          </w:tcPr>
          <w:p>
            <w:pPr>
              <w:pStyle w:val="Tabela"/>
              <w:jc w:val="left"/>
            </w:pPr>
            <w:r>
              <w:t xml:space="preserve">26,8</w:t>
            </w:r>
          </w:p>
        </w:tc>
      </w:tr>
      <w:tr>
        <w:tc>
          <w:tcPr>
            <w:tcMar>
              <w:top w:type="dxa" w:w="60"/>
              <w:left w:type="dxa" w:w="100"/>
              <w:bottom w:type="dxa" w:w="60"/>
              <w:right w:type="dxa" w:w="100"/>
            </w:tcMar>
            <w:vAlign w:val="center"/>
          </w:tcPr>
          <w:p>
            <w:pPr>
              <w:pStyle w:val="Tabela"/>
              <w:jc w:val="left"/>
            </w:pPr>
            <w:r>
              <w:t xml:space="preserve">Homens (%)</w:t>
            </w:r>
          </w:p>
        </w:tc>
        <w:tc>
          <w:tcPr>
            <w:tcMar>
              <w:top w:type="dxa" w:w="60"/>
              <w:left w:type="dxa" w:w="100"/>
              <w:bottom w:type="dxa" w:w="60"/>
              <w:right w:type="dxa" w:w="100"/>
            </w:tcMar>
            <w:vAlign w:val="center"/>
          </w:tcPr>
          <w:p>
            <w:pPr>
              <w:pStyle w:val="Tabela"/>
              <w:jc w:val="left"/>
            </w:pPr>
            <w:r>
              <w:t xml:space="preserve">52,0</w:t>
            </w:r>
          </w:p>
        </w:tc>
        <w:tc>
          <w:tcPr>
            <w:tcMar>
              <w:top w:type="dxa" w:w="60"/>
              <w:left w:type="dxa" w:w="100"/>
              <w:bottom w:type="dxa" w:w="60"/>
              <w:right w:type="dxa" w:w="100"/>
            </w:tcMar>
            <w:vAlign w:val="center"/>
          </w:tcPr>
          <w:p>
            <w:pPr>
              <w:pStyle w:val="Tabela"/>
              <w:jc w:val="left"/>
            </w:pPr>
            <w:r>
              <w:t xml:space="preserve">50,3</w:t>
            </w:r>
          </w:p>
        </w:tc>
        <w:tc>
          <w:tcPr>
            <w:tcMar>
              <w:top w:type="dxa" w:w="60"/>
              <w:left w:type="dxa" w:w="100"/>
              <w:bottom w:type="dxa" w:w="60"/>
              <w:right w:type="dxa" w:w="100"/>
            </w:tcMar>
            <w:vAlign w:val="center"/>
          </w:tcPr>
          <w:p>
            <w:pPr>
              <w:pStyle w:val="Tabela"/>
              <w:jc w:val="left"/>
            </w:pPr>
            <w:r>
              <w:t xml:space="preserve">53,8</w:t>
            </w:r>
          </w:p>
        </w:tc>
        <w:tc>
          <w:tcPr>
            <w:tcMar>
              <w:top w:type="dxa" w:w="60"/>
              <w:left w:type="dxa" w:w="100"/>
              <w:bottom w:type="dxa" w:w="60"/>
              <w:right w:type="dxa" w:w="100"/>
            </w:tcMar>
            <w:vAlign w:val="center"/>
          </w:tcPr>
          <w:p>
            <w:pPr>
              <w:pStyle w:val="Tabela"/>
              <w:jc w:val="left"/>
            </w:pPr>
            <w:r>
              <w:t xml:space="preserve">51,1</w:t>
            </w:r>
          </w:p>
        </w:tc>
        <w:tc>
          <w:tcPr>
            <w:tcMar>
              <w:top w:type="dxa" w:w="60"/>
              <w:left w:type="dxa" w:w="100"/>
              <w:bottom w:type="dxa" w:w="60"/>
              <w:right w:type="dxa" w:w="100"/>
            </w:tcMar>
            <w:vAlign w:val="center"/>
          </w:tcPr>
          <w:p>
            <w:pPr>
              <w:pStyle w:val="Tabela"/>
              <w:jc w:val="left"/>
            </w:pPr>
            <w:r>
              <w:t xml:space="preserve">51,2</w:t>
            </w:r>
          </w:p>
        </w:tc>
      </w:tr>
      <w:tr>
        <w:tc>
          <w:tcPr>
            <w:tcMar>
              <w:top w:type="dxa" w:w="60"/>
              <w:left w:type="dxa" w:w="100"/>
              <w:bottom w:type="dxa" w:w="60"/>
              <w:right w:type="dxa" w:w="100"/>
            </w:tcMar>
            <w:vAlign w:val="center"/>
          </w:tcPr>
          <w:p>
            <w:pPr>
              <w:pStyle w:val="Tabela"/>
              <w:jc w:val="left"/>
            </w:pPr>
            <w:r>
              <w:t xml:space="preserve">Idade média (anos)</w:t>
            </w:r>
          </w:p>
        </w:tc>
        <w:tc>
          <w:tcPr>
            <w:tcMar>
              <w:top w:type="dxa" w:w="60"/>
              <w:left w:type="dxa" w:w="100"/>
              <w:bottom w:type="dxa" w:w="60"/>
              <w:right w:type="dxa" w:w="100"/>
            </w:tcMar>
            <w:vAlign w:val="center"/>
          </w:tcPr>
          <w:p>
            <w:pPr>
              <w:pStyle w:val="Tabela"/>
              <w:jc w:val="left"/>
            </w:pPr>
            <w:r>
              <w:t xml:space="preserve">20,6</w:t>
            </w:r>
          </w:p>
        </w:tc>
        <w:tc>
          <w:tcPr>
            <w:tcMar>
              <w:top w:type="dxa" w:w="60"/>
              <w:left w:type="dxa" w:w="100"/>
              <w:bottom w:type="dxa" w:w="60"/>
              <w:right w:type="dxa" w:w="100"/>
            </w:tcMar>
            <w:vAlign w:val="center"/>
          </w:tcPr>
          <w:p>
            <w:pPr>
              <w:pStyle w:val="Tabela"/>
              <w:jc w:val="left"/>
            </w:pPr>
            <w:r>
              <w:t xml:space="preserve">22,2</w:t>
            </w:r>
          </w:p>
        </w:tc>
        <w:tc>
          <w:tcPr>
            <w:tcMar>
              <w:top w:type="dxa" w:w="60"/>
              <w:left w:type="dxa" w:w="100"/>
              <w:bottom w:type="dxa" w:w="60"/>
              <w:right w:type="dxa" w:w="100"/>
            </w:tcMar>
            <w:vAlign w:val="center"/>
          </w:tcPr>
          <w:p>
            <w:pPr>
              <w:pStyle w:val="Tabela"/>
              <w:jc w:val="left"/>
            </w:pPr>
            <w:r>
              <w:t xml:space="preserve">24,0</w:t>
            </w:r>
          </w:p>
        </w:tc>
        <w:tc>
          <w:tcPr>
            <w:tcMar>
              <w:top w:type="dxa" w:w="60"/>
              <w:left w:type="dxa" w:w="100"/>
              <w:bottom w:type="dxa" w:w="60"/>
              <w:right w:type="dxa" w:w="100"/>
            </w:tcMar>
            <w:vAlign w:val="center"/>
          </w:tcPr>
          <w:p>
            <w:pPr>
              <w:pStyle w:val="Tabela"/>
              <w:jc w:val="left"/>
            </w:pPr>
            <w:r>
              <w:t xml:space="preserve">27,8</w:t>
            </w:r>
          </w:p>
        </w:tc>
        <w:tc>
          <w:tcPr>
            <w:tcMar>
              <w:top w:type="dxa" w:w="60"/>
              <w:left w:type="dxa" w:w="100"/>
              <w:bottom w:type="dxa" w:w="60"/>
              <w:right w:type="dxa" w:w="100"/>
            </w:tcMar>
            <w:vAlign w:val="center"/>
          </w:tcPr>
          <w:p>
            <w:pPr>
              <w:pStyle w:val="Tabela"/>
              <w:jc w:val="left"/>
            </w:pPr>
            <w:r>
              <w:t xml:space="preserve">27,5</w:t>
            </w:r>
          </w:p>
        </w:tc>
      </w:tr>
      <w:tr>
        <w:tc>
          <w:tcPr>
            <w:tcMar>
              <w:top w:type="dxa" w:w="60"/>
              <w:left w:type="dxa" w:w="100"/>
              <w:bottom w:type="dxa" w:w="60"/>
              <w:right w:type="dxa" w:w="100"/>
            </w:tcMar>
            <w:vAlign w:val="center"/>
          </w:tcPr>
          <w:p>
            <w:pPr>
              <w:pStyle w:val="Tabela"/>
              <w:jc w:val="left"/>
            </w:pPr>
            <w:r>
              <w:t xml:space="preserve">Moradores por domicílio</w:t>
            </w:r>
          </w:p>
        </w:tc>
        <w:tc>
          <w:tcPr>
            <w:tcMar>
              <w:top w:type="dxa" w:w="60"/>
              <w:left w:type="dxa" w:w="100"/>
              <w:bottom w:type="dxa" w:w="60"/>
              <w:right w:type="dxa" w:w="100"/>
            </w:tcMar>
            <w:vAlign w:val="center"/>
          </w:tcPr>
          <w:p>
            <w:pPr>
              <w:pStyle w:val="Tabela"/>
              <w:jc w:val="left"/>
            </w:pPr>
            <w:r>
              <w:t xml:space="preserve">4,8</w:t>
            </w:r>
          </w:p>
        </w:tc>
        <w:tc>
          <w:tcPr>
            <w:tcMar>
              <w:top w:type="dxa" w:w="60"/>
              <w:left w:type="dxa" w:w="100"/>
              <w:bottom w:type="dxa" w:w="60"/>
              <w:right w:type="dxa" w:w="100"/>
            </w:tcMar>
            <w:vAlign w:val="center"/>
          </w:tcPr>
          <w:p>
            <w:pPr>
              <w:pStyle w:val="Tabela"/>
              <w:jc w:val="left"/>
            </w:pPr>
            <w:r>
              <w:t xml:space="preserve">5,2</w:t>
            </w:r>
          </w:p>
        </w:tc>
        <w:tc>
          <w:tcPr>
            <w:tcMar>
              <w:top w:type="dxa" w:w="60"/>
              <w:left w:type="dxa" w:w="100"/>
              <w:bottom w:type="dxa" w:w="60"/>
              <w:right w:type="dxa" w:w="100"/>
            </w:tcMar>
            <w:vAlign w:val="center"/>
          </w:tcPr>
          <w:p>
            <w:pPr>
              <w:pStyle w:val="Tabela"/>
              <w:jc w:val="left"/>
            </w:pPr>
            <w:r>
              <w:t xml:space="preserve">4,3</w:t>
            </w:r>
          </w:p>
        </w:tc>
        <w:tc>
          <w:tcPr>
            <w:tcMar>
              <w:top w:type="dxa" w:w="60"/>
              <w:left w:type="dxa" w:w="100"/>
              <w:bottom w:type="dxa" w:w="60"/>
              <w:right w:type="dxa" w:w="100"/>
            </w:tcMar>
            <w:vAlign w:val="center"/>
          </w:tcPr>
          <w:p>
            <w:pPr>
              <w:pStyle w:val="Tabela"/>
              <w:jc w:val="left"/>
            </w:pPr>
            <w:r>
              <w:t xml:space="preserve">3,1</w:t>
            </w:r>
          </w:p>
        </w:tc>
        <w:tc>
          <w:tcPr>
            <w:tcMar>
              <w:top w:type="dxa" w:w="60"/>
              <w:left w:type="dxa" w:w="100"/>
              <w:bottom w:type="dxa" w:w="60"/>
              <w:right w:type="dxa" w:w="100"/>
            </w:tcMar>
            <w:vAlign w:val="center"/>
          </w:tcPr>
          <w:p>
            <w:pPr>
              <w:pStyle w:val="Tabela"/>
              <w:jc w:val="left"/>
            </w:pPr>
            <w:r>
              <w:t xml:space="preserve">3,2</w:t>
            </w:r>
          </w:p>
        </w:tc>
      </w:tr>
    </w:tbl>
    <w:p>
      <w:pPr>
        <w:spacing w:after="120"/>
      </w:pPr>
    </w:p>
    <w:p>
      <w:pPr>
        <w:pStyle w:val="Corpo"/>
      </w:pPr>
      <w:r>
        <w:t xml:space="preserve">Fonte: Elaboração própria a partir dos microdados da amostra dos Censos 1991, 2000 e 2022 (IBGE).</w:t>
      </w:r>
    </w:p>
    <w:p>
      <w:pPr>
        <w:pStyle w:val="Corpo"/>
      </w:pPr>
      <w:r>
        <w:t xml:space="preserve">Nota: Em 1991 Canaã era localidade de Parauapebas: o perfil é de um superconjunto, não de um proxy externo. Renda de 1991 não é comparável (moeda pré-Real). '—' = célula suprimida ou não investigada. </w:t>
      </w:r>
      <w:r>
        <w:rPr>
          <w:i/>
          <w:iCs/>
        </w:rPr>
        <w:t xml:space="preserve"> CV 15–30 %; </w:t>
      </w:r>
      <w:r>
        <w:t xml:space="preserve">* CV &gt; 30 %.</w:t>
      </w:r>
    </w:p>
    <w:p>
      <w:pPr>
        <w:spacing w:after="40" w:before="200"/>
        <w:jc w:val="center"/>
      </w:pPr>
      <w:r>
        <w:drawing>
          <wp:inline distT="0" distB="0" distL="0" distR="0">
            <wp:extent cx="5334000" cy="36149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14932"/>
                    </a:xfrm>
                    <a:prstGeom prst="rect">
                      <a:avLst/>
                    </a:prstGeom>
                  </pic:spPr>
                </pic:pic>
              </a:graphicData>
            </a:graphic>
          </wp:inline>
        </w:drawing>
      </w:r>
    </w:p>
    <w:p>
      <w:pPr>
        <w:pStyle w:val="Legenda"/>
        <w:jc w:val="center"/>
      </w:pPr>
      <w:r>
        <w:t xml:space="preserve">Figura 14 — Indicadores selecionados para Parauapebas em 1991 (município que então incluía o atual Canaã dos Carajás), Canaã em 2000 e Canaã em 2022 (IC 95 %). Células suprimidas pelo controle de revelação omitidas. Fonte: Elaboração própria a partir dos microdados da amostra dos Censos Demográficos (IBGE); estimativas aprovadas pelo controle de revelação.</w:t>
      </w:r>
    </w:p>
    <w:p>
      <w:pPr>
        <w:pStyle w:val="Titulo2"/>
      </w:pPr>
      <w:r>
        <w:t xml:space="preserve">5.10 Mineração, economia e o ritmo da cidade</w:t>
      </w:r>
    </w:p>
    <w:p>
      <w:pPr>
        <w:pStyle w:val="Corpo"/>
      </w:pPr>
      <w:r>
        <w:t xml:space="preserve">A Tabela 11 e a Figura 13 relacionam o ritmo da expansão urbana com a economia mineral. O PIB municipal a preços correntes foi de R$ 70 milhões em 2002 para R$ 2,1 bilhões em 2010, R$ 10,7 bilhões em 2019 e R$ 35,0 bilhões em 2021, quando a participação de Canaã no PIB do Pará chegou a 13,3 %, recuando para 6,5 % em 2023 com a queda do preço do minério; o valor adicionado da indústria responde por 80 a 90 % do total desde 2010. A CFEM distribuída ao município ficou entre R$ 3 e 26 milhões anuais de 2004 a 2016 e saltou para R$ 178 milhões em 2018, R$ 676 milhões em 2020 e R$ 1,1 bilhão em 2021, em valores correntes; per capita, em reais de 2022, foram R$ 31 mil por habitante em 2021 (sobre a população estimada, subestimada). O emprego assalariado registrado no Cadastro Central de Empresas cresceu de 1,5 mil em 2007 para 8,0 mil em 2021.</w:t>
      </w:r>
    </w:p>
    <w:p>
      <w:pPr>
        <w:pStyle w:val="Corpo"/>
      </w:pPr>
      <w:r>
        <w:rPr>
          <w:b/>
          <w:bCs/>
        </w:rPr>
        <w:t xml:space="preserve">Tabela 11 — Indicadores econômicos de Canaã dos Carajás e área construída da sede, 2002–2023</w:t>
      </w:r>
    </w:p>
    <w:tbl>
      <w:tblPr>
        <w:tblW w:type="pct" w:w="100%"/>
        <w:tblBorders>
          <w:top w:val="none" w:sz="0"/>
          <w:left w:val="none" w:sz="0"/>
          <w:bottom w:val="single" w:color="24404F" w:sz="8"/>
          <w:right w:val="none" w:sz="0"/>
          <w:insideH w:val="single" w:color="E6E2DA" w:sz="4"/>
          <w:insideV w:val="none" w:sz="0"/>
        </w:tblBorders>
      </w:tblPr>
      <w:tblGrid>
        <w:gridCol w:w="100"/>
        <w:gridCol w:w="100"/>
        <w:gridCol w:w="100"/>
        <w:gridCol w:w="100"/>
        <w:gridCol w:w="100"/>
        <w:gridCol w:w="100"/>
        <w:gridCol w:w="100"/>
        <w:gridCol w:w="100"/>
        <w:gridCol w:w="100"/>
        <w:gridCol w:w="100"/>
        <w:gridCol w:w="100"/>
      </w:tblGrid>
      <w:tr>
        <w:trPr>
          <w:tblHeader/>
        </w:trPr>
        <w:tc>
          <w:tcPr>
            <w:tcMar>
              <w:top w:type="dxa" w:w="60"/>
              <w:left w:type="dxa" w:w="100"/>
              <w:bottom w:type="dxa" w:w="60"/>
              <w:right w:type="dxa" w:w="100"/>
            </w:tcMar>
            <w:vAlign w:val="center"/>
          </w:tcPr>
          <w:p>
            <w:pPr>
              <w:pStyle w:val="TabelaCab"/>
              <w:jc w:val="left"/>
            </w:pPr>
            <w:r>
              <w:t xml:space="preserve">Ano</w:t>
            </w:r>
          </w:p>
        </w:tc>
        <w:tc>
          <w:tcPr>
            <w:tcMar>
              <w:top w:type="dxa" w:w="60"/>
              <w:left w:type="dxa" w:w="100"/>
              <w:bottom w:type="dxa" w:w="60"/>
              <w:right w:type="dxa" w:w="100"/>
            </w:tcMar>
            <w:vAlign w:val="center"/>
          </w:tcPr>
          <w:p>
            <w:pPr>
              <w:pStyle w:val="TabelaCab"/>
              <w:jc w:val="left"/>
            </w:pPr>
            <w:r>
              <w:t xml:space="preserve">População (IBGE)</w:t>
            </w:r>
          </w:p>
        </w:tc>
        <w:tc>
          <w:tcPr>
            <w:tcMar>
              <w:top w:type="dxa" w:w="60"/>
              <w:left w:type="dxa" w:w="100"/>
              <w:bottom w:type="dxa" w:w="60"/>
              <w:right w:type="dxa" w:w="100"/>
            </w:tcMar>
            <w:vAlign w:val="center"/>
          </w:tcPr>
          <w:p>
            <w:pPr>
              <w:pStyle w:val="TabelaCab"/>
              <w:jc w:val="left"/>
            </w:pPr>
            <w:r>
              <w:t xml:space="preserve">PIB (R$ mi correntes)</w:t>
            </w:r>
          </w:p>
        </w:tc>
        <w:tc>
          <w:tcPr>
            <w:tcMar>
              <w:top w:type="dxa" w:w="60"/>
              <w:left w:type="dxa" w:w="100"/>
              <w:bottom w:type="dxa" w:w="60"/>
              <w:right w:type="dxa" w:w="100"/>
            </w:tcMar>
            <w:vAlign w:val="center"/>
          </w:tcPr>
          <w:p>
            <w:pPr>
              <w:pStyle w:val="TabelaCab"/>
              <w:jc w:val="left"/>
            </w:pPr>
            <w:r>
              <w:t xml:space="preserve">PIB per capita (R$ correntes)</w:t>
            </w:r>
          </w:p>
        </w:tc>
        <w:tc>
          <w:tcPr>
            <w:tcMar>
              <w:top w:type="dxa" w:w="60"/>
              <w:left w:type="dxa" w:w="100"/>
              <w:bottom w:type="dxa" w:w="60"/>
              <w:right w:type="dxa" w:w="100"/>
            </w:tcMar>
            <w:vAlign w:val="center"/>
          </w:tcPr>
          <w:p>
            <w:pPr>
              <w:pStyle w:val="TabelaCab"/>
              <w:jc w:val="left"/>
            </w:pPr>
            <w:r>
              <w:t xml:space="preserve">VA indústria (%)</w:t>
            </w:r>
          </w:p>
        </w:tc>
        <w:tc>
          <w:tcPr>
            <w:tcMar>
              <w:top w:type="dxa" w:w="60"/>
              <w:left w:type="dxa" w:w="100"/>
              <w:bottom w:type="dxa" w:w="60"/>
              <w:right w:type="dxa" w:w="100"/>
            </w:tcMar>
            <w:vAlign w:val="center"/>
          </w:tcPr>
          <w:p>
            <w:pPr>
              <w:pStyle w:val="TabelaCab"/>
              <w:jc w:val="left"/>
            </w:pPr>
            <w:r>
              <w:t xml:space="preserve">VA adm. pública (%)</w:t>
            </w:r>
          </w:p>
        </w:tc>
        <w:tc>
          <w:tcPr>
            <w:tcMar>
              <w:top w:type="dxa" w:w="60"/>
              <w:left w:type="dxa" w:w="100"/>
              <w:bottom w:type="dxa" w:w="60"/>
              <w:right w:type="dxa" w:w="100"/>
            </w:tcMar>
            <w:vAlign w:val="center"/>
          </w:tcPr>
          <w:p>
            <w:pPr>
              <w:pStyle w:val="TabelaCab"/>
              <w:jc w:val="left"/>
            </w:pPr>
            <w:r>
              <w:t xml:space="preserve">Part. no PIB do Pará (%)</w:t>
            </w:r>
          </w:p>
        </w:tc>
        <w:tc>
          <w:tcPr>
            <w:tcMar>
              <w:top w:type="dxa" w:w="60"/>
              <w:left w:type="dxa" w:w="100"/>
              <w:bottom w:type="dxa" w:w="60"/>
              <w:right w:type="dxa" w:w="100"/>
            </w:tcMar>
            <w:vAlign w:val="center"/>
          </w:tcPr>
          <w:p>
            <w:pPr>
              <w:pStyle w:val="TabelaCab"/>
              <w:jc w:val="left"/>
            </w:pPr>
            <w:r>
              <w:t xml:space="preserve">CFEM (R$ mi correntes)</w:t>
            </w:r>
          </w:p>
        </w:tc>
        <w:tc>
          <w:tcPr>
            <w:tcMar>
              <w:top w:type="dxa" w:w="60"/>
              <w:left w:type="dxa" w:w="100"/>
              <w:bottom w:type="dxa" w:w="60"/>
              <w:right w:type="dxa" w:w="100"/>
            </w:tcMar>
            <w:vAlign w:val="center"/>
          </w:tcPr>
          <w:p>
            <w:pPr>
              <w:pStyle w:val="TabelaCab"/>
              <w:jc w:val="left"/>
            </w:pPr>
            <w:r>
              <w:t xml:space="preserve">CFEM per capita (R$ jul/2022)</w:t>
            </w:r>
          </w:p>
        </w:tc>
        <w:tc>
          <w:tcPr>
            <w:tcMar>
              <w:top w:type="dxa" w:w="60"/>
              <w:left w:type="dxa" w:w="100"/>
              <w:bottom w:type="dxa" w:w="60"/>
              <w:right w:type="dxa" w:w="100"/>
            </w:tcMar>
            <w:vAlign w:val="center"/>
          </w:tcPr>
          <w:p>
            <w:pPr>
              <w:pStyle w:val="TabelaCab"/>
              <w:jc w:val="left"/>
            </w:pPr>
            <w:r>
              <w:t xml:space="preserve">Assalariados CEMPRE</w:t>
            </w:r>
          </w:p>
        </w:tc>
        <w:tc>
          <w:tcPr>
            <w:tcMar>
              <w:top w:type="dxa" w:w="60"/>
              <w:left w:type="dxa" w:w="100"/>
              <w:bottom w:type="dxa" w:w="60"/>
              <w:right w:type="dxa" w:w="100"/>
            </w:tcMar>
            <w:vAlign w:val="center"/>
          </w:tcPr>
          <w:p>
            <w:pPr>
              <w:pStyle w:val="TabelaCab"/>
              <w:jc w:val="left"/>
            </w:pPr>
            <w:r>
              <w:t xml:space="preserve">Área da sede (ha)</w:t>
            </w:r>
          </w:p>
        </w:tc>
      </w:tr>
      <w:tr>
        <w:tc>
          <w:tcPr>
            <w:tcMar>
              <w:top w:type="dxa" w:w="60"/>
              <w:left w:type="dxa" w:w="100"/>
              <w:bottom w:type="dxa" w:w="60"/>
              <w:right w:type="dxa" w:w="100"/>
            </w:tcMar>
            <w:vAlign w:val="center"/>
          </w:tcPr>
          <w:p>
            <w:pPr>
              <w:pStyle w:val="Tabela"/>
              <w:jc w:val="left"/>
            </w:pPr>
            <w:r>
              <w:t xml:space="preserve">2002</w:t>
            </w:r>
          </w:p>
        </w:tc>
        <w:tc>
          <w:tcPr>
            <w:tcMar>
              <w:top w:type="dxa" w:w="60"/>
              <w:left w:type="dxa" w:w="100"/>
              <w:bottom w:type="dxa" w:w="60"/>
              <w:right w:type="dxa" w:w="100"/>
            </w:tcMar>
            <w:vAlign w:val="center"/>
          </w:tcPr>
          <w:p>
            <w:pPr>
              <w:pStyle w:val="Tabela"/>
              <w:jc w:val="left"/>
            </w:pPr>
            <w:r>
              <w:t xml:space="preserve">11.761</w:t>
            </w:r>
          </w:p>
        </w:tc>
        <w:tc>
          <w:tcPr>
            <w:tcMar>
              <w:top w:type="dxa" w:w="60"/>
              <w:left w:type="dxa" w:w="100"/>
              <w:bottom w:type="dxa" w:w="60"/>
              <w:right w:type="dxa" w:w="100"/>
            </w:tcMar>
            <w:vAlign w:val="center"/>
          </w:tcPr>
          <w:p>
            <w:pPr>
              <w:pStyle w:val="Tabela"/>
              <w:jc w:val="left"/>
            </w:pPr>
            <w:r>
              <w:t xml:space="preserve">70</w:t>
            </w:r>
          </w:p>
        </w:tc>
        <w:tc>
          <w:tcPr>
            <w:tcMar>
              <w:top w:type="dxa" w:w="60"/>
              <w:left w:type="dxa" w:w="100"/>
              <w:bottom w:type="dxa" w:w="60"/>
              <w:right w:type="dxa" w:w="100"/>
            </w:tcMar>
            <w:vAlign w:val="center"/>
          </w:tcPr>
          <w:p>
            <w:pPr>
              <w:pStyle w:val="Tabela"/>
              <w:jc w:val="left"/>
            </w:pPr>
            <w:r>
              <w:t xml:space="preserve">5.940</w:t>
            </w:r>
          </w:p>
        </w:tc>
        <w:tc>
          <w:tcPr>
            <w:tcMar>
              <w:top w:type="dxa" w:w="60"/>
              <w:left w:type="dxa" w:w="100"/>
              <w:bottom w:type="dxa" w:w="60"/>
              <w:right w:type="dxa" w:w="100"/>
            </w:tcMar>
            <w:vAlign w:val="center"/>
          </w:tcPr>
          <w:p>
            <w:pPr>
              <w:pStyle w:val="Tabela"/>
              <w:jc w:val="left"/>
            </w:pPr>
            <w:r>
              <w:t xml:space="preserve">38,3</w:t>
            </w:r>
          </w:p>
        </w:tc>
        <w:tc>
          <w:tcPr>
            <w:tcMar>
              <w:top w:type="dxa" w:w="60"/>
              <w:left w:type="dxa" w:w="100"/>
              <w:bottom w:type="dxa" w:w="60"/>
              <w:right w:type="dxa" w:w="100"/>
            </w:tcMar>
            <w:vAlign w:val="center"/>
          </w:tcPr>
          <w:p>
            <w:pPr>
              <w:pStyle w:val="Tabela"/>
              <w:jc w:val="left"/>
            </w:pPr>
            <w:r>
              <w:t xml:space="preserve">17,9</w:t>
            </w:r>
          </w:p>
        </w:tc>
        <w:tc>
          <w:tcPr>
            <w:tcMar>
              <w:top w:type="dxa" w:w="60"/>
              <w:left w:type="dxa" w:w="100"/>
              <w:bottom w:type="dxa" w:w="60"/>
              <w:right w:type="dxa" w:w="100"/>
            </w:tcMar>
            <w:vAlign w:val="center"/>
          </w:tcPr>
          <w:p>
            <w:pPr>
              <w:pStyle w:val="Tabela"/>
              <w:jc w:val="left"/>
            </w:pPr>
            <w:r>
              <w:t xml:space="preserve">0,26</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224</w:t>
            </w:r>
          </w:p>
        </w:tc>
      </w:tr>
      <w:tr>
        <w:tc>
          <w:tcPr>
            <w:tcMar>
              <w:top w:type="dxa" w:w="60"/>
              <w:left w:type="dxa" w:w="100"/>
              <w:bottom w:type="dxa" w:w="60"/>
              <w:right w:type="dxa" w:w="100"/>
            </w:tcMar>
            <w:vAlign w:val="center"/>
          </w:tcPr>
          <w:p>
            <w:pPr>
              <w:pStyle w:val="Tabela"/>
              <w:jc w:val="left"/>
            </w:pPr>
            <w:r>
              <w:t xml:space="preserve">2004</w:t>
            </w:r>
          </w:p>
        </w:tc>
        <w:tc>
          <w:tcPr>
            <w:tcMar>
              <w:top w:type="dxa" w:w="60"/>
              <w:left w:type="dxa" w:w="100"/>
              <w:bottom w:type="dxa" w:w="60"/>
              <w:right w:type="dxa" w:w="100"/>
            </w:tcMar>
            <w:vAlign w:val="center"/>
          </w:tcPr>
          <w:p>
            <w:pPr>
              <w:pStyle w:val="Tabela"/>
              <w:jc w:val="left"/>
            </w:pPr>
            <w:r>
              <w:t xml:space="preserve">13.035</w:t>
            </w:r>
          </w:p>
        </w:tc>
        <w:tc>
          <w:tcPr>
            <w:tcMar>
              <w:top w:type="dxa" w:w="60"/>
              <w:left w:type="dxa" w:w="100"/>
              <w:bottom w:type="dxa" w:w="60"/>
              <w:right w:type="dxa" w:w="100"/>
            </w:tcMar>
            <w:vAlign w:val="center"/>
          </w:tcPr>
          <w:p>
            <w:pPr>
              <w:pStyle w:val="Tabela"/>
              <w:jc w:val="left"/>
            </w:pPr>
            <w:r>
              <w:t xml:space="preserve">465</w:t>
            </w:r>
          </w:p>
        </w:tc>
        <w:tc>
          <w:tcPr>
            <w:tcMar>
              <w:top w:type="dxa" w:w="60"/>
              <w:left w:type="dxa" w:w="100"/>
              <w:bottom w:type="dxa" w:w="60"/>
              <w:right w:type="dxa" w:w="100"/>
            </w:tcMar>
            <w:vAlign w:val="center"/>
          </w:tcPr>
          <w:p>
            <w:pPr>
              <w:pStyle w:val="Tabela"/>
              <w:jc w:val="left"/>
            </w:pPr>
            <w:r>
              <w:t xml:space="preserve">35.681</w:t>
            </w:r>
          </w:p>
        </w:tc>
        <w:tc>
          <w:tcPr>
            <w:tcMar>
              <w:top w:type="dxa" w:w="60"/>
              <w:left w:type="dxa" w:w="100"/>
              <w:bottom w:type="dxa" w:w="60"/>
              <w:right w:type="dxa" w:w="100"/>
            </w:tcMar>
            <w:vAlign w:val="center"/>
          </w:tcPr>
          <w:p>
            <w:pPr>
              <w:pStyle w:val="Tabela"/>
              <w:jc w:val="left"/>
            </w:pPr>
            <w:r>
              <w:t xml:space="preserve">72,9</w:t>
            </w:r>
          </w:p>
        </w:tc>
        <w:tc>
          <w:tcPr>
            <w:tcMar>
              <w:top w:type="dxa" w:w="60"/>
              <w:left w:type="dxa" w:w="100"/>
              <w:bottom w:type="dxa" w:w="60"/>
              <w:right w:type="dxa" w:w="100"/>
            </w:tcMar>
            <w:vAlign w:val="center"/>
          </w:tcPr>
          <w:p>
            <w:pPr>
              <w:pStyle w:val="Tabela"/>
              <w:jc w:val="left"/>
            </w:pPr>
            <w:r>
              <w:t xml:space="preserve">4,5</w:t>
            </w:r>
          </w:p>
        </w:tc>
        <w:tc>
          <w:tcPr>
            <w:tcMar>
              <w:top w:type="dxa" w:w="60"/>
              <w:left w:type="dxa" w:w="100"/>
              <w:bottom w:type="dxa" w:w="60"/>
              <w:right w:type="dxa" w:w="100"/>
            </w:tcMar>
            <w:vAlign w:val="center"/>
          </w:tcPr>
          <w:p>
            <w:pPr>
              <w:pStyle w:val="Tabela"/>
              <w:jc w:val="left"/>
            </w:pPr>
            <w:r>
              <w:t xml:space="preserve">1,25</w:t>
            </w:r>
          </w:p>
        </w:tc>
        <w:tc>
          <w:tcPr>
            <w:tcMar>
              <w:top w:type="dxa" w:w="60"/>
              <w:left w:type="dxa" w:w="100"/>
              <w:bottom w:type="dxa" w:w="60"/>
              <w:right w:type="dxa" w:w="100"/>
            </w:tcMar>
            <w:vAlign w:val="center"/>
          </w:tcPr>
          <w:p>
            <w:pPr>
              <w:pStyle w:val="Tabela"/>
              <w:jc w:val="left"/>
            </w:pPr>
            <w:r>
              <w:t xml:space="preserve">3,5</w:t>
            </w:r>
          </w:p>
        </w:tc>
        <w:tc>
          <w:tcPr>
            <w:tcMar>
              <w:top w:type="dxa" w:w="60"/>
              <w:left w:type="dxa" w:w="100"/>
              <w:bottom w:type="dxa" w:w="60"/>
              <w:right w:type="dxa" w:w="100"/>
            </w:tcMar>
            <w:vAlign w:val="center"/>
          </w:tcPr>
          <w:p>
            <w:pPr>
              <w:pStyle w:val="Tabela"/>
              <w:jc w:val="left"/>
            </w:pPr>
            <w:r>
              <w:t xml:space="preserve">734</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504</w:t>
            </w:r>
          </w:p>
        </w:tc>
      </w:tr>
      <w:tr>
        <w:tc>
          <w:tcPr>
            <w:tcMar>
              <w:top w:type="dxa" w:w="60"/>
              <w:left w:type="dxa" w:w="100"/>
              <w:bottom w:type="dxa" w:w="60"/>
              <w:right w:type="dxa" w:w="100"/>
            </w:tcMar>
            <w:vAlign w:val="center"/>
          </w:tcPr>
          <w:p>
            <w:pPr>
              <w:pStyle w:val="Tabela"/>
              <w:jc w:val="left"/>
            </w:pPr>
            <w:r>
              <w:t xml:space="preserve">2007</w:t>
            </w:r>
          </w:p>
        </w:tc>
        <w:tc>
          <w:tcPr>
            <w:tcMar>
              <w:top w:type="dxa" w:w="60"/>
              <w:left w:type="dxa" w:w="100"/>
              <w:bottom w:type="dxa" w:w="60"/>
              <w:right w:type="dxa" w:w="100"/>
            </w:tcMar>
            <w:vAlign w:val="center"/>
          </w:tcPr>
          <w:p>
            <w:pPr>
              <w:pStyle w:val="Tabela"/>
              <w:jc w:val="left"/>
            </w:pPr>
            <w:r>
              <w:t xml:space="preserve">23.757</w:t>
            </w:r>
          </w:p>
        </w:tc>
        <w:tc>
          <w:tcPr>
            <w:tcMar>
              <w:top w:type="dxa" w:w="60"/>
              <w:left w:type="dxa" w:w="100"/>
              <w:bottom w:type="dxa" w:w="60"/>
              <w:right w:type="dxa" w:w="100"/>
            </w:tcMar>
            <w:vAlign w:val="center"/>
          </w:tcPr>
          <w:p>
            <w:pPr>
              <w:pStyle w:val="Tabela"/>
              <w:jc w:val="left"/>
            </w:pPr>
            <w:r>
              <w:t xml:space="preserve">635</w:t>
            </w:r>
          </w:p>
        </w:tc>
        <w:tc>
          <w:tcPr>
            <w:tcMar>
              <w:top w:type="dxa" w:w="60"/>
              <w:left w:type="dxa" w:w="100"/>
              <w:bottom w:type="dxa" w:w="60"/>
              <w:right w:type="dxa" w:w="100"/>
            </w:tcMar>
            <w:vAlign w:val="center"/>
          </w:tcPr>
          <w:p>
            <w:pPr>
              <w:pStyle w:val="Tabela"/>
              <w:jc w:val="left"/>
            </w:pPr>
            <w:r>
              <w:t xml:space="preserve">26.726</w:t>
            </w:r>
          </w:p>
        </w:tc>
        <w:tc>
          <w:tcPr>
            <w:tcMar>
              <w:top w:type="dxa" w:w="60"/>
              <w:left w:type="dxa" w:w="100"/>
              <w:bottom w:type="dxa" w:w="60"/>
              <w:right w:type="dxa" w:w="100"/>
            </w:tcMar>
            <w:vAlign w:val="center"/>
          </w:tcPr>
          <w:p>
            <w:pPr>
              <w:pStyle w:val="Tabela"/>
              <w:jc w:val="left"/>
            </w:pPr>
            <w:r>
              <w:t xml:space="preserve">65,9</w:t>
            </w:r>
          </w:p>
        </w:tc>
        <w:tc>
          <w:tcPr>
            <w:tcMar>
              <w:top w:type="dxa" w:w="60"/>
              <w:left w:type="dxa" w:w="100"/>
              <w:bottom w:type="dxa" w:w="60"/>
              <w:right w:type="dxa" w:w="100"/>
            </w:tcMar>
            <w:vAlign w:val="center"/>
          </w:tcPr>
          <w:p>
            <w:pPr>
              <w:pStyle w:val="Tabela"/>
              <w:jc w:val="left"/>
            </w:pPr>
            <w:r>
              <w:t xml:space="preserve">7,5</w:t>
            </w:r>
          </w:p>
        </w:tc>
        <w:tc>
          <w:tcPr>
            <w:tcMar>
              <w:top w:type="dxa" w:w="60"/>
              <w:left w:type="dxa" w:w="100"/>
              <w:bottom w:type="dxa" w:w="60"/>
              <w:right w:type="dxa" w:w="100"/>
            </w:tcMar>
            <w:vAlign w:val="center"/>
          </w:tcPr>
          <w:p>
            <w:pPr>
              <w:pStyle w:val="Tabela"/>
              <w:jc w:val="left"/>
            </w:pPr>
            <w:r>
              <w:t xml:space="preserve">1,22</w:t>
            </w:r>
          </w:p>
        </w:tc>
        <w:tc>
          <w:tcPr>
            <w:tcMar>
              <w:top w:type="dxa" w:w="60"/>
              <w:left w:type="dxa" w:w="100"/>
              <w:bottom w:type="dxa" w:w="60"/>
              <w:right w:type="dxa" w:w="100"/>
            </w:tcMar>
            <w:vAlign w:val="center"/>
          </w:tcPr>
          <w:p>
            <w:pPr>
              <w:pStyle w:val="Tabela"/>
              <w:jc w:val="left"/>
            </w:pPr>
            <w:r>
              <w:t xml:space="preserve">15,6</w:t>
            </w:r>
          </w:p>
        </w:tc>
        <w:tc>
          <w:tcPr>
            <w:tcMar>
              <w:top w:type="dxa" w:w="60"/>
              <w:left w:type="dxa" w:w="100"/>
              <w:bottom w:type="dxa" w:w="60"/>
              <w:right w:type="dxa" w:w="100"/>
            </w:tcMar>
            <w:vAlign w:val="center"/>
          </w:tcPr>
          <w:p>
            <w:pPr>
              <w:pStyle w:val="Tabela"/>
              <w:jc w:val="left"/>
            </w:pPr>
            <w:r>
              <w:t xml:space="preserve">1.578</w:t>
            </w:r>
          </w:p>
        </w:tc>
        <w:tc>
          <w:tcPr>
            <w:tcMar>
              <w:top w:type="dxa" w:w="60"/>
              <w:left w:type="dxa" w:w="100"/>
              <w:bottom w:type="dxa" w:w="60"/>
              <w:right w:type="dxa" w:w="100"/>
            </w:tcMar>
            <w:vAlign w:val="center"/>
          </w:tcPr>
          <w:p>
            <w:pPr>
              <w:pStyle w:val="Tabela"/>
              <w:jc w:val="left"/>
            </w:pPr>
            <w:r>
              <w:t xml:space="preserve">1.522</w:t>
            </w:r>
          </w:p>
        </w:tc>
        <w:tc>
          <w:tcPr>
            <w:tcMar>
              <w:top w:type="dxa" w:w="60"/>
              <w:left w:type="dxa" w:w="100"/>
              <w:bottom w:type="dxa" w:w="60"/>
              <w:right w:type="dxa" w:w="100"/>
            </w:tcMar>
            <w:vAlign w:val="center"/>
          </w:tcPr>
          <w:p>
            <w:pPr>
              <w:pStyle w:val="Tabela"/>
              <w:jc w:val="left"/>
            </w:pPr>
            <w:r>
              <w:t xml:space="preserve">745</w:t>
            </w:r>
          </w:p>
        </w:tc>
      </w:tr>
      <w:tr>
        <w:tc>
          <w:tcPr>
            <w:tcMar>
              <w:top w:type="dxa" w:w="60"/>
              <w:left w:type="dxa" w:w="100"/>
              <w:bottom w:type="dxa" w:w="60"/>
              <w:right w:type="dxa" w:w="100"/>
            </w:tcMar>
            <w:vAlign w:val="center"/>
          </w:tcPr>
          <w:p>
            <w:pPr>
              <w:pStyle w:val="Tabela"/>
              <w:jc w:val="left"/>
            </w:pPr>
            <w:r>
              <w:t xml:space="preserve">2010</w:t>
            </w:r>
          </w:p>
        </w:tc>
        <w:tc>
          <w:tcPr>
            <w:tcMar>
              <w:top w:type="dxa" w:w="60"/>
              <w:left w:type="dxa" w:w="100"/>
              <w:bottom w:type="dxa" w:w="60"/>
              <w:right w:type="dxa" w:w="100"/>
            </w:tcMar>
            <w:vAlign w:val="center"/>
          </w:tcPr>
          <w:p>
            <w:pPr>
              <w:pStyle w:val="Tabela"/>
              <w:jc w:val="left"/>
            </w:pPr>
            <w:r>
              <w:t xml:space="preserve">26.716</w:t>
            </w:r>
          </w:p>
        </w:tc>
        <w:tc>
          <w:tcPr>
            <w:tcMar>
              <w:top w:type="dxa" w:w="60"/>
              <w:left w:type="dxa" w:w="100"/>
              <w:bottom w:type="dxa" w:w="60"/>
              <w:right w:type="dxa" w:w="100"/>
            </w:tcMar>
            <w:vAlign w:val="center"/>
          </w:tcPr>
          <w:p>
            <w:pPr>
              <w:pStyle w:val="Tabela"/>
              <w:jc w:val="left"/>
            </w:pPr>
            <w:r>
              <w:t xml:space="preserve">2.120</w:t>
            </w:r>
          </w:p>
        </w:tc>
        <w:tc>
          <w:tcPr>
            <w:tcMar>
              <w:top w:type="dxa" w:w="60"/>
              <w:left w:type="dxa" w:w="100"/>
              <w:bottom w:type="dxa" w:w="60"/>
              <w:right w:type="dxa" w:w="100"/>
            </w:tcMar>
            <w:vAlign w:val="center"/>
          </w:tcPr>
          <w:p>
            <w:pPr>
              <w:pStyle w:val="Tabela"/>
              <w:jc w:val="left"/>
            </w:pPr>
            <w:r>
              <w:t xml:space="preserve">79.357</w:t>
            </w:r>
          </w:p>
        </w:tc>
        <w:tc>
          <w:tcPr>
            <w:tcMar>
              <w:top w:type="dxa" w:w="60"/>
              <w:left w:type="dxa" w:w="100"/>
              <w:bottom w:type="dxa" w:w="60"/>
              <w:right w:type="dxa" w:w="100"/>
            </w:tcMar>
            <w:vAlign w:val="center"/>
          </w:tcPr>
          <w:p>
            <w:pPr>
              <w:pStyle w:val="Tabela"/>
              <w:jc w:val="left"/>
            </w:pPr>
            <w:r>
              <w:t xml:space="preserve">81,3</w:t>
            </w:r>
          </w:p>
        </w:tc>
        <w:tc>
          <w:tcPr>
            <w:tcMar>
              <w:top w:type="dxa" w:w="60"/>
              <w:left w:type="dxa" w:w="100"/>
              <w:bottom w:type="dxa" w:w="60"/>
              <w:right w:type="dxa" w:w="100"/>
            </w:tcMar>
            <w:vAlign w:val="center"/>
          </w:tcPr>
          <w:p>
            <w:pPr>
              <w:pStyle w:val="Tabela"/>
              <w:jc w:val="left"/>
            </w:pPr>
            <w:r>
              <w:t xml:space="preserve">3,5</w:t>
            </w:r>
          </w:p>
        </w:tc>
        <w:tc>
          <w:tcPr>
            <w:tcMar>
              <w:top w:type="dxa" w:w="60"/>
              <w:left w:type="dxa" w:w="100"/>
              <w:bottom w:type="dxa" w:w="60"/>
              <w:right w:type="dxa" w:w="100"/>
            </w:tcMar>
            <w:vAlign w:val="center"/>
          </w:tcPr>
          <w:p>
            <w:pPr>
              <w:pStyle w:val="Tabela"/>
              <w:jc w:val="left"/>
            </w:pPr>
            <w:r>
              <w:t xml:space="preserve">2,56</w:t>
            </w:r>
          </w:p>
        </w:tc>
        <w:tc>
          <w:tcPr>
            <w:tcMar>
              <w:top w:type="dxa" w:w="60"/>
              <w:left w:type="dxa" w:w="100"/>
              <w:bottom w:type="dxa" w:w="60"/>
              <w:right w:type="dxa" w:w="100"/>
            </w:tcMar>
            <w:vAlign w:val="center"/>
          </w:tcPr>
          <w:p>
            <w:pPr>
              <w:pStyle w:val="Tabela"/>
              <w:jc w:val="left"/>
            </w:pPr>
            <w:r>
              <w:t xml:space="preserve">16,7</w:t>
            </w:r>
          </w:p>
        </w:tc>
        <w:tc>
          <w:tcPr>
            <w:tcMar>
              <w:top w:type="dxa" w:w="60"/>
              <w:left w:type="dxa" w:w="100"/>
              <w:bottom w:type="dxa" w:w="60"/>
              <w:right w:type="dxa" w:w="100"/>
            </w:tcMar>
            <w:vAlign w:val="center"/>
          </w:tcPr>
          <w:p>
            <w:pPr>
              <w:pStyle w:val="Tabela"/>
              <w:jc w:val="left"/>
            </w:pPr>
            <w:r>
              <w:t xml:space="preserve">1.286</w:t>
            </w:r>
          </w:p>
        </w:tc>
        <w:tc>
          <w:tcPr>
            <w:tcMar>
              <w:top w:type="dxa" w:w="60"/>
              <w:left w:type="dxa" w:w="100"/>
              <w:bottom w:type="dxa" w:w="60"/>
              <w:right w:type="dxa" w:w="100"/>
            </w:tcMar>
            <w:vAlign w:val="center"/>
          </w:tcPr>
          <w:p>
            <w:pPr>
              <w:pStyle w:val="Tabela"/>
              <w:jc w:val="left"/>
            </w:pPr>
            <w:r>
              <w:t xml:space="preserve">3.251</w:t>
            </w:r>
          </w:p>
        </w:tc>
        <w:tc>
          <w:tcPr>
            <w:tcMar>
              <w:top w:type="dxa" w:w="60"/>
              <w:left w:type="dxa" w:w="100"/>
              <w:bottom w:type="dxa" w:w="60"/>
              <w:right w:type="dxa" w:w="100"/>
            </w:tcMar>
            <w:vAlign w:val="center"/>
          </w:tcPr>
          <w:p>
            <w:pPr>
              <w:pStyle w:val="Tabela"/>
              <w:jc w:val="left"/>
            </w:pPr>
            <w:r>
              <w:t xml:space="preserve">1.076</w:t>
            </w:r>
          </w:p>
        </w:tc>
      </w:tr>
      <w:tr>
        <w:tc>
          <w:tcPr>
            <w:tcMar>
              <w:top w:type="dxa" w:w="60"/>
              <w:left w:type="dxa" w:w="100"/>
              <w:bottom w:type="dxa" w:w="60"/>
              <w:right w:type="dxa" w:w="100"/>
            </w:tcMar>
            <w:vAlign w:val="center"/>
          </w:tcPr>
          <w:p>
            <w:pPr>
              <w:pStyle w:val="Tabela"/>
              <w:jc w:val="left"/>
            </w:pPr>
            <w:r>
              <w:t xml:space="preserve">2013</w:t>
            </w:r>
          </w:p>
        </w:tc>
        <w:tc>
          <w:tcPr>
            <w:tcMar>
              <w:top w:type="dxa" w:w="60"/>
              <w:left w:type="dxa" w:w="100"/>
              <w:bottom w:type="dxa" w:w="60"/>
              <w:right w:type="dxa" w:w="100"/>
            </w:tcMar>
            <w:vAlign w:val="center"/>
          </w:tcPr>
          <w:p>
            <w:pPr>
              <w:pStyle w:val="Tabela"/>
              <w:jc w:val="left"/>
            </w:pPr>
            <w:r>
              <w:t xml:space="preserve">31.062</w:t>
            </w:r>
          </w:p>
        </w:tc>
        <w:tc>
          <w:tcPr>
            <w:tcMar>
              <w:top w:type="dxa" w:w="60"/>
              <w:left w:type="dxa" w:w="100"/>
              <w:bottom w:type="dxa" w:w="60"/>
              <w:right w:type="dxa" w:w="100"/>
            </w:tcMar>
            <w:vAlign w:val="center"/>
          </w:tcPr>
          <w:p>
            <w:pPr>
              <w:pStyle w:val="Tabela"/>
              <w:jc w:val="left"/>
            </w:pPr>
            <w:r>
              <w:t xml:space="preserve">3.483</w:t>
            </w:r>
          </w:p>
        </w:tc>
        <w:tc>
          <w:tcPr>
            <w:tcMar>
              <w:top w:type="dxa" w:w="60"/>
              <w:left w:type="dxa" w:w="100"/>
              <w:bottom w:type="dxa" w:w="60"/>
              <w:right w:type="dxa" w:w="100"/>
            </w:tcMar>
            <w:vAlign w:val="center"/>
          </w:tcPr>
          <w:p>
            <w:pPr>
              <w:pStyle w:val="Tabela"/>
              <w:jc w:val="left"/>
            </w:pPr>
            <w:r>
              <w:t xml:space="preserve">112.146</w:t>
            </w:r>
          </w:p>
        </w:tc>
        <w:tc>
          <w:tcPr>
            <w:tcMar>
              <w:top w:type="dxa" w:w="60"/>
              <w:left w:type="dxa" w:w="100"/>
              <w:bottom w:type="dxa" w:w="60"/>
              <w:right w:type="dxa" w:w="100"/>
            </w:tcMar>
            <w:vAlign w:val="center"/>
          </w:tcPr>
          <w:p>
            <w:pPr>
              <w:pStyle w:val="Tabela"/>
              <w:jc w:val="left"/>
            </w:pPr>
            <w:r>
              <w:t xml:space="preserve">80,2</w:t>
            </w:r>
          </w:p>
        </w:tc>
        <w:tc>
          <w:tcPr>
            <w:tcMar>
              <w:top w:type="dxa" w:w="60"/>
              <w:left w:type="dxa" w:w="100"/>
              <w:bottom w:type="dxa" w:w="60"/>
              <w:right w:type="dxa" w:w="100"/>
            </w:tcMar>
            <w:vAlign w:val="center"/>
          </w:tcPr>
          <w:p>
            <w:pPr>
              <w:pStyle w:val="Tabela"/>
              <w:jc w:val="left"/>
            </w:pPr>
            <w:r>
              <w:t xml:space="preserve">4,1</w:t>
            </w:r>
          </w:p>
        </w:tc>
        <w:tc>
          <w:tcPr>
            <w:tcMar>
              <w:top w:type="dxa" w:w="60"/>
              <w:left w:type="dxa" w:w="100"/>
              <w:bottom w:type="dxa" w:w="60"/>
              <w:right w:type="dxa" w:w="100"/>
            </w:tcMar>
            <w:vAlign w:val="center"/>
          </w:tcPr>
          <w:p>
            <w:pPr>
              <w:pStyle w:val="Tabela"/>
              <w:jc w:val="left"/>
            </w:pPr>
            <w:r>
              <w:t xml:space="preserve">2,87</w:t>
            </w:r>
          </w:p>
        </w:tc>
        <w:tc>
          <w:tcPr>
            <w:tcMar>
              <w:top w:type="dxa" w:w="60"/>
              <w:left w:type="dxa" w:w="100"/>
              <w:bottom w:type="dxa" w:w="60"/>
              <w:right w:type="dxa" w:w="100"/>
            </w:tcMar>
            <w:vAlign w:val="center"/>
          </w:tcPr>
          <w:p>
            <w:pPr>
              <w:pStyle w:val="Tabela"/>
              <w:jc w:val="left"/>
            </w:pPr>
            <w:r>
              <w:t xml:space="preserve">25,8</w:t>
            </w:r>
          </w:p>
        </w:tc>
        <w:tc>
          <w:tcPr>
            <w:tcMar>
              <w:top w:type="dxa" w:w="60"/>
              <w:left w:type="dxa" w:w="100"/>
              <w:bottom w:type="dxa" w:w="60"/>
              <w:right w:type="dxa" w:w="100"/>
            </w:tcMar>
            <w:vAlign w:val="center"/>
          </w:tcPr>
          <w:p>
            <w:pPr>
              <w:pStyle w:val="Tabela"/>
              <w:jc w:val="left"/>
            </w:pPr>
            <w:r>
              <w:t xml:space="preserve">1.434</w:t>
            </w:r>
          </w:p>
        </w:tc>
        <w:tc>
          <w:tcPr>
            <w:tcMar>
              <w:top w:type="dxa" w:w="60"/>
              <w:left w:type="dxa" w:w="100"/>
              <w:bottom w:type="dxa" w:w="60"/>
              <w:right w:type="dxa" w:w="100"/>
            </w:tcMar>
            <w:vAlign w:val="center"/>
          </w:tcPr>
          <w:p>
            <w:pPr>
              <w:pStyle w:val="Tabela"/>
              <w:jc w:val="left"/>
            </w:pPr>
            <w:r>
              <w:t xml:space="preserve">5.674</w:t>
            </w:r>
          </w:p>
        </w:tc>
        <w:tc>
          <w:tcPr>
            <w:tcMar>
              <w:top w:type="dxa" w:w="60"/>
              <w:left w:type="dxa" w:w="100"/>
              <w:bottom w:type="dxa" w:w="60"/>
              <w:right w:type="dxa" w:w="100"/>
            </w:tcMar>
            <w:vAlign w:val="center"/>
          </w:tcPr>
          <w:p>
            <w:pPr>
              <w:pStyle w:val="Tabela"/>
              <w:jc w:val="left"/>
            </w:pPr>
            <w:r>
              <w:t xml:space="preserve">1.647</w:t>
            </w:r>
          </w:p>
        </w:tc>
      </w:tr>
      <w:tr>
        <w:tc>
          <w:tcPr>
            <w:tcMar>
              <w:top w:type="dxa" w:w="60"/>
              <w:left w:type="dxa" w:w="100"/>
              <w:bottom w:type="dxa" w:w="60"/>
              <w:right w:type="dxa" w:w="100"/>
            </w:tcMar>
            <w:vAlign w:val="center"/>
          </w:tcPr>
          <w:p>
            <w:pPr>
              <w:pStyle w:val="Tabela"/>
              <w:jc w:val="left"/>
            </w:pPr>
            <w:r>
              <w:t xml:space="preserve">2016</w:t>
            </w:r>
          </w:p>
        </w:tc>
        <w:tc>
          <w:tcPr>
            <w:tcMar>
              <w:top w:type="dxa" w:w="60"/>
              <w:left w:type="dxa" w:w="100"/>
              <w:bottom w:type="dxa" w:w="60"/>
              <w:right w:type="dxa" w:w="100"/>
            </w:tcMar>
            <w:vAlign w:val="center"/>
          </w:tcPr>
          <w:p>
            <w:pPr>
              <w:pStyle w:val="Tabela"/>
              <w:jc w:val="left"/>
            </w:pPr>
            <w:r>
              <w:t xml:space="preserve">34.853</w:t>
            </w:r>
          </w:p>
        </w:tc>
        <w:tc>
          <w:tcPr>
            <w:tcMar>
              <w:top w:type="dxa" w:w="60"/>
              <w:left w:type="dxa" w:w="100"/>
              <w:bottom w:type="dxa" w:w="60"/>
              <w:right w:type="dxa" w:w="100"/>
            </w:tcMar>
            <w:vAlign w:val="center"/>
          </w:tcPr>
          <w:p>
            <w:pPr>
              <w:pStyle w:val="Tabela"/>
              <w:jc w:val="left"/>
            </w:pPr>
            <w:r>
              <w:t xml:space="preserve">2.396</w:t>
            </w:r>
          </w:p>
        </w:tc>
        <w:tc>
          <w:tcPr>
            <w:tcMar>
              <w:top w:type="dxa" w:w="60"/>
              <w:left w:type="dxa" w:w="100"/>
              <w:bottom w:type="dxa" w:w="60"/>
              <w:right w:type="dxa" w:w="100"/>
            </w:tcMar>
            <w:vAlign w:val="center"/>
          </w:tcPr>
          <w:p>
            <w:pPr>
              <w:pStyle w:val="Tabela"/>
              <w:jc w:val="left"/>
            </w:pPr>
            <w:r>
              <w:t xml:space="preserve">68.750</w:t>
            </w:r>
          </w:p>
        </w:tc>
        <w:tc>
          <w:tcPr>
            <w:tcMar>
              <w:top w:type="dxa" w:w="60"/>
              <w:left w:type="dxa" w:w="100"/>
              <w:bottom w:type="dxa" w:w="60"/>
              <w:right w:type="dxa" w:w="100"/>
            </w:tcMar>
            <w:vAlign w:val="center"/>
          </w:tcPr>
          <w:p>
            <w:pPr>
              <w:pStyle w:val="Tabela"/>
              <w:jc w:val="left"/>
            </w:pPr>
            <w:r>
              <w:t xml:space="preserve">59,2</w:t>
            </w:r>
          </w:p>
        </w:tc>
        <w:tc>
          <w:tcPr>
            <w:tcMar>
              <w:top w:type="dxa" w:w="60"/>
              <w:left w:type="dxa" w:w="100"/>
              <w:bottom w:type="dxa" w:w="60"/>
              <w:right w:type="dxa" w:w="100"/>
            </w:tcMar>
            <w:vAlign w:val="center"/>
          </w:tcPr>
          <w:p>
            <w:pPr>
              <w:pStyle w:val="Tabela"/>
              <w:jc w:val="left"/>
            </w:pPr>
            <w:r>
              <w:t xml:space="preserve">13,0</w:t>
            </w:r>
          </w:p>
        </w:tc>
        <w:tc>
          <w:tcPr>
            <w:tcMar>
              <w:top w:type="dxa" w:w="60"/>
              <w:left w:type="dxa" w:w="100"/>
              <w:bottom w:type="dxa" w:w="60"/>
              <w:right w:type="dxa" w:w="100"/>
            </w:tcMar>
            <w:vAlign w:val="center"/>
          </w:tcPr>
          <w:p>
            <w:pPr>
              <w:pStyle w:val="Tabela"/>
              <w:jc w:val="left"/>
            </w:pPr>
            <w:r>
              <w:t xml:space="preserve">1,73</w:t>
            </w:r>
          </w:p>
        </w:tc>
        <w:tc>
          <w:tcPr>
            <w:tcMar>
              <w:top w:type="dxa" w:w="60"/>
              <w:left w:type="dxa" w:w="100"/>
              <w:bottom w:type="dxa" w:w="60"/>
              <w:right w:type="dxa" w:w="100"/>
            </w:tcMar>
            <w:vAlign w:val="center"/>
          </w:tcPr>
          <w:p>
            <w:pPr>
              <w:pStyle w:val="Tabela"/>
              <w:jc w:val="left"/>
            </w:pPr>
            <w:r>
              <w:t xml:space="preserve">19,4</w:t>
            </w:r>
          </w:p>
        </w:tc>
        <w:tc>
          <w:tcPr>
            <w:tcMar>
              <w:top w:type="dxa" w:w="60"/>
              <w:left w:type="dxa" w:w="100"/>
              <w:bottom w:type="dxa" w:w="60"/>
              <w:right w:type="dxa" w:w="100"/>
            </w:tcMar>
            <w:vAlign w:val="center"/>
          </w:tcPr>
          <w:p>
            <w:pPr>
              <w:pStyle w:val="Tabela"/>
              <w:jc w:val="left"/>
            </w:pPr>
            <w:r>
              <w:t xml:space="preserve">757</w:t>
            </w:r>
          </w:p>
        </w:tc>
        <w:tc>
          <w:tcPr>
            <w:tcMar>
              <w:top w:type="dxa" w:w="60"/>
              <w:left w:type="dxa" w:w="100"/>
              <w:bottom w:type="dxa" w:w="60"/>
              <w:right w:type="dxa" w:w="100"/>
            </w:tcMar>
            <w:vAlign w:val="center"/>
          </w:tcPr>
          <w:p>
            <w:pPr>
              <w:pStyle w:val="Tabela"/>
              <w:jc w:val="left"/>
            </w:pPr>
            <w:r>
              <w:t xml:space="preserve">7.048</w:t>
            </w:r>
          </w:p>
        </w:tc>
        <w:tc>
          <w:tcPr>
            <w:tcMar>
              <w:top w:type="dxa" w:w="60"/>
              <w:left w:type="dxa" w:w="100"/>
              <w:bottom w:type="dxa" w:w="60"/>
              <w:right w:type="dxa" w:w="100"/>
            </w:tcMar>
            <w:vAlign w:val="center"/>
          </w:tcPr>
          <w:p>
            <w:pPr>
              <w:pStyle w:val="Tabela"/>
              <w:jc w:val="left"/>
            </w:pPr>
            <w:r>
              <w:t xml:space="preserve">2.397</w:t>
            </w:r>
          </w:p>
        </w:tc>
      </w:tr>
      <w:tr>
        <w:tc>
          <w:tcPr>
            <w:tcMar>
              <w:top w:type="dxa" w:w="60"/>
              <w:left w:type="dxa" w:w="100"/>
              <w:bottom w:type="dxa" w:w="60"/>
              <w:right w:type="dxa" w:w="100"/>
            </w:tcMar>
            <w:vAlign w:val="center"/>
          </w:tcPr>
          <w:p>
            <w:pPr>
              <w:pStyle w:val="Tabela"/>
              <w:jc w:val="left"/>
            </w:pPr>
            <w:r>
              <w:t xml:space="preserve">2019</w:t>
            </w:r>
          </w:p>
        </w:tc>
        <w:tc>
          <w:tcPr>
            <w:tcMar>
              <w:top w:type="dxa" w:w="60"/>
              <w:left w:type="dxa" w:w="100"/>
              <w:bottom w:type="dxa" w:w="60"/>
              <w:right w:type="dxa" w:w="100"/>
            </w:tcMar>
            <w:vAlign w:val="center"/>
          </w:tcPr>
          <w:p>
            <w:pPr>
              <w:pStyle w:val="Tabela"/>
              <w:jc w:val="left"/>
            </w:pPr>
            <w:r>
              <w:t xml:space="preserve">37.085</w:t>
            </w:r>
          </w:p>
        </w:tc>
        <w:tc>
          <w:tcPr>
            <w:tcMar>
              <w:top w:type="dxa" w:w="60"/>
              <w:left w:type="dxa" w:w="100"/>
              <w:bottom w:type="dxa" w:w="60"/>
              <w:right w:type="dxa" w:w="100"/>
            </w:tcMar>
            <w:vAlign w:val="center"/>
          </w:tcPr>
          <w:p>
            <w:pPr>
              <w:pStyle w:val="Tabela"/>
              <w:jc w:val="left"/>
            </w:pPr>
            <w:r>
              <w:t xml:space="preserve">10.705</w:t>
            </w:r>
          </w:p>
        </w:tc>
        <w:tc>
          <w:tcPr>
            <w:tcMar>
              <w:top w:type="dxa" w:w="60"/>
              <w:left w:type="dxa" w:w="100"/>
              <w:bottom w:type="dxa" w:w="60"/>
              <w:right w:type="dxa" w:w="100"/>
            </w:tcMar>
            <w:vAlign w:val="center"/>
          </w:tcPr>
          <w:p>
            <w:pPr>
              <w:pStyle w:val="Tabela"/>
              <w:jc w:val="left"/>
            </w:pPr>
            <w:r>
              <w:t xml:space="preserve">288.658</w:t>
            </w:r>
          </w:p>
        </w:tc>
        <w:tc>
          <w:tcPr>
            <w:tcMar>
              <w:top w:type="dxa" w:w="60"/>
              <w:left w:type="dxa" w:w="100"/>
              <w:bottom w:type="dxa" w:w="60"/>
              <w:right w:type="dxa" w:w="100"/>
            </w:tcMar>
            <w:vAlign w:val="center"/>
          </w:tcPr>
          <w:p>
            <w:pPr>
              <w:pStyle w:val="Tabela"/>
              <w:jc w:val="left"/>
            </w:pPr>
            <w:r>
              <w:t xml:space="preserve">81,2</w:t>
            </w:r>
          </w:p>
        </w:tc>
        <w:tc>
          <w:tcPr>
            <w:tcMar>
              <w:top w:type="dxa" w:w="60"/>
              <w:left w:type="dxa" w:w="100"/>
              <w:bottom w:type="dxa" w:w="60"/>
              <w:right w:type="dxa" w:w="100"/>
            </w:tcMar>
            <w:vAlign w:val="center"/>
          </w:tcPr>
          <w:p>
            <w:pPr>
              <w:pStyle w:val="Tabela"/>
              <w:jc w:val="left"/>
            </w:pPr>
            <w:r>
              <w:t xml:space="preserve">2,9</w:t>
            </w:r>
          </w:p>
        </w:tc>
        <w:tc>
          <w:tcPr>
            <w:tcMar>
              <w:top w:type="dxa" w:w="60"/>
              <w:left w:type="dxa" w:w="100"/>
              <w:bottom w:type="dxa" w:w="60"/>
              <w:right w:type="dxa" w:w="100"/>
            </w:tcMar>
            <w:vAlign w:val="center"/>
          </w:tcPr>
          <w:p>
            <w:pPr>
              <w:pStyle w:val="Tabela"/>
              <w:jc w:val="left"/>
            </w:pPr>
            <w:r>
              <w:t xml:space="preserve">6,00</w:t>
            </w:r>
          </w:p>
        </w:tc>
        <w:tc>
          <w:tcPr>
            <w:tcMar>
              <w:top w:type="dxa" w:w="60"/>
              <w:left w:type="dxa" w:w="100"/>
              <w:bottom w:type="dxa" w:w="60"/>
              <w:right w:type="dxa" w:w="100"/>
            </w:tcMar>
            <w:vAlign w:val="center"/>
          </w:tcPr>
          <w:p>
            <w:pPr>
              <w:pStyle w:val="Tabela"/>
              <w:jc w:val="left"/>
            </w:pPr>
            <w:r>
              <w:t xml:space="preserve">413,5</w:t>
            </w:r>
          </w:p>
        </w:tc>
        <w:tc>
          <w:tcPr>
            <w:tcMar>
              <w:top w:type="dxa" w:w="60"/>
              <w:left w:type="dxa" w:w="100"/>
              <w:bottom w:type="dxa" w:w="60"/>
              <w:right w:type="dxa" w:w="100"/>
            </w:tcMar>
            <w:vAlign w:val="center"/>
          </w:tcPr>
          <w:p>
            <w:pPr>
              <w:pStyle w:val="Tabela"/>
              <w:jc w:val="left"/>
            </w:pPr>
            <w:r>
              <w:t xml:space="preserve">13.685</w:t>
            </w:r>
          </w:p>
        </w:tc>
        <w:tc>
          <w:tcPr>
            <w:tcMar>
              <w:top w:type="dxa" w:w="60"/>
              <w:left w:type="dxa" w:w="100"/>
              <w:bottom w:type="dxa" w:w="60"/>
              <w:right w:type="dxa" w:w="100"/>
            </w:tcMar>
            <w:vAlign w:val="center"/>
          </w:tcPr>
          <w:p>
            <w:pPr>
              <w:pStyle w:val="Tabela"/>
              <w:jc w:val="left"/>
            </w:pPr>
            <w:r>
              <w:t xml:space="preserve">5.841</w:t>
            </w:r>
          </w:p>
        </w:tc>
        <w:tc>
          <w:tcPr>
            <w:tcMar>
              <w:top w:type="dxa" w:w="60"/>
              <w:left w:type="dxa" w:w="100"/>
              <w:bottom w:type="dxa" w:w="60"/>
              <w:right w:type="dxa" w:w="100"/>
            </w:tcMar>
            <w:vAlign w:val="center"/>
          </w:tcPr>
          <w:p>
            <w:pPr>
              <w:pStyle w:val="Tabela"/>
              <w:jc w:val="left"/>
            </w:pPr>
            <w:r>
              <w:t xml:space="preserve">2.508</w:t>
            </w:r>
          </w:p>
        </w:tc>
      </w:tr>
      <w:tr>
        <w:tc>
          <w:tcPr>
            <w:tcMar>
              <w:top w:type="dxa" w:w="60"/>
              <w:left w:type="dxa" w:w="100"/>
              <w:bottom w:type="dxa" w:w="60"/>
              <w:right w:type="dxa" w:w="100"/>
            </w:tcMar>
            <w:vAlign w:val="center"/>
          </w:tcPr>
          <w:p>
            <w:pPr>
              <w:pStyle w:val="Tabela"/>
              <w:jc w:val="left"/>
            </w:pPr>
            <w:r>
              <w:t xml:space="preserve">2021</w:t>
            </w:r>
          </w:p>
        </w:tc>
        <w:tc>
          <w:tcPr>
            <w:tcMar>
              <w:top w:type="dxa" w:w="60"/>
              <w:left w:type="dxa" w:w="100"/>
              <w:bottom w:type="dxa" w:w="60"/>
              <w:right w:type="dxa" w:w="100"/>
            </w:tcMar>
            <w:vAlign w:val="center"/>
          </w:tcPr>
          <w:p>
            <w:pPr>
              <w:pStyle w:val="Tabela"/>
              <w:jc w:val="left"/>
            </w:pPr>
            <w:r>
              <w:t xml:space="preserve">39.103</w:t>
            </w:r>
          </w:p>
        </w:tc>
        <w:tc>
          <w:tcPr>
            <w:tcMar>
              <w:top w:type="dxa" w:w="60"/>
              <w:left w:type="dxa" w:w="100"/>
              <w:bottom w:type="dxa" w:w="60"/>
              <w:right w:type="dxa" w:w="100"/>
            </w:tcMar>
            <w:vAlign w:val="center"/>
          </w:tcPr>
          <w:p>
            <w:pPr>
              <w:pStyle w:val="Tabela"/>
              <w:jc w:val="left"/>
            </w:pPr>
            <w:r>
              <w:t xml:space="preserve">34.988</w:t>
            </w:r>
          </w:p>
        </w:tc>
        <w:tc>
          <w:tcPr>
            <w:tcMar>
              <w:top w:type="dxa" w:w="60"/>
              <w:left w:type="dxa" w:w="100"/>
              <w:bottom w:type="dxa" w:w="60"/>
              <w:right w:type="dxa" w:w="100"/>
            </w:tcMar>
            <w:vAlign w:val="center"/>
          </w:tcPr>
          <w:p>
            <w:pPr>
              <w:pStyle w:val="Tabela"/>
              <w:jc w:val="left"/>
            </w:pPr>
            <w:r>
              <w:t xml:space="preserve">894.763</w:t>
            </w:r>
          </w:p>
        </w:tc>
        <w:tc>
          <w:tcPr>
            <w:tcMar>
              <w:top w:type="dxa" w:w="60"/>
              <w:left w:type="dxa" w:w="100"/>
              <w:bottom w:type="dxa" w:w="60"/>
              <w:right w:type="dxa" w:w="100"/>
            </w:tcMar>
            <w:vAlign w:val="center"/>
          </w:tcPr>
          <w:p>
            <w:pPr>
              <w:pStyle w:val="Tabela"/>
              <w:jc w:val="left"/>
            </w:pPr>
            <w:r>
              <w:t xml:space="preserve">89,6</w:t>
            </w:r>
          </w:p>
        </w:tc>
        <w:tc>
          <w:tcPr>
            <w:tcMar>
              <w:top w:type="dxa" w:w="60"/>
              <w:left w:type="dxa" w:w="100"/>
              <w:bottom w:type="dxa" w:w="60"/>
              <w:right w:type="dxa" w:w="100"/>
            </w:tcMar>
            <w:vAlign w:val="center"/>
          </w:tcPr>
          <w:p>
            <w:pPr>
              <w:pStyle w:val="Tabela"/>
              <w:jc w:val="left"/>
            </w:pPr>
            <w:r>
              <w:t xml:space="preserve">1,2</w:t>
            </w:r>
          </w:p>
        </w:tc>
        <w:tc>
          <w:tcPr>
            <w:tcMar>
              <w:top w:type="dxa" w:w="60"/>
              <w:left w:type="dxa" w:w="100"/>
              <w:bottom w:type="dxa" w:w="60"/>
              <w:right w:type="dxa" w:w="100"/>
            </w:tcMar>
            <w:vAlign w:val="center"/>
          </w:tcPr>
          <w:p>
            <w:pPr>
              <w:pStyle w:val="Tabela"/>
              <w:jc w:val="left"/>
            </w:pPr>
            <w:r>
              <w:t xml:space="preserve">13,31</w:t>
            </w:r>
          </w:p>
        </w:tc>
        <w:tc>
          <w:tcPr>
            <w:tcMar>
              <w:top w:type="dxa" w:w="60"/>
              <w:left w:type="dxa" w:w="100"/>
              <w:bottom w:type="dxa" w:w="60"/>
              <w:right w:type="dxa" w:w="100"/>
            </w:tcMar>
            <w:vAlign w:val="center"/>
          </w:tcPr>
          <w:p>
            <w:pPr>
              <w:pStyle w:val="Tabela"/>
              <w:jc w:val="left"/>
            </w:pPr>
            <w:r>
              <w:t xml:space="preserve">1.114,1</w:t>
            </w:r>
          </w:p>
        </w:tc>
        <w:tc>
          <w:tcPr>
            <w:tcMar>
              <w:top w:type="dxa" w:w="60"/>
              <w:left w:type="dxa" w:w="100"/>
              <w:bottom w:type="dxa" w:w="60"/>
              <w:right w:type="dxa" w:w="100"/>
            </w:tcMar>
            <w:vAlign w:val="center"/>
          </w:tcPr>
          <w:p>
            <w:pPr>
              <w:pStyle w:val="Tabela"/>
              <w:jc w:val="left"/>
            </w:pPr>
            <w:r>
              <w:t xml:space="preserve">31.359</w:t>
            </w:r>
          </w:p>
        </w:tc>
        <w:tc>
          <w:tcPr>
            <w:tcMar>
              <w:top w:type="dxa" w:w="60"/>
              <w:left w:type="dxa" w:w="100"/>
              <w:bottom w:type="dxa" w:w="60"/>
              <w:right w:type="dxa" w:w="100"/>
            </w:tcMar>
            <w:vAlign w:val="center"/>
          </w:tcPr>
          <w:p>
            <w:pPr>
              <w:pStyle w:val="Tabela"/>
              <w:jc w:val="left"/>
            </w:pPr>
            <w:r>
              <w:t xml:space="preserve">8.030</w:t>
            </w:r>
          </w:p>
        </w:tc>
        <w:tc>
          <w:tcPr>
            <w:tcMar>
              <w:top w:type="dxa" w:w="60"/>
              <w:left w:type="dxa" w:w="100"/>
              <w:bottom w:type="dxa" w:w="60"/>
              <w:right w:type="dxa" w:w="100"/>
            </w:tcMar>
            <w:vAlign w:val="center"/>
          </w:tcPr>
          <w:p>
            <w:pPr>
              <w:pStyle w:val="Tabela"/>
              <w:jc w:val="left"/>
            </w:pPr>
            <w:r>
              <w:t xml:space="preserve">2.597</w:t>
            </w:r>
          </w:p>
        </w:tc>
      </w:tr>
      <w:tr>
        <w:tc>
          <w:tcPr>
            <w:tcMar>
              <w:top w:type="dxa" w:w="60"/>
              <w:left w:type="dxa" w:w="100"/>
              <w:bottom w:type="dxa" w:w="60"/>
              <w:right w:type="dxa" w:w="100"/>
            </w:tcMar>
            <w:vAlign w:val="center"/>
          </w:tcPr>
          <w:p>
            <w:pPr>
              <w:pStyle w:val="Tabela"/>
              <w:jc w:val="left"/>
            </w:pPr>
            <w:r>
              <w:t xml:space="preserve">2022</w:t>
            </w:r>
          </w:p>
        </w:tc>
        <w:tc>
          <w:tcPr>
            <w:tcMar>
              <w:top w:type="dxa" w:w="60"/>
              <w:left w:type="dxa" w:w="100"/>
              <w:bottom w:type="dxa" w:w="60"/>
              <w:right w:type="dxa" w:w="100"/>
            </w:tcMar>
            <w:vAlign w:val="center"/>
          </w:tcPr>
          <w:p>
            <w:pPr>
              <w:pStyle w:val="Tabela"/>
              <w:jc w:val="left"/>
            </w:pPr>
            <w:r>
              <w:t xml:space="preserve">77.079</w:t>
            </w:r>
          </w:p>
        </w:tc>
        <w:tc>
          <w:tcPr>
            <w:tcMar>
              <w:top w:type="dxa" w:w="60"/>
              <w:left w:type="dxa" w:w="100"/>
              <w:bottom w:type="dxa" w:w="60"/>
              <w:right w:type="dxa" w:w="100"/>
            </w:tcMar>
            <w:vAlign w:val="center"/>
          </w:tcPr>
          <w:p>
            <w:pPr>
              <w:pStyle w:val="Tabela"/>
              <w:jc w:val="left"/>
            </w:pPr>
            <w:r>
              <w:t xml:space="preserve">16.062</w:t>
            </w:r>
          </w:p>
        </w:tc>
        <w:tc>
          <w:tcPr>
            <w:tcMar>
              <w:top w:type="dxa" w:w="60"/>
              <w:left w:type="dxa" w:w="100"/>
              <w:bottom w:type="dxa" w:w="60"/>
              <w:right w:type="dxa" w:w="100"/>
            </w:tcMar>
            <w:vAlign w:val="center"/>
          </w:tcPr>
          <w:p>
            <w:pPr>
              <w:pStyle w:val="Tabela"/>
              <w:jc w:val="left"/>
            </w:pPr>
            <w:r>
              <w:t xml:space="preserve">208.381</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6,80</w:t>
            </w:r>
          </w:p>
        </w:tc>
        <w:tc>
          <w:tcPr>
            <w:tcMar>
              <w:top w:type="dxa" w:w="60"/>
              <w:left w:type="dxa" w:w="100"/>
              <w:bottom w:type="dxa" w:w="60"/>
              <w:right w:type="dxa" w:w="100"/>
            </w:tcMar>
            <w:vAlign w:val="center"/>
          </w:tcPr>
          <w:p>
            <w:pPr>
              <w:pStyle w:val="Tabela"/>
              <w:jc w:val="left"/>
            </w:pPr>
            <w:r>
              <w:t xml:space="preserve">759,0</w:t>
            </w:r>
          </w:p>
        </w:tc>
        <w:tc>
          <w:tcPr>
            <w:tcMar>
              <w:top w:type="dxa" w:w="60"/>
              <w:left w:type="dxa" w:w="100"/>
              <w:bottom w:type="dxa" w:w="60"/>
              <w:right w:type="dxa" w:w="100"/>
            </w:tcMar>
            <w:vAlign w:val="center"/>
          </w:tcPr>
          <w:p>
            <w:pPr>
              <w:pStyle w:val="Tabela"/>
              <w:jc w:val="left"/>
            </w:pPr>
            <w:r>
              <w:t xml:space="preserve">9.847</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2.644</w:t>
            </w:r>
          </w:p>
        </w:tc>
      </w:tr>
      <w:tr>
        <w:tc>
          <w:tcPr>
            <w:tcMar>
              <w:top w:type="dxa" w:w="60"/>
              <w:left w:type="dxa" w:w="100"/>
              <w:bottom w:type="dxa" w:w="60"/>
              <w:right w:type="dxa" w:w="100"/>
            </w:tcMar>
            <w:vAlign w:val="center"/>
          </w:tcPr>
          <w:p>
            <w:pPr>
              <w:pStyle w:val="Tabela"/>
              <w:jc w:val="left"/>
            </w:pPr>
            <w:r>
              <w:t xml:space="preserve">2023</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16.622</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6,53</w:t>
            </w:r>
          </w:p>
        </w:tc>
        <w:tc>
          <w:tcPr>
            <w:tcMar>
              <w:top w:type="dxa" w:w="60"/>
              <w:left w:type="dxa" w:w="100"/>
              <w:bottom w:type="dxa" w:w="60"/>
              <w:right w:type="dxa" w:w="100"/>
            </w:tcMar>
            <w:vAlign w:val="center"/>
          </w:tcPr>
          <w:p>
            <w:pPr>
              <w:pStyle w:val="Tabela"/>
              <w:jc w:val="left"/>
            </w:pPr>
            <w:r>
              <w:t xml:space="preserve">445,7</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w:t>
            </w:r>
          </w:p>
        </w:tc>
        <w:tc>
          <w:tcPr>
            <w:tcMar>
              <w:top w:type="dxa" w:w="60"/>
              <w:left w:type="dxa" w:w="100"/>
              <w:bottom w:type="dxa" w:w="60"/>
              <w:right w:type="dxa" w:w="100"/>
            </w:tcMar>
            <w:vAlign w:val="center"/>
          </w:tcPr>
          <w:p>
            <w:pPr>
              <w:pStyle w:val="Tabela"/>
              <w:jc w:val="left"/>
            </w:pPr>
            <w:r>
              <w:t xml:space="preserve">2.773</w:t>
            </w:r>
          </w:p>
        </w:tc>
      </w:tr>
    </w:tbl>
    <w:p>
      <w:pPr>
        <w:spacing w:after="120"/>
      </w:pPr>
    </w:p>
    <w:p>
      <w:pPr>
        <w:pStyle w:val="Corpo"/>
      </w:pPr>
      <w:r>
        <w:t xml:space="preserve">Fonte: IBGE (PIB dos Municípios, t/5938; CEMPRE, t/6449; Estimativas de população); ANM (CFEM distribuída); série própria de mancha (E3b/E3c).</w:t>
      </w:r>
    </w:p>
    <w:p>
      <w:pPr>
        <w:pStyle w:val="Corpo"/>
      </w:pPr>
      <w:r>
        <w:t xml:space="preserve">Nota: PIB e VA a preços correntes (VA setorial ainda não divulgado para 2022–2023); CFEM per capita deflacionada pelo IPCA de julho (jul/2022 = 100) e dividida pela população estimada do ano (subestimada em 2011–2021). CEMPRE disponível de 2006 a 2021; o pessoal da seção B (extrativa) é suprimido pelo IBGE por haver poucas unidades locais.</w:t>
      </w:r>
    </w:p>
    <w:p>
      <w:pPr>
        <w:spacing w:after="40" w:before="200"/>
        <w:jc w:val="center"/>
      </w:pPr>
      <w:r>
        <w:drawing>
          <wp:inline distT="0" distB="0" distL="0" distR="0">
            <wp:extent cx="5334000" cy="46606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660663"/>
                    </a:xfrm>
                    <a:prstGeom prst="rect">
                      <a:avLst/>
                    </a:prstGeom>
                  </pic:spPr>
                </pic:pic>
              </a:graphicData>
            </a:graphic>
          </wp:inline>
        </w:drawing>
      </w:r>
    </w:p>
    <w:p>
      <w:pPr>
        <w:pStyle w:val="Legenda"/>
        <w:jc w:val="center"/>
      </w:pPr>
      <w:r>
        <w:t xml:space="preserve">Figura 13 — Área acrescida anualmente à sede (alto), CFEM distribuída ao município em R$ de julho de 2022 (meio) e PIB per capita a preços correntes (baixo), 2002–2026. Janelas sombreadas: construção das minas. Fonte: Elaboração própria: série própria Landsat/Sentinel-2 (30 m), validada com CBERS; população IBGE. ANM (CFEM); IBGE (PIB dos Municípios, estimativas de população); IPCA para o deflacionamento.</w:t>
      </w:r>
    </w:p>
    <w:p>
      <w:pPr>
        <w:pStyle w:val="Corpo"/>
      </w:pPr>
      <w:r>
        <w:t xml:space="preserve">O que a Figura 13 torna visível é o descompasso entre os dois ciclos. O acréscimo anual de área construída concentra-se nas fases de obra (2002–2004 e 2013–2016) e no período pós-2022, quando a CFEM já é abundante; a CFEM, por sua vez, só se torna relevante a partir de 2018, dois anos depois do S11D entrar em operação. A correlação entre a CFEM em reais de 2022 e o acréscimo de área no mesmo ano é de −0,20 e permanece nula com defasagens de um e dois anos, tornando-se levemente positiva (+0,24) com três anos de defasagem. A cidade cresce nas obras; os royalties chegam depois.</w:t>
      </w:r>
    </w:p>
    <w:p>
      <w:pPr>
        <w:pStyle w:val="Titulo1"/>
      </w:pPr>
      <w:r>
        <w:t xml:space="preserve">6 Discussão</w:t>
      </w:r>
    </w:p>
    <w:p>
      <w:pPr>
        <w:pStyle w:val="Corpo"/>
      </w:pPr>
      <w:r>
        <w:t xml:space="preserve">Os resultados dialogam com três debates. O primeiro é o da urbanização extensiva e da "não-cidade" de Carajás (MELO; CARDOSO, 2016; SANTOS, 2021; CARDOSO ET AL., 2017). A série de mancha mostra que Canaã tem, sim, uma cidade contígua, compacta em 2010 (índice de proximidade 0,78) e cada vez mais fragmentada depois de 2022, e que a expansão espacial foi comandada pelo calendário das obras, não pelo dos royalties. Essa sequência é a marca das cidades de grandes projetos: a fase de construção mobiliza contingentes de trabalhadores que a operação não absorve (MOURA ET AL., 2005; FARIAS, 2008; GODINHO, 2021), e a cidade que se forma para abrigá-los permanece depois que a obra termina. O padrão de espraiamento nos anos 2000 e adensamento nos anos 2010 sugere que a segunda onda, do S11D, foi absorvida em boa parte por uma cidade já traçada nos loteamentos abertos durante e depois do Sossego; o novo salto de área pós-2022, com a forma menos compacta, indica que a terceira fase, financiada pela CFEM e por um mercado imobiliário aquecido, reabre o espraiamento, na direção dos condomínios e loteamentos periféricos que Corrêa (2026) descreve.</w:t>
      </w:r>
    </w:p>
    <w:p>
      <w:pPr>
        <w:pStyle w:val="Corpo"/>
      </w:pPr>
      <w:r>
        <w:t xml:space="preserve">O segundo debate é o da migração. A literatura afirmava o afluxo e a "cidade do imigrante" (SANCHES ET AL., 2025; MATLABA ET AL., 2019); os microdados o quantificam e o qualificam. A imigração de data fixa de Canaã dobrou entre 2000 e 2022 enquanto caía em todos os municípios comparáveis, e as coortes de chegada se alinham aos ciclos de investimento com precisão de poucos anos. Os migrantes recentes são positivamente selecionados em escolaridade e formalidade, o que contradiz a imagem de uma fronteira que atrai sobretudo mão de obra desqualificada, mas não obtêm prêmio salarial, e sua inserção na cadeia da mineração é maior que a dos residentes antigos por uma margem modesta (razão 1,23) e decrescente no tempo: em 2010 a mão de obra da extrativa era metade migrante recente, em 2022 um terço. Isso é consistente com a exigência de contratação local descrita por Moura et al. (2005) e com a formação, ao longo de duas décadas, de um mercado de trabalho local qualificado para a mina. A cadeia, entretanto, recruta migrantes de longa distância sobretudo pela construção, o elo mais precário e mais bem representado entre os migrantes de outras UFs, e a análise não alcança os fornecedores em serviços e transporte, de modo que a inserção total na economia mineral é subestimada.</w:t>
      </w:r>
    </w:p>
    <w:p>
      <w:pPr>
        <w:pStyle w:val="Corpo"/>
      </w:pPr>
      <w:r>
        <w:t xml:space="preserve">O terceiro debate é o da moradia e da desigualdade. Castriota (2024) descreveu, em campo, as formas de morar criadas pelos migrantes do S11D; os censos mostram a escala: metade dos domicílios com migrante recente é alugada, o dobro da proporção dos demais, e a cessão pelo empregador, típica das company towns (RODRIGUES, 2001; JUAREZ, 2021), desapareceu. Canaã não é uma company town: é uma cidade de mercado, em que a empresa terceiriza a moradia ao aluguel. A convergência da infraestrutura entre 2000 e 2022 é real e, em parte, produto da CFEM aplicada em saneamento; mas a desigualdade entre setores persiste na forma de tecidos recentes com baixa cobertura de esgoto e alta rarefação, e de uma composição racial que se torna mais preta e parda à medida que se afasta do centro. A literatura sobre a CFEM (PINHEIRO, 2016; CAITANO; MORALES, 2022; ASSUNCAO, 2022) discute se os royalties são bem aplicados; os dados sugerem que a questão relevante é temporal: a cidade que precisava de infraestrutura cresceu antes que os royalties existissem, e os royalties chegaram a uma cidade que já estava construída.</w:t>
      </w:r>
    </w:p>
    <w:p>
      <w:pPr>
        <w:pStyle w:val="Titulo1"/>
      </w:pPr>
      <w:r>
        <w:t xml:space="preserve">7 Conclusão</w:t>
      </w:r>
    </w:p>
    <w:p>
      <w:pPr>
        <w:pStyle w:val="Corpo"/>
      </w:pPr>
      <w:r>
        <w:t xml:space="preserve">Este artigo mediu a urbanização de Canaã dos Carajás com uma série anual de mancha urbana validada, microdados censitários harmonizados de quatro censos e agregados por setor, sob um único desenho analítico e com controle de revelação. A sede cresceu de 46 ha em 1990 para cerca de 3.200 ha em 2026, com o maior ritmo entre as duas minas; a elasticidade entre área e população inverteu-se entre as décadas; seis em cada dez moradores não naturais chegaram a partir de 2013; os migrantes recentes são mais escolarizados, mais formais, mais presentes na cadeia da mineração e muito mais frequentemente inquilinos, com a mesma renda dos residentes antigos; a infraestrutura convergiu enquanto o gradiente centro-periferia persiste nos tecidos novos; e a cidade cresceu no ritmo das obras, antes que os royalties existissem.</w:t>
      </w:r>
    </w:p>
    <w:p>
      <w:pPr>
        <w:pStyle w:val="Corpo"/>
      </w:pPr>
      <w:r>
        <w:t xml:space="preserve">Três extensões são possíveis com os mesmos dados. A primeira é a reconstituição completa da trajetória populacional entre 1982 e 2000, com leitura do Plano Diretor de 2007 e dos registros administrativos da década de 1990, que este artigo apresentou apenas como faixa. A segunda é a atualização da série de mancha em 10 m com Sentinel-2 e a validação da franja pós-2022 com imagens CBERS-4A, para confirmar o salto de 2023–2026. A terceira é a identificação dos fornecedores da mina no setor de serviços, com dados administrativos de emprego formal, para medir a cadeia produtiva completa. Todos os dados públicos, o código e as figuras deste artigo estão disponíveis no repositório do projeto e no dashboard interativo que o acompanha; os microdados de acesso controlado não são redistribuídos, e toda estimativa publicada passou pelo controle de revelação descrito na seção 4.3.</w:t>
      </w:r>
    </w:p>
    <w:p>
      <w:pPr>
        <w:pStyle w:val="Titulo1"/>
      </w:pPr>
      <w:r>
        <w:t xml:space="preserve">Disponibilidade de dados e código</w:t>
      </w:r>
    </w:p>
    <w:p>
      <w:pPr>
        <w:pStyle w:val="Corpo"/>
      </w:pPr>
      <w:r>
        <w:t xml:space="preserve">Os agregados publicados (estimativas aprovadas pelo controle de revelação, série da mancha urbana, indicadores por setor), o código do pipeline e do painel interativo e este artigo estão em https://canaa-urbana.github.io e no repositório https://github.com/canaa-urbana/canaa-urbana.github.io, arquivado no Zenodo (DOI: https://doi.org/10.5281/zenodo.22699960; versão 1.0.0: https://doi.org/10.5281/zenodo.22699961), com código sob licença MIT e dados e textos sob CC BY 4.0. Os microdados dos Censos Demográficos não são redistribuídos; os de 2022 são de acesso controlado do IBGE.</w:t>
      </w:r>
    </w:p>
    <w:p>
      <w:pPr>
        <w:pStyle w:val="Titulo1"/>
      </w:pPr>
      <w:r>
        <w:t xml:space="preserve">Declaração de uso de inteligência artificial</w:t>
      </w:r>
    </w:p>
    <w:p>
      <w:pPr>
        <w:pStyle w:val="Corpo"/>
      </w:pPr>
      <w:r>
        <w:t xml:space="preserve">Este artigo foi produzido com assistência de inteligência artificial (Claude, Anthropic), sob supervisão integral do autor. A ferramenta foi utilizada nas seguintes etapas: (i) extração e harmonização programática dos microdados dos quatro censos a partir dos layouts oficiais do IBGE; (ii) cálculo das estatísticas descritivas, erros-padrão por bootstrap, razões de seletividade e elasticidades apresentados; (iii) construção do pipeline de sensoriamento remoto (composições anuais, classificação por Random Forest, pós-processamento e estimadores de área com correção por matriz de erro), com a fotointerpretação dos pontos de validação conduzida com apoio da ferramenta e conferida pelo autor; (iv) implementação e verificação independente das regras de controle de revelação; (v) busca e verificação de referências bibliográficas em fontes primárias (Crossref, DataCite, BDTD, Catálogo de Teses da CAPES, repositórios institucionais); (vi) geração das figuras e tabelas; (vii) redação de versões preliminares do texto a partir dos resultados computados.</w:t>
      </w:r>
    </w:p>
    <w:p>
      <w:pPr>
        <w:pStyle w:val="Corpo"/>
      </w:pPr>
      <w:r>
        <w:t xml:space="preserve">São de responsabilidade exclusiva do autor: o desenho da pesquisa e das perguntas de investigação, todas as decisões metodológicas (definição das geografias e dos períodos de chegada, escolha do deflator, do limiar de classificação fixado a priori, das épocas de validação, dos limiares de revelação e da definição da cadeia produtiva da mineração), a interpretação dos resultados, a verificação final de cada referência citada em sua fonte primária, e a revisão e aprovação do texto final. O autor reafirma a responsabilidade integral pelo conteúdo científico deste artigo, incluindo eventuais erros remanescentes.</w:t>
      </w:r>
    </w:p>
    <w:p>
      <w:pPr>
        <w:pStyle w:val="Titulo1"/>
      </w:pPr>
      <w:r>
        <w:t xml:space="preserve">Referências</w:t>
      </w:r>
    </w:p>
    <w:p>
      <w:pPr>
        <w:pStyle w:val="Corpo"/>
      </w:pPr>
      <w:r>
        <w:t xml:space="preserve">ALMEIDA, Raphael Villela. Mineração e a reorganização do território em Canaã dos Carajás. 2017. Dissertação (Mestrado em População, território e estatísticas públicas) – Escola nacional de ciências estatísticas, 2017.</w:t>
      </w:r>
    </w:p>
    <w:p>
      <w:pPr>
        <w:pStyle w:val="Corpo"/>
      </w:pPr>
      <w:r>
        <w:t xml:space="preserve">AMARAL, Anderson Vasconcellos. As paisagens de Canaã dos Carajás (PA): análise e evolução da paisagem na fronteira agropecuária e minerária. 2021. Dissertação (Mestrado em Geografia (geografia física)) – Universidade de são paulo, 2021.</w:t>
      </w:r>
    </w:p>
    <w:p>
      <w:pPr>
        <w:pStyle w:val="Corpo"/>
      </w:pPr>
      <w:r>
        <w:t xml:space="preserve">ARAÚJO, Flávio Lacerda de. Sina de vagão: uma análise da dependência econômico-financeira nos municípios com matriz econômica de base mineral. 2023. Dissertação (Mestrado em Gestão Pública) – Universidade federal do Pará, 2023.</w:t>
      </w:r>
    </w:p>
    <w:p>
      <w:pPr>
        <w:pStyle w:val="Corpo"/>
      </w:pPr>
      <w:r>
        <w:t xml:space="preserve">ASSUNCAO, Marcos Venancio Silva. O fundo municipal de desenvolvimento sustentável de Canaã dos Carajás: Uma análise comparativa com fundos de royalties subnacionais à luz do princípio do desenvolvimento sustentável e da justiça intergeracional. 2022. Dissertação (Mestrado em Direito, Políticas Públicas e Desenvolvimento Regional) – Centro universitário do estado do Pará, 2022.</w:t>
      </w:r>
    </w:p>
    <w:p>
      <w:pPr>
        <w:pStyle w:val="Corpo"/>
      </w:pPr>
      <w:r>
        <w:t xml:space="preserve">BRINGEL, Fabiano de Oliveira; MACHADO, Brena Regina Lopes. Processos de migração e relação campo-cidade no entorno do Complexo Mínero-Industrial de Barcarena (PA). Revista Campo-Território, v. 15, n. 39 Dez., p. 391-420, 2020. DOI: 10.14393/rct153921.</w:t>
      </w:r>
    </w:p>
    <w:p>
      <w:pPr>
        <w:pStyle w:val="Corpo"/>
      </w:pPr>
      <w:r>
        <w:t xml:space="preserve">CABRAL, Eugênia Rosa; ENRÍQUEZ, Maria Amélia Rodrigues da Silva; SANTOS, Dalva Vasconcelos dos. Canaã dos Carajás - do leite ao cobre: transformações estruturais do município após a implantação de uma grande mina. In: Recursos minerais &amp; sustentabilidade territorial. v. 1: Grandes minas, p. 39-68, 2011.</w:t>
      </w:r>
    </w:p>
    <w:p>
      <w:pPr>
        <w:pStyle w:val="Corpo"/>
      </w:pPr>
      <w:r>
        <w:t xml:space="preserve">CAITANO, Thamires Beatriz dos Santos; MORALES, Gundisalvo Piratoba. Potencial dos royalties minerais na promoção do desenvolvimento socioeconômico de municípios do estado do Pará, Brasil. Revista Brasileira de Gestão e Desenvolvimento Regional, v. 18, n. 3, 2022. DOI: 10.54399/rbgdr.v18i3.5861.</w:t>
      </w:r>
    </w:p>
    <w:p>
      <w:pPr>
        <w:pStyle w:val="Corpo"/>
      </w:pPr>
      <w:r>
        <w:t xml:space="preserve">CARDOSO, Ana Cláudia Duarte; CÂNDIDO, Lucas Souto; MELO, Ana Carolina Campos de. Canaã dos Carajás: um laboratório sobre as circunstâncias da urbanização, na periferia global e no alvorecer do século XXI. Revista Brasileira de Estudos Urbanos e Regionais, v. 20, n. 1, p. 121, 2017. DOI: 10.22296/2317-1529.2018v20n1p121.</w:t>
      </w:r>
    </w:p>
    <w:p>
      <w:pPr>
        <w:pStyle w:val="Corpo"/>
      </w:pPr>
      <w:r>
        <w:t xml:space="preserve">CARMO, Ednalva Lima. A CIDADE NA FRONTEIRA DA AMAZÔNIA: Mineração e produção do espaço em Canaã dos Carajás – Pará. 2023. Dissertação (Mestrado em Dinâmicas Territoriais e Sociedade na Amazônia) – Universidade federal do sul e sudeste do Pará, 2023.</w:t>
      </w:r>
    </w:p>
    <w:p>
      <w:pPr>
        <w:pStyle w:val="Corpo"/>
      </w:pPr>
      <w:r>
        <w:t xml:space="preserve">CARMO, Ednalva Lima. Mineração e a produção do espaço urbano em Canaã dos Carajás-Pará. Revista Tocantinense de Geografia, v. 12, n. 28, p. 139-153, 2023. DOI: 10.20873/rtg.v12i28.16834.</w:t>
      </w:r>
    </w:p>
    <w:p>
      <w:pPr>
        <w:pStyle w:val="Corpo"/>
      </w:pPr>
      <w:r>
        <w:t xml:space="preserve">CASTRIOTA, Rodrigo. HOUSING BEYOND THE METROPOLIS : Inhabiting Extractivism and Extensions in Urban Amazonia. International Journal of Urban and Regional Research, v. 48, n. 1, p. 32-52, 2024. DOI: 10.1111/1468-2427.13222.</w:t>
      </w:r>
    </w:p>
    <w:p>
      <w:pPr>
        <w:pStyle w:val="Corpo"/>
      </w:pPr>
      <w:r>
        <w:t xml:space="preserve">CASTRIOTA, Rodrigo. “Aqui a vale é o Estado”: neoextrativismo e autoritarismo na cidade, no campo e na floresta na região de Carajás. Revista Brasileira de Estudos Urbanos e Regionais, v. 26, n. 1, 2024. DOI: 10.22296/2317-1529.rbeur.202408.</w:t>
      </w:r>
    </w:p>
    <w:p>
      <w:pPr>
        <w:pStyle w:val="Corpo"/>
      </w:pPr>
      <w:r>
        <w:t xml:space="preserve">CASTRO, Antônio Orlando de; PALHETA, João Márcio. Circulação, transporte e logística na organização e gestão do território em Canaã dos Carajás. Confins, v. 68, 2025. DOI: 10.4000/14nli.</w:t>
      </w:r>
    </w:p>
    <w:p>
      <w:pPr>
        <w:pStyle w:val="Corpo"/>
      </w:pPr>
      <w:r>
        <w:t xml:space="preserve">CHAGAS, Erika da Silva; SANTOS, Marcos Antônio Souza dos; MELLO, Andréa Hentz de. Dinâmica espaço-temporal da agropecuária em município com economia de base mineral na Amazônia brasileira. Geofronter, v. 10, p. e8311, 2024. DOI: 10.61389/geofronter.v10.8311.</w:t>
      </w:r>
    </w:p>
    <w:p>
      <w:pPr>
        <w:pStyle w:val="Corpo"/>
      </w:pPr>
      <w:r>
        <w:t xml:space="preserve">CIRNE, Mariana Barbosa; GIACOMAZZI, Diego Busnello. Ferro Carajás s11d: participação social e processo dialético no licenciamento ambiental de mineração em Unidade de Conservação. Direito Ambiental e Sociedade, v. 11, n. 3, p. 277-295, 2021. DOI: 10.18226/22370021.v11.n3.13.</w:t>
      </w:r>
    </w:p>
    <w:p>
      <w:pPr>
        <w:pStyle w:val="Corpo"/>
      </w:pPr>
      <w:r>
        <w:t xml:space="preserve">CORRÊA, Isabella Santos; SANTANA, Joana Valente; SANTOS, Laira Vasconcelos dos et al. Política de regularização fundiária urbana de interesse social no estado do Pará (2009-2018). O social em questão, v. 4, n. 53, 2022. DOI: 10.17771/pucrio.osq.58533.</w:t>
      </w:r>
    </w:p>
    <w:p>
      <w:pPr>
        <w:pStyle w:val="Corpo"/>
      </w:pPr>
      <w:r>
        <w:t xml:space="preserve">CORRÊA, Leonardo Pantoja. DO ENCLAVE RESIDENCIAL ÀS CIDADES FRAGMENTADAS: Produção de Espaços Residenciais Fechados em Canaã dos Carajás, Marabá e Parauapebas, Pará. California Digital Library, 2026. DOI: 10.48321/d1ca512bdb.</w:t>
      </w:r>
    </w:p>
    <w:p>
      <w:pPr>
        <w:pStyle w:val="Corpo"/>
      </w:pPr>
      <w:r>
        <w:t xml:space="preserve">CORTEZ, Hilquias Miranda; SÁ, Samy Cardoso; PEREIRA JÚNIOR, Antônio. Quantificação do desflorestamento no município de Canaã dos Carajás com o uso de geotecnologia em análise multitemporal. In: As multiplas visões do meio ambiente e os impactos ambientais, p. 12-32, 2019. DOI: 10.4322/978-85-455202-1-4-02.</w:t>
      </w:r>
    </w:p>
    <w:p>
      <w:pPr>
        <w:pStyle w:val="Corpo"/>
      </w:pPr>
      <w:r>
        <w:t xml:space="preserve">COSTA, Silvana Dunham da. Mineworkers' quality of life in remote communities : a multiple case study in the Brazilian Amazon. 2008. DOI: 10.14288/1.0066394.</w:t>
      </w:r>
    </w:p>
    <w:p>
      <w:pPr>
        <w:pStyle w:val="Corpo"/>
      </w:pPr>
      <w:r>
        <w:t xml:space="preserve">CRUZ, Thiago Martins da. Avanço da mineração e a resistência camponesa em Canaã dos Carajás. Caderno Eletrônico de Ciências Sociais, v. 5, n. 1, p. 94-114, 2017. DOI: 10.24305/cadecs.v5i1.2017.17773.</w:t>
      </w:r>
    </w:p>
    <w:p>
      <w:pPr>
        <w:pStyle w:val="Corpo"/>
      </w:pPr>
      <w:r>
        <w:t xml:space="preserve">CRUZ, Thiago Leite; MATLABA, Valente José; MOTA, José Aroudo et al. Measuring the social license to operate of the mining industry in an Amazonian town: A case study of Canaã dos Carajás, Brazil. Resources Policy, v. 74, p. 101892, 2021. DOI: 10.1016/j.resourpol.2020.101892.</w:t>
      </w:r>
    </w:p>
    <w:p>
      <w:pPr>
        <w:pStyle w:val="Corpo"/>
      </w:pPr>
      <w:r>
        <w:t xml:space="preserve">CRUZ, Leonardo de Oliveira. Migração e ocupações de maranhenses no sudeste do Pará: um estudo de caso a partir da moderna mineração em Parauapebas. 2022. Tese (Doutorado em Ciências sociais) – Universidade estadual paulista júlio de mesquita filho ( marília ), 2022.</w:t>
      </w:r>
    </w:p>
    <w:p>
      <w:pPr>
        <w:pStyle w:val="Corpo"/>
      </w:pPr>
      <w:r>
        <w:t xml:space="preserve">DIAS, Anderson Saldanha. Os incentivos fiscais federais ao setor de mineração e sua contribuição para o desenvolvimento da Amazônia: o caso da Vale s11d em Canaã dos Carajás. 2025. Dissertação (Mestrado) – UFPA, 2025.</w:t>
      </w:r>
    </w:p>
    <w:p>
      <w:pPr>
        <w:pStyle w:val="Corpo"/>
      </w:pPr>
      <w:r>
        <w:t xml:space="preserve">EMILIO, Mauro Emilio Costa Silva; JOÃO, Silvia Regina. A cidade da Vale s.a? Parauapebas, entre expansão urbana e periférica e a psicosfera da grande coorporação mineral the city of Vale s.a? Parauapebas, between urban and peripheral expansion and the psychosphere of the great mineral coorporation la ciudad de Vale s.a? Parauapebas, entre la expansión urbana y periférica y la psicosfera de la gran coorporación minera. Espaço em Revista, v. 27, n. 1, p. 342-365, 2025. DOI: 10.70261/er.v27i1.74892.</w:t>
      </w:r>
    </w:p>
    <w:p>
      <w:pPr>
        <w:pStyle w:val="Corpo"/>
      </w:pPr>
      <w:r>
        <w:t xml:space="preserve">FARIAS, André Luis Assunção. Mineração, subcontração e desenvolvimento em paraubebpas e canaa dpos Carajás: Possibilidades e limites para a região sudeste do Pará. 2008. Tese (Doutorado em Desenvolvimento sustentável do trópico úmido) – Universidade federal do Pará, 2008.</w:t>
      </w:r>
    </w:p>
    <w:p>
      <w:pPr>
        <w:pStyle w:val="Corpo"/>
      </w:pPr>
      <w:r>
        <w:t xml:space="preserve">FERNANDES, Patrícia Capanema Álvares. Natureza, infraestrutura, mineração e urbanização: cartografando interseções históricas na região de Carajás. In: Amazônia:, p. 93-114, 2023. DOI: 10.4322/978-85-7143-217-8.cap06.</w:t>
      </w:r>
    </w:p>
    <w:p>
      <w:pPr>
        <w:pStyle w:val="Corpo"/>
      </w:pPr>
      <w:r>
        <w:t xml:space="preserve">FERREIRA, Rita de Kássia Pinheiro; BRINGEL, Fabiano de Oliveira. “Sobrevivendo ao Inferno”: mineração e luta pela terra em Canaã dos Carajás (PA) – o caso do Acampamento Oziel Alves do MST “Surviving Hell”: mining and the struggle for land in Canaã dos Carajás (PA) – the case of the MST Oziel Alves Camp “Sobreviviendo al infierno”: la minería y la lucha por la tierra en Canaã dos Carajás (PA) – el caso del Campamento Oziel Alves del MST. Revista da ANPEGE, v. 21, n. 45, 2025. DOI: 10.5418/ra2025.v21i45.19622.</w:t>
      </w:r>
    </w:p>
    <w:p>
      <w:pPr>
        <w:pStyle w:val="Corpo"/>
      </w:pPr>
      <w:r>
        <w:t xml:space="preserve">FURTADO, Ana Maria Medeiros; PONTE, F.. Ocupação e impactos decorrentes da expansão urbana da cidade de Parauapebas, estado do Pará. Revista do Instituto Histórico e Geográfico do Pará, v. 1, n. 1, p. 123-134, 2014. DOI: 10.17553/2359-0831/ihgp.n1v1p123-134.</w:t>
      </w:r>
    </w:p>
    <w:p>
      <w:pPr>
        <w:pStyle w:val="Corpo"/>
      </w:pPr>
      <w:r>
        <w:t xml:space="preserve">FURTADO, Layse Gomes; BRAGA PEREIRA, Carla; SILVA, Davi Farias da et al. Detecção de Mudanças do Uso e Cobertura do Solo no Município de Canaã dos Carajás, Pará. Revista Verde Grande: Geografia e Interdisciplinaridade, v. 5, n. 02, p. 116-131, 2023. DOI: 10.46551/rvg2675239520232116131.</w:t>
      </w:r>
    </w:p>
    <w:p>
      <w:pPr>
        <w:pStyle w:val="Corpo"/>
      </w:pPr>
      <w:r>
        <w:t xml:space="preserve">GODINHO, A.P.. Fast urbanization and the commodities global market – The example of Parauapebas - Brazil. In: Research Tracks in Urbanism: Dynamics, Planning and Design in Contemporary Urban Territories, p. 35-41, 2021. DOI: 10.1201/9781003220855-5.</w:t>
      </w:r>
    </w:p>
    <w:p>
      <w:pPr>
        <w:pStyle w:val="Corpo"/>
      </w:pPr>
      <w:r>
        <w:t xml:space="preserve">JUAREZ, Rodson. O espaço urbano como efeito do fordismo na Amazônia: O caso de Serra do Navio/AP / Urban space as an amazon fordism effect: Serra do Navio/Ap (Brazil) case. Brazilian Journal of Development, v. 7, n. 8, p. 76237-76254, 2021. DOI: 10.34117/bjdv7n8-036.</w:t>
      </w:r>
    </w:p>
    <w:p>
      <w:pPr>
        <w:pStyle w:val="Corpo"/>
      </w:pPr>
      <w:r>
        <w:t xml:space="preserve">MACCHIAVELLO FERRADAS, Fiorella; CARVALHO DE CARVALHO, Larissa; REGINA GALVÃO, Lilyan. A urbanização como processo na implantação de grandes empreendimentos: Um olhar sobre fordlândia, porto de pecém e Carajás urbanization as a process in implementation of great enterprises: A look at fordlândia, port de pecém and Carajás. Revista Espaço e Geografia, v. 21, n. 2, 2022. DOI: 10.26512/2236-56562018e40198.</w:t>
      </w:r>
    </w:p>
    <w:p>
      <w:pPr>
        <w:pStyle w:val="Corpo"/>
      </w:pPr>
      <w:r>
        <w:t xml:space="preserve">MACÊDO, Olinda; FREITAS, Felipe Bonfim; REIS, Raimundo Macedo dos et al. Prevalence and epidemiological characteristics of human immunodeficiency virus-1 infection in an iron mining area with intense migratory flow in Pará State, Brazilian amazon, 2005–2014. Brazilian Journal of Microbiology, v. 51, n. 4, p. 1737-1745, 2020. DOI: 10.1007/s42770-020-00361-7.</w:t>
      </w:r>
    </w:p>
    <w:p>
      <w:pPr>
        <w:pStyle w:val="Corpo"/>
      </w:pPr>
      <w:r>
        <w:t xml:space="preserve">MATLABA, Valente José; MOTA, José Aroudo; MANESCHY, Maria Cristina et al. Social perception at the onset of a mining development in Eastern Amazonia, Brazil. Resources Policy, v. 54, p. 157-166, 2017. DOI: 10.1016/j.resourpol.2017.09.012.</w:t>
      </w:r>
    </w:p>
    <w:p>
      <w:pPr>
        <w:pStyle w:val="Corpo"/>
      </w:pPr>
      <w:r>
        <w:t xml:space="preserve">MATLABA, Valente José; MANESCHY, Maria Cristina; FILIPE DOS SANTOS, Jorge et al. Socioeconomic dynamics of a mining town in Amazon: a case study from Canaã dos Carajás, Brazil. Mineral Economics, v. 32, n. 1, p. 75-90, 2019. DOI: 10.1007/s13563-018-0159-6.</w:t>
      </w:r>
    </w:p>
    <w:p>
      <w:pPr>
        <w:pStyle w:val="Corpo"/>
      </w:pPr>
      <w:r>
        <w:t xml:space="preserve">MATLABA, Valente José; PEREIRA, Lorena Reis; MOTA, José Aroudo et al. Resilience Perception of a Mining Town in Eastern Amazonia: A Case Study of Canaã Dos Carajás, Brazil. Environmental Management, v. 67, n. 4, p. 698-716, 2021. DOI: 10.1007/s00267-020-01405-2.</w:t>
      </w:r>
    </w:p>
    <w:p>
      <w:pPr>
        <w:pStyle w:val="Corpo"/>
      </w:pPr>
      <w:r>
        <w:t xml:space="preserve">MATLABA, Valente José; SANTOS, Jorge Filipe dos; MOTA, José Aroudo et al. Local social perception of mining in Parauapebas and Canaã dos Carajás in the eastern Amazonia, Brazil. Resources Policy, v. 96, p. 105237, 2024. DOI: 10.1016/j.resourpol.2024.105237.</w:t>
      </w:r>
    </w:p>
    <w:p>
      <w:pPr>
        <w:pStyle w:val="Corpo"/>
      </w:pPr>
      <w:r>
        <w:t xml:space="preserve">MATOS, Aliny Soan de Jesus; GARCIA, Caísa Costa; PENA, Heriberto Wagner Amanajás. Estruturas economicas da região sudeste do estado do Pará, Amazônia-Brasil. Uma abordagem produtiva do municipio de Canaã dos Carajás. Observatório de la economía latinoamericana, 2014.</w:t>
      </w:r>
    </w:p>
    <w:p>
      <w:pPr>
        <w:pStyle w:val="Corpo"/>
      </w:pPr>
      <w:r>
        <w:t xml:space="preserve">MEDEIROS, L.F.. Dinâmicas Territoriais e Produção do Espaço no Município de Canaã dos Carajás Antes e Depois da Chegada da Mineração. Boletim Amazônico de Geografia, v. 3, n. 5, p. 112-130, 2016. DOI: 10.17552/2358-7040/bag.v3n5p112-130.</w:t>
      </w:r>
    </w:p>
    <w:p>
      <w:pPr>
        <w:pStyle w:val="Corpo"/>
      </w:pPr>
      <w:r>
        <w:t xml:space="preserve">MELO, Ana Carolina Campos de; CARDOSO, Ana Cláudia Duarte. O papel da grande mineração e sua interação com a dinâmica urbana em uma região de fronteira na Amazônia. Nova Economia, v. 26, n. spe, p. 1211-1243, 2016. DOI: 10.1590/0103-6351/3963.</w:t>
      </w:r>
    </w:p>
    <w:p>
      <w:pPr>
        <w:pStyle w:val="Corpo"/>
      </w:pPr>
      <w:r>
        <w:t xml:space="preserve">MELO, Ana Carolina Campos de. O invisível em movimento um estudo sobre o urbano e suas possibilidades no Sudeste Paraense. 2020. Tese (Doutorado em Economia) – Universidade federal do Pará, 2020.</w:t>
      </w:r>
    </w:p>
    <w:p>
      <w:pPr>
        <w:pStyle w:val="Corpo"/>
      </w:pPr>
      <w:r>
        <w:t xml:space="preserve">MIRANDA, Rogério Rego; GOMES, Lucas Ferreira. TERRITORIALIZAÇÃO CAMPONESA NO SUDESTE PARAENSE A PARTIR DOS ACAMPAMENTOS: o caso de Canaã dos Carajás-Pará. LA Referencia (Red Federada de Repositorios Institucionales de Publicaciones Científicas), 2023. DOI: 10.12957/geouerj.2023.73213.</w:t>
      </w:r>
    </w:p>
    <w:p>
      <w:pPr>
        <w:pStyle w:val="Corpo"/>
      </w:pPr>
      <w:r>
        <w:t xml:space="preserve">MONTE-CARDOSO, Daniel. Mineração e subdesenvolvimento : impactos da atividade mineradora nos municípios de Canaã dos Carajás, Marabá e Parauapebas (2004 - 2015). 2018. Dissertação (Mestrado em Desenvolvimento econômico) – Universidade estadual de campinas, 2018.</w:t>
      </w:r>
    </w:p>
    <w:p>
      <w:pPr>
        <w:pStyle w:val="Corpo"/>
      </w:pPr>
      <w:r>
        <w:t xml:space="preserve">MONTEIRO, Aline Cecília de Oliveira; GALLARDO, Nuria Pérez. Variações do índice de calor ao longo de duas décadas: Evidências em Canaã dos Carajás e suas implicações climáticas. Revista Políticas Públicas &amp; Cidades, v. 14, n. 10, p. e3068, 2025. DOI: 10.23900/2359-1552v14n10-56-2025.</w:t>
      </w:r>
    </w:p>
    <w:p>
      <w:pPr>
        <w:pStyle w:val="Corpo"/>
      </w:pPr>
      <w:r>
        <w:t xml:space="preserve">MORAES, Thiago Moraes de. COMPENSAÇÃO FINANCEIRA PELA EXPLORAÇÃO MINERAL NOS MUNICÍPIOS DO ESTADO DO PARÁ: uma proposta de instrumentalização do controle social sob uma visão sistêmica. 2023. Dissertação (Mestrado em Gestão Pública) – Universidade federal do Pará, 2023.</w:t>
      </w:r>
    </w:p>
    <w:p>
      <w:pPr>
        <w:pStyle w:val="Corpo"/>
      </w:pPr>
      <w:r>
        <w:t xml:space="preserve">MOURA, Alexandro; NUNES, Jareston; MENEZES, João et al. Mina de cobre do Sossego da companhia Vale do rio doce - emprego e desenvolvimento para o Pará. Divisas para o Brasil. In: ABM Proceedings, p. 36-39, 2005. DOI: 10.5151/5463-5463-0010.</w:t>
      </w:r>
    </w:p>
    <w:p>
      <w:pPr>
        <w:pStyle w:val="Corpo"/>
      </w:pPr>
      <w:r>
        <w:t xml:space="preserve">NASCIMENTO, Marcus Vinicius Brito. A dinâmica das áreas verdes em Canaã dos Carajás e 11 suas repercussões no espaço urbano. 2024. Dissertação (Mestrado em Planejamento e desenvolvimento regional e urbano na Amazônia) – Universidade federal do sul e sudeste do Pará, 2024.</w:t>
      </w:r>
    </w:p>
    <w:p>
      <w:pPr>
        <w:pStyle w:val="Corpo"/>
      </w:pPr>
      <w:r>
        <w:t xml:space="preserve">NASCIMENTO NETO, Pedro Luiz do. Emancipação e crescimento de Canaã dos Carajás-PA: uma abordagem para o ensino de história local. Gnosis Carajás, v. 1, n. 2, p. e21008, 2021. DOI: 10.55723/gc.v1i2.14.</w:t>
      </w:r>
    </w:p>
    <w:p>
      <w:pPr>
        <w:pStyle w:val="Corpo"/>
      </w:pPr>
      <w:r>
        <w:t xml:space="preserve">OLIVEIRA, Antonia Larissa Alves. CFEM e o desenvolvimento socioeconômico na Amazônia: uma análise dos municípios de Canaã dos Carajás (PA), Marabá (PA) e Parauapebas (PA). 2021. Dissertação (Mestrado em Planejamento e desenvolvimento regional e urbano na Amazônia) – Universidade federal do sul e sudeste do Pará, 2021.</w:t>
      </w:r>
    </w:p>
    <w:p>
      <w:pPr>
        <w:pStyle w:val="Corpo"/>
      </w:pPr>
      <w:r>
        <w:t xml:space="preserve">OLOFSSON, Pontus; FOODY, Giles M.; HEROLD, Martin et al. Good practices for estimating area and assessing accuracy of land change. Remote Sensing of Environment, v. 148, p. 42–57, 2014. DOI: 10.1016/j.rse.2014.02.015.</w:t>
      </w:r>
    </w:p>
    <w:p>
      <w:pPr>
        <w:pStyle w:val="Corpo"/>
      </w:pPr>
      <w:r>
        <w:t xml:space="preserve">PADILHA, Simone Cristina Contente. Estado, território e mineração no Brasil: o caso do Projeto S11D/Vale em Canaã dos Carajás-Pa. 2020. Tese (Doutorado em Ciências sociais em desenvolvimento, agricultura e sociedade) – Universidade federal rural do Rio de Janeiro, 2020.</w:t>
      </w:r>
    </w:p>
    <w:p>
      <w:pPr>
        <w:pStyle w:val="Corpo"/>
      </w:pPr>
      <w:r>
        <w:t xml:space="preserve">PEREIRA, Raimundo Miguel dos Reis. Migração e desterritorialização: Sociabilidade afetada e exclusão social da força de trabalho migrante em Parauapebas-PA. Revista Contemporânea, v. 3, n. 8, p. 12512-12536, 2023. DOI: 10.56083/rcv3n8-142.</w:t>
      </w:r>
    </w:p>
    <w:p>
      <w:pPr>
        <w:pStyle w:val="Corpo"/>
      </w:pPr>
      <w:r>
        <w:t xml:space="preserve">PINHEIRO, Leandro Andrei Lopes. Royalties da mineração em Canaã dos Carajás. 2016. Dissertação (Mestrado em Uso Sustentável de Recursos Naturais em Regiões Tropicais) – Instituto tecnológico Vale – desenvolvimento sustentável, 2016.</w:t>
      </w:r>
    </w:p>
    <w:p>
      <w:pPr>
        <w:pStyle w:val="Corpo"/>
      </w:pPr>
      <w:r>
        <w:t xml:space="preserve">RIBEIRO, Igor Conceição; PEREIRA, José Danilo Santana; PENA, Heriberto Wagner Amanajás. Análise da dinâmica da estrutura produtiva do município de Canaã dos Carajás – Pará, Amazõnia-Brasil. Observatório de la economía latinoamericana, 2014.</w:t>
      </w:r>
    </w:p>
    <w:p>
      <w:pPr>
        <w:pStyle w:val="Corpo"/>
      </w:pPr>
      <w:r>
        <w:t xml:space="preserve">RODRIGUES, Roberta Menezes. "Company Towns e mineração na Amazônia Oriental: especificidades, processos e transformações de um modelo urbanístico". 2001. Dissertação (Mestrado em Planejamento do desenvolvimento) – Universidade federal do Pará, 2001.</w:t>
      </w:r>
    </w:p>
    <w:p>
      <w:pPr>
        <w:pStyle w:val="Corpo"/>
      </w:pPr>
      <w:r>
        <w:t xml:space="preserve">ROY, David P.; KOVALSKYY, Valeriy; ZHANG, Hankui K. et al. Characterization of Landsat-7 to Landsat-8 reflective wavelength and normalized difference vegetation index continuity. Remote Sensing of Environment, v. 185, p. 57–70, 2016. DOI: 10.1016/j.rse.2015.12.024.</w:t>
      </w:r>
    </w:p>
    <w:p>
      <w:pPr>
        <w:pStyle w:val="Corpo"/>
      </w:pPr>
      <w:r>
        <w:t xml:space="preserve">SANCHES, Maria Clara Souza; RODRIGUES, Janine Stefani Mendes; NASCIMENTO, Bruno Jesus do. Canaã dos Carajás: Cidade do imigrante ou a cidade da mineração. In: Anais do XIII Coninter - Congresso Internacional Interdisciplinar em Sociais e Humanidades: Desenvolvimentos, mitos, ideias e projetos para um mundo em conflito, 2025. DOI: 10.29327/9786527212591.863432.</w:t>
      </w:r>
    </w:p>
    <w:p>
      <w:pPr>
        <w:pStyle w:val="Corpo"/>
      </w:pPr>
      <w:r>
        <w:t xml:space="preserve">SANTOS, Sanmarie Rigaud dos. Conflitos agrários decorrentes da mineração: um estudo do Projeto Ferro Carajás S11D em Canaã dos Carajás/Pará. 2017. Dissertação (Mestrado em Direito agrário) – Universidade federal de goiás, 2017.</w:t>
      </w:r>
    </w:p>
    <w:p>
      <w:pPr>
        <w:pStyle w:val="Corpo"/>
      </w:pPr>
      <w:r>
        <w:t xml:space="preserve">SANTOS, Rodrigo Salles Pereira dos. DESENVOLVIMENTO ECONÔMICO E MUDANÇA SOCIAL: a Vale e a mineração na Amazônia Oriental. Caderno CRH, v. 29, n. 77, p. 295-312, 2017. DOI: 10.9771/ccrh.v29i77.20004.</w:t>
      </w:r>
    </w:p>
    <w:p>
      <w:pPr>
        <w:pStyle w:val="Corpo"/>
      </w:pPr>
      <w:r>
        <w:t xml:space="preserve">SANTOS, Marcelo Melo dos; CRUZ, Thiago Martins da; LOPES, Rafael Rodrigues. Mineração e conflitos pela posse da terra em Canaã dos Carajás: O caso do acampamento Planalto Serra Dourada. In: Ciência Política: Poder e Establishment, p. 153-164, 2021. DOI: 10.22533/at.ed.84021100214.</w:t>
      </w:r>
    </w:p>
    <w:p>
      <w:pPr>
        <w:pStyle w:val="Corpo"/>
      </w:pPr>
      <w:r>
        <w:t xml:space="preserve">SANTOS, Rodrigo Castriota de Mello. Urbanização extensiva na Amazônia Oriental: escavando a não-cidade em Carajás. 2021. Tese (Doutorado em Economia) – Universidade federal de Minas Gerais, 2021.</w:t>
      </w:r>
    </w:p>
    <w:p>
      <w:pPr>
        <w:pStyle w:val="Corpo"/>
      </w:pPr>
      <w:r>
        <w:t xml:space="preserve">SILVA, Manoel Alves da. Arranjos político-institucionais: a criação de novos municípios, novas estruturas de poder e as lideranças locais - a divisão territorial de Marabá na década de 1980. 2006. Tese (Doutorado em Desenvolvimento sustentável do trópico úmido) – Universidade federal do Pará, 2006.</w:t>
      </w:r>
    </w:p>
    <w:p>
      <w:pPr>
        <w:pStyle w:val="Corpo"/>
      </w:pPr>
      <w:r>
        <w:t xml:space="preserve">SILVA, Fernando Flavio Lopes. Uso do território e implicações socioespaciais da mineração no município de Canaã dos carajas. 2016. Dissertação (Mestrado em Geografia) – Universidade federal do Pará, 2016.</w:t>
      </w:r>
    </w:p>
    <w:p>
      <w:pPr>
        <w:pStyle w:val="Corpo"/>
      </w:pPr>
      <w:r>
        <w:t xml:space="preserve">SILVA, Daniel Nogueira; SOUSA, Rithielly Lira. As condições de moradia das famílias pobres em Canaã dos Carajás, uma cidade mineral da Amazônia. Revista de Políticas Públicas, v. 26, n. 1, p. 228-248, 2022. DOI: 10.18764/2178-2865.v26n1p228-248.</w:t>
      </w:r>
    </w:p>
    <w:p>
      <w:pPr>
        <w:pStyle w:val="Corpo"/>
      </w:pPr>
      <w:r>
        <w:t xml:space="preserve">SILVA, Maria do Carmo Campos da. Regularização fundiária urbana no pós-regularização:o caso do núcleo urbano informal Paraíso das Águas na cidade de Canaã dos Carajás (PA), Brasil. Novos Cadernos NAEA, v. 28, n. 2, 2025. DOI: 10.18542/ncn.v28i2.18057.</w:t>
      </w:r>
    </w:p>
    <w:p>
      <w:pPr>
        <w:pStyle w:val="Corpo"/>
      </w:pPr>
      <w:r>
        <w:t xml:space="preserve">SIRAVENHA, Ana Carolina Quintão. Avaliação de técnica semi-supervisionada de análise de vetor comprimido (C2VA) em imagens de satélites para detecção de mudanças de uso e cobertura da terra. 2017. Tese (Doutorado em Engenharia elétrica) – Universidade federal do Pará, 2017.</w:t>
      </w:r>
    </w:p>
    <w:p>
      <w:pPr>
        <w:pStyle w:val="Corpo"/>
      </w:pPr>
      <w:r>
        <w:t xml:space="preserve">SOUSA, Karen H.; MATOS, Antonio Nilton; OLIVEIRA, Poliana et al. Volatilidade epidemiológica do hiv/aids em região mineraria da Amazônia. Revista ft, p. 30-31, 2024. DOI: 10.69849/revistaft/fa10202408092230.</w:t>
      </w:r>
    </w:p>
    <w:p>
      <w:pPr>
        <w:pStyle w:val="Corpo"/>
      </w:pPr>
      <w:r>
        <w:t xml:space="preserve">SOUZA, Alyne Marcely Fernandes de. Mulheres no mercado de trabalho no setor extrativista mineral no município de Canaã dos Carajás, estado do Pará. 2022. Dissertação (Mestrado em Direito, Políticas Públicas e Desenvolvimento Regional) – Centro universitário do estado do Pará, 2022.</w:t>
      </w:r>
    </w:p>
    <w:p>
      <w:pPr>
        <w:pStyle w:val="Corpo"/>
      </w:pPr>
      <w:r>
        <w:t xml:space="preserve">SOUZA, Marcus Vinicius Mariano de; FERREIRA JÚNIOR, Dionel Barbosa. Inserção urbana e desigualdades socioespaciais no programa Minha Casa Minha Vida. InterEspaço: Revista de Geografia e Interdisciplinaridade, 2023. DOI: 10.18764/2446-6549.e2023.11.</w:t>
      </w:r>
    </w:p>
    <w:p>
      <w:pPr>
        <w:pStyle w:val="Corpo"/>
      </w:pPr>
      <w:r>
        <w:t xml:space="preserve">SOUZA, Michele Kely Moraes Santos. A urbanização de Parauapebas/PA : a cidade produzida pela mineração. 2024. Tese (Doutorado) – [s.l.], 2024.</w:t>
      </w:r>
    </w:p>
    <w:p>
      <w:pPr>
        <w:pStyle w:val="Corpo"/>
      </w:pPr>
      <w:r>
        <w:t xml:space="preserve">SOUZA, Alcione Santos de. Conflitos pelo uso do território: camponeses e mineração no Estado do Pará. 2024. Tese (Doutorado em Geografia) – Universidade federal do rio grande do norte, 2024.</w:t>
      </w:r>
    </w:p>
    <w:p>
      <w:pPr>
        <w:pStyle w:val="Corpo"/>
      </w:pPr>
      <w:r>
        <w:t xml:space="preserve">STEHMAN, Stephen V. Estimating area and map accuracy for stratified random sampling when the strata are different from the map classes. International Journal of Remote Sensing, v. 35, n. 13, p. 4923–4939, 2014. DOI: 10.1080/01431161.2014.930207.</w:t>
      </w:r>
    </w:p>
    <w:p>
      <w:pPr>
        <w:pStyle w:val="Corpo"/>
      </w:pPr>
      <w:r>
        <w:t xml:space="preserve">TREVISAN, Ricardo; BRANDÃO, Simone Cristina Soares; REIS, Talita Rocha et al. Complexo Carajás, Amazônia: as pretensiosas pegadas urbanizadoras de um território. Ensayo: Revista de arquitectura, urbanismo y territorio, n. 6, p. 19-41, 2025. DOI: 10.18800/ensayo.202506.001.</w:t>
      </w:r>
    </w:p>
    <w:p>
      <w:pPr>
        <w:pStyle w:val="Corpo"/>
      </w:pPr>
      <w:r>
        <w:t xml:space="preserve">VIANA JÚNIOR, Elias Marques. Royalties na mineração : uma ferramenta para o desenvolvimento regional da Amazônia oriental brasileira. 2008. Dissertação (Mestrado em Engenharia mineral) – Universidade federal de ouro preto, 2008.</w:t>
      </w:r>
    </w:p>
    <w:sectPr>
      <w:headerReference w:type="default" r:id="rId7"/>
      <w:footerReference w:type="default" r:id="rId8"/>
      <w:pgSz w:w="11906" w:h="16838" w:orient="portrait"/>
      <w:pgMar w:top="1247" w:right="1417"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C" w:sz="4" w:space="6"/>
      </w:pBdr>
      <w:tabs>
        <w:tab w:val="right" w:pos="9070"/>
      </w:tabs>
    </w:pPr>
    <w:r>
      <w:rPr>
        <w:rFonts w:ascii="Calibri" w:cs="Calibri" w:eastAsia="Calibri" w:hAnsi="Calibri"/>
        <w:color w:val="7B7D78"/>
        <w:sz w:val="15"/>
        <w:szCs w:val="15"/>
      </w:rPr>
      <w:t xml:space="preserve">Da colônia agrícola à cidade mineral: urbanização, migração e mancha urbana em Canaã dos Carajás (PA), 1982–2026</w:t>
    </w:r>
    <w:r>
      <w:t xml:space="preserve">	</w:t>
    </w:r>
    <w:r>
      <w:rPr>
        <w:rFonts w:ascii="Calibri" w:cs="Calibri" w:eastAsia="Calibri" w:hAnsi="Calibri"/>
        <w:color w:val="7B7D7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404F" w:sz="8" w:space="4"/>
      </w:pBdr>
      <w:tabs>
        <w:tab w:val="right" w:pos="9070"/>
      </w:tabs>
      <w:jc w:val="left"/>
    </w:pPr>
    <w:r>
      <w:rPr>
        <w:rFonts w:ascii="Georgia" w:cs="Georgia" w:eastAsia="Georgia" w:hAnsi="Georgia"/>
        <w:color w:val="24404F"/>
        <w:sz w:val="20"/>
        <w:szCs w:val="20"/>
      </w:rPr>
      <w:t xml:space="preserve">dps</w:t>
    </w:r>
    <w:r>
      <w:t xml:space="preserve">	</w:t>
    </w:r>
    <w:r>
      <w:rPr>
        <w:rFonts w:ascii="Calibri" w:cs="Calibri" w:eastAsia="Calibri" w:hAnsi="Calibri"/>
        <w:color w:val="7B7D78"/>
        <w:spacing w:val="40"/>
        <w:sz w:val="15"/>
        <w:szCs w:val="15"/>
      </w:rPr>
      <w:t xml:space="preserve">ARTIGO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138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uloDoc">
    <w:name w:val="Titulo do documento"/>
    <w:basedOn w:val="Normal"/>
    <w:next w:val="Corpo"/>
    <w:pPr>
      <w:spacing w:after="240"/>
    </w:pPr>
    <w:rPr>
      <w:rFonts w:ascii="Georgia" w:cs="Georgia" w:eastAsia="Georgia" w:hAnsi="Georgia"/>
      <w:color w:val="1B1F23"/>
      <w:sz w:val="48"/>
      <w:szCs w:val="48"/>
    </w:rPr>
  </w:style>
  <w:style w:type="paragraph" w:styleId="Kicker">
    <w:name w:val="Kicker"/>
    <w:basedOn w:val="Normal"/>
    <w:next w:val="Titulo1"/>
    <w:pPr>
      <w:spacing w:after="60" w:before="240"/>
    </w:pPr>
    <w:rPr>
      <w:rFonts w:ascii="Calibri" w:cs="Calibri" w:eastAsia="Calibri" w:hAnsi="Calibri"/>
      <w:b/>
      <w:bCs/>
      <w:caps/>
      <w:color w:val="9C5B41"/>
      <w:spacing w:val="40"/>
      <w:sz w:val="16"/>
      <w:szCs w:val="16"/>
    </w:rPr>
  </w:style>
  <w:style w:type="paragraph" w:styleId="Titulo1">
    <w:name w:val="Titulo 1"/>
    <w:basedOn w:val="Normal"/>
    <w:next w:val="Corpo"/>
    <w:qFormat/>
    <w:pPr>
      <w:pBdr>
        <w:bottom w:val="single" w:color="D8D4CC" w:sz="4" w:space="6"/>
      </w:pBdr>
      <w:spacing w:after="160" w:before="360"/>
    </w:pPr>
    <w:rPr>
      <w:rFonts w:ascii="Georgia" w:cs="Georgia" w:eastAsia="Georgia" w:hAnsi="Georgia"/>
      <w:color w:val="1B1F23"/>
      <w:sz w:val="34"/>
      <w:szCs w:val="34"/>
    </w:rPr>
  </w:style>
  <w:style w:type="paragraph" w:styleId="Titulo2">
    <w:name w:val="Titulo 2"/>
    <w:basedOn w:val="Normal"/>
    <w:next w:val="Corpo"/>
    <w:qFormat/>
    <w:pPr>
      <w:spacing w:after="120" w:before="280"/>
    </w:pPr>
    <w:rPr>
      <w:rFonts w:ascii="Georgia" w:cs="Georgia" w:eastAsia="Georgia" w:hAnsi="Georgia"/>
      <w:b/>
      <w:bCs/>
      <w:color w:val="1B1F23"/>
      <w:sz w:val="26"/>
      <w:szCs w:val="26"/>
    </w:rPr>
  </w:style>
  <w:style w:type="paragraph" w:styleId="Titulo3">
    <w:name w:val="Titulo 3"/>
    <w:basedOn w:val="Normal"/>
    <w:next w:val="Corpo"/>
    <w:qFormat/>
    <w:pPr>
      <w:spacing w:after="80" w:before="240"/>
    </w:pPr>
    <w:rPr>
      <w:rFonts w:ascii="Georgia" w:cs="Georgia" w:eastAsia="Georgia" w:hAnsi="Georgia"/>
      <w:b/>
      <w:bCs/>
      <w:i/>
      <w:iCs/>
      <w:color w:val="4A5157"/>
      <w:sz w:val="22"/>
      <w:szCs w:val="22"/>
    </w:rPr>
  </w:style>
  <w:style w:type="paragraph" w:styleId="Corpo">
    <w:name w:val="Corpo"/>
    <w:basedOn w:val="Normal"/>
    <w:next w:val="Corpo"/>
    <w:qFormat/>
    <w:pPr>
      <w:spacing w:after="160" w:line="276"/>
      <w:jc w:val="both"/>
    </w:pPr>
    <w:rPr>
      <w:rFonts w:ascii="Georgia" w:cs="Georgia" w:eastAsia="Georgia" w:hAnsi="Georgia"/>
      <w:color w:val="31383D"/>
      <w:sz w:val="22"/>
      <w:szCs w:val="22"/>
    </w:rPr>
  </w:style>
  <w:style w:type="paragraph" w:styleId="Destaque">
    <w:name w:val="Destaque"/>
    <w:basedOn w:val="Normal"/>
    <w:next w:val="Corpo"/>
    <w:pPr>
      <w:pBdr>
        <w:left w:val="single" w:color="9C5B41" w:sz="16" w:space="12"/>
      </w:pBdr>
      <w:spacing w:after="200" w:before="200" w:line="264"/>
      <w:ind w:left="340"/>
    </w:pPr>
    <w:rPr>
      <w:rFonts w:ascii="Georgia" w:cs="Georgia" w:eastAsia="Georgia" w:hAnsi="Georgia"/>
      <w:i/>
      <w:iCs/>
      <w:color w:val="4A5157"/>
      <w:sz w:val="21"/>
      <w:szCs w:val="21"/>
    </w:rPr>
  </w:style>
  <w:style w:type="paragraph" w:styleId="Tabela">
    <w:name w:val="Tabela"/>
    <w:basedOn w:val="Normal"/>
    <w:next w:val="Tabela"/>
    <w:pPr>
      <w:spacing w:after="40" w:before="40"/>
    </w:pPr>
    <w:rPr>
      <w:rFonts w:ascii="Calibri" w:cs="Calibri" w:eastAsia="Calibri" w:hAnsi="Calibri"/>
      <w:color w:val="31383D"/>
      <w:sz w:val="18"/>
      <w:szCs w:val="18"/>
    </w:rPr>
  </w:style>
  <w:style w:type="paragraph" w:styleId="TabelaCab">
    <w:name w:val="Tabela cabecalho"/>
    <w:basedOn w:val="Normal"/>
    <w:next w:val="Tabela"/>
    <w:pPr>
      <w:spacing w:after="40" w:before="40"/>
    </w:pPr>
    <w:rPr>
      <w:rFonts w:ascii="Calibri" w:cs="Calibri" w:eastAsia="Calibri" w:hAnsi="Calibri"/>
      <w:b/>
      <w:bCs/>
      <w:color w:val="24404F"/>
      <w:sz w:val="18"/>
      <w:szCs w:val="18"/>
    </w:rPr>
  </w:style>
  <w:style w:type="paragraph" w:styleId="Legenda">
    <w:name w:val="Legenda"/>
    <w:basedOn w:val="Normal"/>
    <w:next w:val="Corpo"/>
    <w:pPr>
      <w:spacing w:after="240" w:before="80"/>
    </w:pPr>
    <w:rPr>
      <w:rFonts w:ascii="Calibri" w:cs="Calibri" w:eastAsia="Calibri" w:hAnsi="Calibri"/>
      <w:i/>
      <w:iCs/>
      <w:color w:val="7B7D78"/>
      <w:sz w:val="18"/>
      <w:szCs w:val="18"/>
    </w:rPr>
  </w:style>
  <w:style w:type="paragraph" w:styleId="Nota">
    <w:name w:val="Nota"/>
    <w:basedOn w:val="Normal"/>
    <w:next w:val="Nota"/>
    <w:pPr>
      <w:spacing w:after="80"/>
    </w:pPr>
    <w:rPr>
      <w:rFonts w:ascii="Calibri" w:cs="Calibri" w:eastAsia="Calibri" w:hAnsi="Calibri"/>
      <w:color w:val="7B7D78"/>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056ebaeb2f7a4be7094e9ec05fb60d44de342c.png"/><Relationship Id="rId10" Type="http://schemas.openxmlformats.org/officeDocument/2006/relationships/image" Target="media/b9f5084828bbe92c4713bbb526dd5b61f70bc263.png"/><Relationship Id="rId11" Type="http://schemas.openxmlformats.org/officeDocument/2006/relationships/image" Target="media/0738ca31fe14cdcb47b2da17d5f33b3b2fe7329f.png"/><Relationship Id="rId12" Type="http://schemas.openxmlformats.org/officeDocument/2006/relationships/image" Target="media/aa29584af70cefc67fe79a768f0faf5efa804933.png"/><Relationship Id="rId13" Type="http://schemas.openxmlformats.org/officeDocument/2006/relationships/image" Target="media/74ee96afca63a7cc4075bd327f3098494a6cd47b.png"/><Relationship Id="rId14" Type="http://schemas.openxmlformats.org/officeDocument/2006/relationships/image" Target="media/f3a6e93ebf02a71f57d20c5f384d22ae0e104b13.png"/><Relationship Id="rId15" Type="http://schemas.openxmlformats.org/officeDocument/2006/relationships/image" Target="media/6212dc30cd3d072544d8f840b5a7b961257b0ba7.png"/><Relationship Id="rId16" Type="http://schemas.openxmlformats.org/officeDocument/2006/relationships/image" Target="media/66ed37d3fb8b22a9cc25f45f56b5ed560e160413.png"/><Relationship Id="rId17" Type="http://schemas.openxmlformats.org/officeDocument/2006/relationships/image" Target="media/8f973588645f198bffbe3d13333d460b8b54511d.png"/><Relationship Id="rId18" Type="http://schemas.openxmlformats.org/officeDocument/2006/relationships/image" Target="media/6ac548bb693f3c9f94b86ab1504db717201408ab.png"/><Relationship Id="rId19" Type="http://schemas.openxmlformats.org/officeDocument/2006/relationships/image" Target="media/ca986a21646e1461319a62b8c0ff4b9369807a8c.png"/><Relationship Id="rId20" Type="http://schemas.openxmlformats.org/officeDocument/2006/relationships/image" Target="media/2a0b63c25190b26bf8ec23e59906714835023925.png"/><Relationship Id="rId21" Type="http://schemas.openxmlformats.org/officeDocument/2006/relationships/image" Target="media/313ad61fb8ed56f109449fb86f5f2b3b741e9718.png"/><Relationship Id="rId22" Type="http://schemas.openxmlformats.org/officeDocument/2006/relationships/image" Target="media/2ec6fa2984c0b689091ca82a7b768c84fd1cb201.png"/><Relationship Id="rId23" Type="http://schemas.openxmlformats.org/officeDocument/2006/relationships/image" Target="media/1518353eeefbb241643276cefd71cc9aab457912.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2026-09-11T02:30:54.373Z</dcterms:created>
  <dcterms:modified xsi:type="dcterms:W3CDTF">2026-09-11T02:30:54.374Z</dcterms:modified>
</cp:coreProperties>
</file>

<file path=docProps/custom.xml><?xml version="1.0" encoding="utf-8"?>
<Properties xmlns="http://schemas.openxmlformats.org/officeDocument/2006/custom-properties" xmlns:vt="http://schemas.openxmlformats.org/officeDocument/2006/docPropsVTypes"/>
</file>