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0C79" w14:textId="3F8A0E06" w:rsidR="002A5381" w:rsidRPr="00F32501" w:rsidRDefault="00F40976" w:rsidP="00F32501">
      <w:pPr>
        <w:pStyle w:val="Heading1"/>
        <w:spacing w:before="0"/>
        <w:rPr>
          <w:b/>
        </w:rPr>
      </w:pPr>
      <w:r w:rsidRPr="00A36F28">
        <w:rPr>
          <w:b/>
        </w:rPr>
        <w:t>Assessment Evidence: Enterprise</w:t>
      </w:r>
    </w:p>
    <w:tbl>
      <w:tblPr>
        <w:tblStyle w:val="TableGrid"/>
        <w:tblW w:w="13036" w:type="dxa"/>
        <w:tblLayout w:type="fixed"/>
        <w:tblLook w:val="04A0" w:firstRow="1" w:lastRow="0" w:firstColumn="1" w:lastColumn="0" w:noHBand="0" w:noVBand="1"/>
      </w:tblPr>
      <w:tblGrid>
        <w:gridCol w:w="1668"/>
        <w:gridCol w:w="1162"/>
        <w:gridCol w:w="10206"/>
      </w:tblGrid>
      <w:tr w:rsidR="00E30AEB" w:rsidRPr="00A36F28" w14:paraId="5FDD8A27" w14:textId="77777777" w:rsidTr="000C6317">
        <w:tc>
          <w:tcPr>
            <w:tcW w:w="1668" w:type="dxa"/>
            <w:vAlign w:val="center"/>
          </w:tcPr>
          <w:p w14:paraId="1B715260" w14:textId="57A1C587" w:rsidR="00EA1194" w:rsidRPr="00A36F28" w:rsidRDefault="00BA0FB9" w:rsidP="00EE1698">
            <w:pPr>
              <w:jc w:val="center"/>
              <w:rPr>
                <w:b/>
                <w:bCs/>
              </w:rPr>
            </w:pPr>
            <w:r w:rsidRPr="00A36F28">
              <w:rPr>
                <w:b/>
                <w:bCs/>
              </w:rPr>
              <w:t xml:space="preserve">PSP </w:t>
            </w:r>
            <w:r w:rsidR="00441D21" w:rsidRPr="00A36F28">
              <w:rPr>
                <w:b/>
                <w:bCs/>
              </w:rPr>
              <w:t>CCP</w:t>
            </w:r>
            <w:r w:rsidRPr="00A36F28">
              <w:rPr>
                <w:b/>
                <w:bCs/>
              </w:rPr>
              <w:t xml:space="preserve"> V1.</w:t>
            </w:r>
            <w:r w:rsidR="00EE1698" w:rsidRPr="00A36F28">
              <w:rPr>
                <w:b/>
                <w:bCs/>
              </w:rPr>
              <w:t>5</w:t>
            </w:r>
            <w:r w:rsidR="00EA1194" w:rsidRPr="00A36F28">
              <w:rPr>
                <w:b/>
                <w:bCs/>
              </w:rPr>
              <w:t xml:space="preserve"> ID</w:t>
            </w:r>
          </w:p>
        </w:tc>
        <w:tc>
          <w:tcPr>
            <w:tcW w:w="1162" w:type="dxa"/>
            <w:vAlign w:val="center"/>
          </w:tcPr>
          <w:p w14:paraId="63DADDF8" w14:textId="751793ED" w:rsidR="008226B8" w:rsidRPr="00A36F28" w:rsidRDefault="008226B8" w:rsidP="008226B8">
            <w:pPr>
              <w:jc w:val="center"/>
              <w:rPr>
                <w:b/>
                <w:bCs/>
              </w:rPr>
            </w:pPr>
            <w:r w:rsidRPr="00A36F28">
              <w:rPr>
                <w:rFonts w:ascii="Calibri" w:hAnsi="Calibri" w:cs="Calibri"/>
                <w:b/>
                <w:bCs/>
              </w:rPr>
              <w:t>Qualifiers</w:t>
            </w:r>
          </w:p>
        </w:tc>
        <w:tc>
          <w:tcPr>
            <w:tcW w:w="10206" w:type="dxa"/>
            <w:vAlign w:val="center"/>
          </w:tcPr>
          <w:p w14:paraId="6571F554" w14:textId="01B3352B" w:rsidR="00BA0FB9" w:rsidRPr="00A36F28" w:rsidRDefault="008226B8" w:rsidP="0063305C">
            <w:pPr>
              <w:jc w:val="center"/>
              <w:rPr>
                <w:b/>
                <w:bCs/>
                <w:i/>
              </w:rPr>
            </w:pPr>
            <w:r w:rsidRPr="00A36F28">
              <w:rPr>
                <w:b/>
                <w:bCs/>
                <w:i/>
                <w:sz w:val="28"/>
              </w:rPr>
              <w:t>Conformance Criteria</w:t>
            </w:r>
          </w:p>
        </w:tc>
      </w:tr>
      <w:tr w:rsidR="00E30AEB" w:rsidRPr="00A36F28" w14:paraId="1D0B652B" w14:textId="77777777" w:rsidTr="00B4523E">
        <w:tc>
          <w:tcPr>
            <w:tcW w:w="1668" w:type="dxa"/>
            <w:shd w:val="clear" w:color="auto" w:fill="E7E6E6" w:themeFill="background2"/>
          </w:tcPr>
          <w:p w14:paraId="2628CD64" w14:textId="037CDDCD" w:rsidR="00BA0FB9" w:rsidRPr="00A36F28" w:rsidRDefault="00BA0FB9" w:rsidP="006B3B62">
            <w:pPr>
              <w:jc w:val="center"/>
              <w:rPr>
                <w:b/>
              </w:rPr>
            </w:pPr>
            <w:r w:rsidRPr="00A36F28">
              <w:rPr>
                <w:b/>
              </w:rPr>
              <w:t>E</w:t>
            </w:r>
            <w:r w:rsidR="006B3B62" w:rsidRPr="00A36F28">
              <w:rPr>
                <w:b/>
              </w:rPr>
              <w:t>N</w:t>
            </w:r>
            <w:r w:rsidRPr="00A36F28">
              <w:rPr>
                <w:b/>
              </w:rPr>
              <w:t>WM</w:t>
            </w:r>
          </w:p>
        </w:tc>
        <w:tc>
          <w:tcPr>
            <w:tcW w:w="1162" w:type="dxa"/>
            <w:shd w:val="clear" w:color="auto" w:fill="E7E6E6" w:themeFill="background2"/>
          </w:tcPr>
          <w:p w14:paraId="5CE6C3BE" w14:textId="77777777" w:rsidR="00BA0FB9" w:rsidRPr="00A36F28" w:rsidRDefault="00BA0FB9" w:rsidP="00517BC0">
            <w:pPr>
              <w:pStyle w:val="Default"/>
              <w:jc w:val="center"/>
              <w:rPr>
                <w:i/>
                <w:iCs/>
                <w:color w:val="auto"/>
                <w:sz w:val="20"/>
                <w:szCs w:val="20"/>
              </w:rPr>
            </w:pPr>
          </w:p>
        </w:tc>
        <w:tc>
          <w:tcPr>
            <w:tcW w:w="10206" w:type="dxa"/>
            <w:shd w:val="clear" w:color="auto" w:fill="E7E6E6" w:themeFill="background2"/>
          </w:tcPr>
          <w:p w14:paraId="065C468E" w14:textId="3405D31D" w:rsidR="00F57354" w:rsidRPr="00A36F28" w:rsidRDefault="00F57354" w:rsidP="00173BAE">
            <w:pPr>
              <w:rPr>
                <w:i/>
                <w:iCs/>
                <w:sz w:val="20"/>
                <w:szCs w:val="20"/>
              </w:rPr>
            </w:pPr>
            <w:r w:rsidRPr="00A36F28">
              <w:rPr>
                <w:rFonts w:eastAsia="Calibri" w:cstheme="minorHAnsi"/>
                <w:b/>
                <w:i/>
                <w:iCs/>
                <w:sz w:val="20"/>
                <w:szCs w:val="20"/>
                <w:lang w:eastAsia="en-CA"/>
              </w:rPr>
              <w:t>General requirements for enterprise-wide management that are applicable to all processes identified in the PCTF</w:t>
            </w:r>
            <w:r w:rsidR="00173BAE" w:rsidRPr="00A36F28">
              <w:rPr>
                <w:rFonts w:eastAsia="Calibri" w:cstheme="minorHAnsi"/>
                <w:b/>
                <w:i/>
                <w:iCs/>
                <w:sz w:val="20"/>
                <w:szCs w:val="20"/>
                <w:lang w:eastAsia="en-CA"/>
              </w:rPr>
              <w:t>.</w:t>
            </w:r>
            <w:r w:rsidRPr="00A36F28">
              <w:rPr>
                <w:rFonts w:ascii="Calibri" w:eastAsia="Calibri" w:hAnsi="Calibri" w:cs="Calibri"/>
                <w:b/>
                <w:i/>
                <w:iCs/>
                <w:sz w:val="20"/>
                <w:szCs w:val="20"/>
                <w:lang w:eastAsia="en-CA"/>
              </w:rPr>
              <w:t xml:space="preserve"> </w:t>
            </w:r>
          </w:p>
        </w:tc>
      </w:tr>
      <w:tr w:rsidR="00E30AEB" w:rsidRPr="00A36F28" w14:paraId="7E2235AB" w14:textId="77777777" w:rsidTr="00B4523E">
        <w:tc>
          <w:tcPr>
            <w:tcW w:w="1668" w:type="dxa"/>
            <w:shd w:val="clear" w:color="auto" w:fill="auto"/>
          </w:tcPr>
          <w:p w14:paraId="6BA5A29A" w14:textId="4F9BCD2B" w:rsidR="00BA0FB9" w:rsidRPr="00A36F28" w:rsidRDefault="006B3B62" w:rsidP="006B3B62">
            <w:pPr>
              <w:jc w:val="center"/>
            </w:pPr>
            <w:r w:rsidRPr="00A36F28">
              <w:t>ENW</w:t>
            </w:r>
            <w:r w:rsidR="00BA0FB9" w:rsidRPr="00A36F28">
              <w:t>M.01</w:t>
            </w:r>
          </w:p>
        </w:tc>
        <w:tc>
          <w:tcPr>
            <w:tcW w:w="1162" w:type="dxa"/>
            <w:shd w:val="clear" w:color="auto" w:fill="auto"/>
          </w:tcPr>
          <w:p w14:paraId="38C62A64" w14:textId="01FA461E" w:rsidR="00BA0FB9" w:rsidRPr="00A36F28" w:rsidRDefault="00BA0FB9" w:rsidP="00517BC0">
            <w:pPr>
              <w:pStyle w:val="Default"/>
              <w:jc w:val="center"/>
              <w:rPr>
                <w:color w:val="auto"/>
                <w:sz w:val="20"/>
                <w:szCs w:val="20"/>
              </w:rPr>
            </w:pPr>
            <w:r w:rsidRPr="00A36F28">
              <w:rPr>
                <w:color w:val="auto"/>
                <w:sz w:val="20"/>
                <w:szCs w:val="20"/>
              </w:rPr>
              <w:t>GEN</w:t>
            </w:r>
          </w:p>
        </w:tc>
        <w:tc>
          <w:tcPr>
            <w:tcW w:w="10206" w:type="dxa"/>
          </w:tcPr>
          <w:p w14:paraId="6FEA115E" w14:textId="3EE8115D" w:rsidR="00F57354" w:rsidRPr="00A36F28" w:rsidRDefault="00F57354" w:rsidP="00F57354">
            <w:pPr>
              <w:pStyle w:val="Default"/>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The entity under assessment MUST ensure that policies and plans are developed, documented, and disseminated within the organization that address at the enterprise level: </w:t>
            </w:r>
          </w:p>
          <w:p w14:paraId="01A9392A" w14:textId="08AD7C50"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iCs/>
                <w:color w:val="auto"/>
                <w:sz w:val="22"/>
                <w:szCs w:val="22"/>
              </w:rPr>
              <w:t xml:space="preserve">  </w:t>
            </w:r>
            <w:r w:rsidRPr="00A36F28">
              <w:rPr>
                <w:rFonts w:asciiTheme="minorHAnsi" w:hAnsiTheme="minorHAnsi" w:cstheme="minorHAnsi"/>
                <w:iCs/>
                <w:color w:val="auto"/>
                <w:sz w:val="22"/>
                <w:szCs w:val="22"/>
              </w:rPr>
              <w:t xml:space="preserve">Risk assessment; </w:t>
            </w:r>
          </w:p>
          <w:p w14:paraId="5402B708" w14:textId="53D4EFA3"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Audit and accountability; </w:t>
            </w:r>
          </w:p>
          <w:p w14:paraId="07347F49" w14:textId="6793ACA1"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Security assessment; </w:t>
            </w:r>
          </w:p>
          <w:p w14:paraId="0403B624" w14:textId="79529116"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Disaster or contingency planning; </w:t>
            </w:r>
          </w:p>
          <w:p w14:paraId="1D6F3369" w14:textId="1D63713D"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Identification and authorization; </w:t>
            </w:r>
          </w:p>
          <w:p w14:paraId="4E13FCB0" w14:textId="023A0F63"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Systems and communication protection; </w:t>
            </w:r>
          </w:p>
          <w:p w14:paraId="6FD1D8F5" w14:textId="7970CDC9"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Incident response; </w:t>
            </w:r>
          </w:p>
          <w:p w14:paraId="607D13DB" w14:textId="088E7E1E"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System and information integrity; </w:t>
            </w:r>
          </w:p>
          <w:p w14:paraId="396FA548" w14:textId="58CEE720"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Information management and privacy protection; </w:t>
            </w:r>
          </w:p>
          <w:p w14:paraId="0B248424" w14:textId="543A5FFE"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System maintenance; </w:t>
            </w:r>
          </w:p>
          <w:p w14:paraId="12EE0969" w14:textId="5E706D91" w:rsidR="00F57354"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Technical access control (e.g. lockdown of operating systems, intrusion detection, password management, encryption, and network access management); and</w:t>
            </w:r>
          </w:p>
          <w:p w14:paraId="34D85708" w14:textId="31698439" w:rsidR="00A471DD" w:rsidRPr="00A36F28" w:rsidRDefault="00F57354" w:rsidP="00F57354">
            <w:pPr>
              <w:pStyle w:val="Default"/>
              <w:numPr>
                <w:ilvl w:val="0"/>
                <w:numId w:val="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  Physical access to technology assets.</w:t>
            </w:r>
          </w:p>
          <w:p w14:paraId="785BE8AA" w14:textId="77777777" w:rsidR="00F57354" w:rsidRPr="00A36F28" w:rsidRDefault="00F57354" w:rsidP="00F57354">
            <w:pPr>
              <w:pStyle w:val="Default"/>
              <w:pBdr>
                <w:bottom w:val="single" w:sz="6" w:space="1" w:color="auto"/>
              </w:pBdr>
              <w:rPr>
                <w:iCs/>
                <w:color w:val="auto"/>
                <w:sz w:val="22"/>
                <w:szCs w:val="22"/>
              </w:rPr>
            </w:pPr>
          </w:p>
          <w:p w14:paraId="78F9AC01" w14:textId="77777777" w:rsidR="00F57354" w:rsidRPr="00A36F28" w:rsidRDefault="00F57354" w:rsidP="00F57354">
            <w:pPr>
              <w:pStyle w:val="Default"/>
              <w:rPr>
                <w:iCs/>
                <w:color w:val="auto"/>
                <w:sz w:val="22"/>
                <w:szCs w:val="22"/>
              </w:rPr>
            </w:pPr>
          </w:p>
          <w:p w14:paraId="393DC3B0" w14:textId="77777777" w:rsidR="00A471DD" w:rsidRPr="00A36F28" w:rsidRDefault="00A471DD" w:rsidP="00EA1194">
            <w:pPr>
              <w:pStyle w:val="Default"/>
              <w:rPr>
                <w:iCs/>
                <w:color w:val="auto"/>
                <w:sz w:val="22"/>
                <w:szCs w:val="22"/>
              </w:rPr>
            </w:pPr>
          </w:p>
          <w:p w14:paraId="69132112" w14:textId="77777777" w:rsidR="00EA1194" w:rsidRPr="00A36F28" w:rsidRDefault="00EA1194" w:rsidP="00EA1194">
            <w:pPr>
              <w:pStyle w:val="Default"/>
              <w:rPr>
                <w:iCs/>
                <w:color w:val="auto"/>
                <w:sz w:val="22"/>
                <w:szCs w:val="22"/>
              </w:rPr>
            </w:pPr>
          </w:p>
          <w:p w14:paraId="4C5BF065" w14:textId="3CDA1BA8" w:rsidR="00765A80" w:rsidRPr="00A36F28" w:rsidRDefault="00765A80" w:rsidP="00EA1194">
            <w:pPr>
              <w:pStyle w:val="Default"/>
              <w:rPr>
                <w:iCs/>
                <w:color w:val="auto"/>
                <w:sz w:val="22"/>
                <w:szCs w:val="22"/>
              </w:rPr>
            </w:pPr>
          </w:p>
        </w:tc>
      </w:tr>
      <w:tr w:rsidR="00E30AEB" w:rsidRPr="00A36F28" w14:paraId="261892FF" w14:textId="77777777" w:rsidTr="00B4523E">
        <w:tc>
          <w:tcPr>
            <w:tcW w:w="1668" w:type="dxa"/>
            <w:shd w:val="clear" w:color="auto" w:fill="auto"/>
          </w:tcPr>
          <w:p w14:paraId="0171DF4E" w14:textId="5FE7DABF" w:rsidR="00BA0FB9" w:rsidRPr="00A36F28" w:rsidRDefault="00BA0FB9" w:rsidP="006B3B62">
            <w:pPr>
              <w:jc w:val="center"/>
            </w:pPr>
            <w:r w:rsidRPr="00A36F28">
              <w:t>E</w:t>
            </w:r>
            <w:r w:rsidR="006B3B62" w:rsidRPr="00A36F28">
              <w:t>N</w:t>
            </w:r>
            <w:r w:rsidRPr="00A36F28">
              <w:t>WM.02</w:t>
            </w:r>
          </w:p>
        </w:tc>
        <w:tc>
          <w:tcPr>
            <w:tcW w:w="1162" w:type="dxa"/>
            <w:shd w:val="clear" w:color="auto" w:fill="auto"/>
          </w:tcPr>
          <w:p w14:paraId="7FB60C74" w14:textId="4F97D5F6" w:rsidR="00EA1194" w:rsidRPr="00A36F28" w:rsidRDefault="00EA1194" w:rsidP="00517BC0">
            <w:pPr>
              <w:pStyle w:val="Default"/>
              <w:jc w:val="center"/>
              <w:rPr>
                <w:color w:val="auto"/>
                <w:sz w:val="20"/>
                <w:szCs w:val="20"/>
              </w:rPr>
            </w:pPr>
            <w:r w:rsidRPr="00A36F28">
              <w:rPr>
                <w:color w:val="auto"/>
                <w:sz w:val="20"/>
                <w:szCs w:val="20"/>
              </w:rPr>
              <w:t>GEN</w:t>
            </w:r>
          </w:p>
        </w:tc>
        <w:tc>
          <w:tcPr>
            <w:tcW w:w="10206" w:type="dxa"/>
            <w:tcBorders>
              <w:bottom w:val="single" w:sz="4" w:space="0" w:color="auto"/>
            </w:tcBorders>
          </w:tcPr>
          <w:p w14:paraId="10AEE7A3" w14:textId="77777777" w:rsidR="00F57354" w:rsidRPr="00A36F28" w:rsidRDefault="00F57354" w:rsidP="006D29A9">
            <w:pPr>
              <w:pStyle w:val="Default"/>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 xml:space="preserve">The entity under assessment MUST ensure that the formal operational policy and procedures, identified in ENWM.01, are reviewed and updated regularly on a fixed schedule appropriate to the context of the program/service being delivered. </w:t>
            </w:r>
            <w:r w:rsidRPr="00A36F28">
              <w:rPr>
                <w:rFonts w:asciiTheme="minorHAnsi" w:hAnsiTheme="minorHAnsi" w:cstheme="minorHAnsi"/>
                <w:iCs/>
                <w:color w:val="auto"/>
                <w:sz w:val="22"/>
                <w:szCs w:val="22"/>
              </w:rPr>
              <w:br/>
            </w:r>
            <w:r w:rsidRPr="00A36F28">
              <w:rPr>
                <w:rFonts w:asciiTheme="minorHAnsi" w:hAnsiTheme="minorHAnsi" w:cstheme="minorHAnsi"/>
                <w:iCs/>
                <w:color w:val="auto"/>
                <w:sz w:val="22"/>
                <w:szCs w:val="22"/>
              </w:rPr>
              <w:br/>
              <w:t>Policies/plans may also require update on an ad hoc basis based on operational events or extraordinary need.</w:t>
            </w:r>
          </w:p>
          <w:p w14:paraId="57DA1734" w14:textId="77777777" w:rsidR="00F57354" w:rsidRPr="00A36F28" w:rsidRDefault="00F57354" w:rsidP="00F57354">
            <w:pPr>
              <w:pStyle w:val="Default"/>
              <w:pBdr>
                <w:bottom w:val="single" w:sz="6" w:space="1" w:color="auto"/>
              </w:pBdr>
              <w:rPr>
                <w:iCs/>
                <w:color w:val="auto"/>
                <w:sz w:val="22"/>
                <w:szCs w:val="22"/>
              </w:rPr>
            </w:pPr>
          </w:p>
          <w:p w14:paraId="64B90041" w14:textId="77777777" w:rsidR="00F57354" w:rsidRPr="00A36F28" w:rsidRDefault="00F57354" w:rsidP="00F57354">
            <w:pPr>
              <w:pStyle w:val="Default"/>
              <w:rPr>
                <w:iCs/>
                <w:color w:val="auto"/>
                <w:sz w:val="22"/>
                <w:szCs w:val="22"/>
              </w:rPr>
            </w:pPr>
          </w:p>
          <w:p w14:paraId="43981FE5" w14:textId="77777777" w:rsidR="00F57354" w:rsidRPr="00A36F28" w:rsidRDefault="00F57354" w:rsidP="008C3F80">
            <w:pPr>
              <w:pStyle w:val="Default"/>
              <w:rPr>
                <w:color w:val="auto"/>
                <w:sz w:val="20"/>
                <w:szCs w:val="20"/>
              </w:rPr>
            </w:pPr>
          </w:p>
          <w:p w14:paraId="1DE8AB53" w14:textId="77777777" w:rsidR="00A471DD" w:rsidRPr="00A36F28" w:rsidRDefault="00A471DD" w:rsidP="008C3F80">
            <w:pPr>
              <w:pStyle w:val="Default"/>
              <w:rPr>
                <w:color w:val="auto"/>
                <w:sz w:val="20"/>
                <w:szCs w:val="20"/>
              </w:rPr>
            </w:pPr>
          </w:p>
          <w:p w14:paraId="08906252" w14:textId="6FD84732" w:rsidR="00765A80" w:rsidRPr="00A36F28" w:rsidRDefault="00765A80" w:rsidP="008C3F80">
            <w:pPr>
              <w:pStyle w:val="Default"/>
              <w:rPr>
                <w:color w:val="auto"/>
                <w:sz w:val="20"/>
                <w:szCs w:val="20"/>
              </w:rPr>
            </w:pPr>
          </w:p>
        </w:tc>
      </w:tr>
      <w:tr w:rsidR="00E30AEB" w:rsidRPr="00A36F28" w14:paraId="0B1BF297" w14:textId="77777777" w:rsidTr="00B4523E">
        <w:tc>
          <w:tcPr>
            <w:tcW w:w="1668" w:type="dxa"/>
            <w:shd w:val="clear" w:color="auto" w:fill="auto"/>
          </w:tcPr>
          <w:p w14:paraId="17CC1040" w14:textId="2A2BDC81" w:rsidR="00EA1194" w:rsidRPr="00A36F28" w:rsidRDefault="00EA1194" w:rsidP="006B3B62">
            <w:pPr>
              <w:jc w:val="center"/>
            </w:pPr>
            <w:r w:rsidRPr="00A36F28">
              <w:lastRenderedPageBreak/>
              <w:t>E</w:t>
            </w:r>
            <w:r w:rsidR="006B3B62" w:rsidRPr="00A36F28">
              <w:t>N</w:t>
            </w:r>
            <w:r w:rsidRPr="00A36F28">
              <w:t>WM.03</w:t>
            </w:r>
          </w:p>
        </w:tc>
        <w:tc>
          <w:tcPr>
            <w:tcW w:w="1162" w:type="dxa"/>
            <w:tcBorders>
              <w:right w:val="single" w:sz="4" w:space="0" w:color="auto"/>
            </w:tcBorders>
            <w:shd w:val="clear" w:color="auto" w:fill="auto"/>
          </w:tcPr>
          <w:p w14:paraId="2B439EA4" w14:textId="021DCE16"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Borders>
              <w:top w:val="single" w:sz="4" w:space="0" w:color="auto"/>
              <w:left w:val="single" w:sz="4" w:space="0" w:color="auto"/>
              <w:bottom w:val="single" w:sz="4" w:space="0" w:color="auto"/>
              <w:right w:val="single" w:sz="4" w:space="0" w:color="auto"/>
            </w:tcBorders>
          </w:tcPr>
          <w:p w14:paraId="5BE90E6A" w14:textId="77777777" w:rsidR="00F57354" w:rsidRPr="00A36F28" w:rsidRDefault="00F57354" w:rsidP="00F57354">
            <w:pPr>
              <w:pStyle w:val="Default"/>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The entity under assessment MUST have active procedures that reflect the operational policy requirements for:</w:t>
            </w:r>
          </w:p>
          <w:p w14:paraId="2920BD14" w14:textId="5AF806EC" w:rsidR="00F57354" w:rsidRPr="00A36F28" w:rsidRDefault="00F57354" w:rsidP="00F57354">
            <w:pPr>
              <w:pStyle w:val="Default"/>
              <w:numPr>
                <w:ilvl w:val="0"/>
                <w:numId w:val="15"/>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Provision of notice,</w:t>
            </w:r>
          </w:p>
          <w:p w14:paraId="3F948256" w14:textId="4A9CDF96" w:rsidR="00F57354" w:rsidRPr="00A36F28" w:rsidRDefault="00F57354" w:rsidP="00F57354">
            <w:pPr>
              <w:pStyle w:val="Default"/>
              <w:numPr>
                <w:ilvl w:val="0"/>
                <w:numId w:val="15"/>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Activity audit,</w:t>
            </w:r>
          </w:p>
          <w:p w14:paraId="151BC194" w14:textId="4035A2CC" w:rsidR="00F57354" w:rsidRPr="00A36F28" w:rsidRDefault="00F57354" w:rsidP="00F57354">
            <w:pPr>
              <w:pStyle w:val="Default"/>
              <w:numPr>
                <w:ilvl w:val="0"/>
                <w:numId w:val="15"/>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Information maintenance</w:t>
            </w:r>
          </w:p>
          <w:p w14:paraId="1D75319B" w14:textId="3901B5F3" w:rsidR="00F57354" w:rsidRPr="00A36F28" w:rsidRDefault="00F57354" w:rsidP="00F57354">
            <w:pPr>
              <w:pStyle w:val="Default"/>
              <w:numPr>
                <w:ilvl w:val="0"/>
                <w:numId w:val="15"/>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Information protection</w:t>
            </w:r>
          </w:p>
          <w:p w14:paraId="6F381C62" w14:textId="538B76E7" w:rsidR="00F57354" w:rsidRPr="00A36F28" w:rsidRDefault="00F57354" w:rsidP="00F57354">
            <w:pPr>
              <w:pStyle w:val="Default"/>
              <w:numPr>
                <w:ilvl w:val="0"/>
                <w:numId w:val="15"/>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Information archiving and destruction, and</w:t>
            </w:r>
          </w:p>
          <w:p w14:paraId="696FC587" w14:textId="15679D5C" w:rsidR="00F57354" w:rsidRPr="00A36F28" w:rsidRDefault="00F57354" w:rsidP="00F57354">
            <w:pPr>
              <w:pStyle w:val="Default"/>
              <w:numPr>
                <w:ilvl w:val="0"/>
                <w:numId w:val="15"/>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Provision of redress or dispute resolution.</w:t>
            </w:r>
          </w:p>
          <w:p w14:paraId="4987C6C5" w14:textId="77777777" w:rsidR="00F57354" w:rsidRPr="00A36F28" w:rsidRDefault="00F57354" w:rsidP="000964EF">
            <w:pPr>
              <w:pStyle w:val="Default"/>
              <w:pBdr>
                <w:bottom w:val="single" w:sz="6" w:space="1" w:color="auto"/>
              </w:pBdr>
              <w:rPr>
                <w:iCs/>
                <w:color w:val="auto"/>
                <w:sz w:val="22"/>
                <w:szCs w:val="22"/>
              </w:rPr>
            </w:pPr>
          </w:p>
          <w:p w14:paraId="054DF2DF" w14:textId="77777777" w:rsidR="000964EF" w:rsidRPr="00A36F28" w:rsidRDefault="000964EF" w:rsidP="000964EF">
            <w:pPr>
              <w:pStyle w:val="Default"/>
              <w:rPr>
                <w:iCs/>
                <w:color w:val="auto"/>
                <w:sz w:val="20"/>
                <w:szCs w:val="20"/>
              </w:rPr>
            </w:pPr>
          </w:p>
          <w:p w14:paraId="139E8740" w14:textId="77777777" w:rsidR="00C82D93" w:rsidRPr="00A36F28" w:rsidRDefault="00C82D93" w:rsidP="00C82D93">
            <w:pPr>
              <w:pStyle w:val="Default"/>
              <w:pBdr>
                <w:bottom w:val="single" w:sz="6" w:space="1" w:color="auto"/>
              </w:pBdr>
              <w:rPr>
                <w:color w:val="auto"/>
                <w:sz w:val="20"/>
                <w:szCs w:val="20"/>
              </w:rPr>
            </w:pPr>
          </w:p>
          <w:p w14:paraId="1C3AF3A0" w14:textId="77777777" w:rsidR="000964EF" w:rsidRPr="00A36F28" w:rsidRDefault="000964EF" w:rsidP="00C82D93">
            <w:pPr>
              <w:pStyle w:val="Default"/>
              <w:pBdr>
                <w:bottom w:val="single" w:sz="6" w:space="1" w:color="auto"/>
              </w:pBdr>
              <w:rPr>
                <w:color w:val="auto"/>
                <w:sz w:val="20"/>
                <w:szCs w:val="20"/>
              </w:rPr>
            </w:pPr>
          </w:p>
          <w:p w14:paraId="0A982DA6" w14:textId="3E83E2A7" w:rsidR="000964EF" w:rsidRPr="00A36F28" w:rsidRDefault="000964EF" w:rsidP="00C82D93">
            <w:pPr>
              <w:pStyle w:val="Default"/>
              <w:pBdr>
                <w:bottom w:val="single" w:sz="6" w:space="1" w:color="auto"/>
              </w:pBdr>
              <w:rPr>
                <w:color w:val="auto"/>
                <w:sz w:val="20"/>
                <w:szCs w:val="20"/>
              </w:rPr>
            </w:pPr>
          </w:p>
        </w:tc>
      </w:tr>
      <w:tr w:rsidR="00E30AEB" w:rsidRPr="00A36F28" w14:paraId="27276343" w14:textId="77777777" w:rsidTr="00B4523E">
        <w:tc>
          <w:tcPr>
            <w:tcW w:w="1668" w:type="dxa"/>
            <w:shd w:val="clear" w:color="auto" w:fill="auto"/>
          </w:tcPr>
          <w:p w14:paraId="4A364C4E" w14:textId="506B52C0" w:rsidR="00EA1194" w:rsidRPr="00A36F28" w:rsidRDefault="00EA1194" w:rsidP="006B3B62">
            <w:pPr>
              <w:jc w:val="center"/>
            </w:pPr>
            <w:r w:rsidRPr="00A36F28">
              <w:t>E</w:t>
            </w:r>
            <w:r w:rsidR="006B3B62" w:rsidRPr="00A36F28">
              <w:t>N</w:t>
            </w:r>
            <w:r w:rsidRPr="00A36F28">
              <w:t>WM.04</w:t>
            </w:r>
          </w:p>
        </w:tc>
        <w:tc>
          <w:tcPr>
            <w:tcW w:w="1162" w:type="dxa"/>
            <w:tcBorders>
              <w:right w:val="single" w:sz="4" w:space="0" w:color="auto"/>
            </w:tcBorders>
            <w:shd w:val="clear" w:color="auto" w:fill="auto"/>
          </w:tcPr>
          <w:p w14:paraId="727F2AF0" w14:textId="4C77E068"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Borders>
              <w:top w:val="single" w:sz="4" w:space="0" w:color="auto"/>
              <w:left w:val="single" w:sz="4" w:space="0" w:color="auto"/>
              <w:bottom w:val="single" w:sz="4" w:space="0" w:color="auto"/>
              <w:right w:val="single" w:sz="4" w:space="0" w:color="auto"/>
            </w:tcBorders>
          </w:tcPr>
          <w:p w14:paraId="0658AC51" w14:textId="6E4EC6D6" w:rsidR="006B3B62" w:rsidRPr="00A36F28" w:rsidRDefault="00B4523E" w:rsidP="00EA1194">
            <w:pPr>
              <w:pStyle w:val="Default"/>
              <w:pBdr>
                <w:bottom w:val="single" w:sz="6" w:space="1" w:color="auto"/>
              </w:pBdr>
              <w:rPr>
                <w:rFonts w:asciiTheme="minorHAnsi" w:eastAsiaTheme="minorHAnsi" w:hAnsiTheme="minorHAnsi" w:cstheme="minorHAnsi"/>
                <w:iCs/>
                <w:color w:val="auto"/>
                <w:sz w:val="22"/>
                <w:szCs w:val="22"/>
                <w:lang w:eastAsia="en-US"/>
              </w:rPr>
            </w:pPr>
            <w:r w:rsidRPr="00A36F28">
              <w:rPr>
                <w:rFonts w:asciiTheme="minorHAnsi" w:hAnsiTheme="minorHAnsi" w:cstheme="minorHAnsi"/>
                <w:iCs/>
                <w:color w:val="auto"/>
                <w:sz w:val="22"/>
                <w:szCs w:val="22"/>
              </w:rPr>
              <w:t>The entity under assessment MUST specify its governance (e.g., mandate, authority, operating procedures, agreements) as it relates to the identification of entities and to the relationships between entities.</w:t>
            </w:r>
          </w:p>
          <w:p w14:paraId="5B77814C" w14:textId="77777777" w:rsidR="00BE32C3" w:rsidRPr="00A36F28" w:rsidRDefault="00BE32C3" w:rsidP="00EA1194">
            <w:pPr>
              <w:pStyle w:val="Default"/>
              <w:rPr>
                <w:rFonts w:asciiTheme="minorHAnsi" w:eastAsiaTheme="minorHAnsi" w:hAnsiTheme="minorHAnsi" w:cstheme="minorHAnsi"/>
                <w:iCs/>
                <w:color w:val="auto"/>
                <w:sz w:val="22"/>
                <w:szCs w:val="22"/>
                <w:lang w:eastAsia="en-US"/>
              </w:rPr>
            </w:pPr>
          </w:p>
          <w:p w14:paraId="408849A8" w14:textId="2E686539" w:rsidR="006A7FCB" w:rsidRPr="00A36F28" w:rsidRDefault="006A7FCB" w:rsidP="00EA1194">
            <w:pPr>
              <w:pStyle w:val="Default"/>
              <w:rPr>
                <w:rFonts w:asciiTheme="minorHAnsi" w:eastAsiaTheme="minorHAnsi" w:hAnsiTheme="minorHAnsi" w:cstheme="minorHAnsi"/>
                <w:iCs/>
                <w:color w:val="auto"/>
                <w:sz w:val="22"/>
                <w:szCs w:val="22"/>
                <w:lang w:eastAsia="en-US"/>
              </w:rPr>
            </w:pPr>
          </w:p>
          <w:p w14:paraId="75FFF8C5" w14:textId="5F5A3D66" w:rsidR="000964EF" w:rsidRPr="00A36F28" w:rsidRDefault="000964EF" w:rsidP="00EA1194">
            <w:pPr>
              <w:pStyle w:val="Default"/>
              <w:rPr>
                <w:rFonts w:asciiTheme="minorHAnsi" w:eastAsiaTheme="minorHAnsi" w:hAnsiTheme="minorHAnsi" w:cstheme="minorHAnsi"/>
                <w:iCs/>
                <w:color w:val="auto"/>
                <w:sz w:val="22"/>
                <w:szCs w:val="22"/>
                <w:lang w:eastAsia="en-US"/>
              </w:rPr>
            </w:pPr>
          </w:p>
          <w:p w14:paraId="201A2C6F" w14:textId="0D6A4290" w:rsidR="003B1FD2" w:rsidRPr="00A36F28" w:rsidRDefault="003B1FD2" w:rsidP="00EA1194">
            <w:pPr>
              <w:pStyle w:val="Default"/>
              <w:rPr>
                <w:rFonts w:asciiTheme="minorHAnsi" w:eastAsiaTheme="minorHAnsi" w:hAnsiTheme="minorHAnsi" w:cstheme="minorHAnsi"/>
                <w:iCs/>
                <w:color w:val="auto"/>
                <w:sz w:val="22"/>
                <w:szCs w:val="22"/>
                <w:lang w:eastAsia="en-US"/>
              </w:rPr>
            </w:pPr>
          </w:p>
        </w:tc>
      </w:tr>
      <w:tr w:rsidR="00E30AEB" w:rsidRPr="00A36F28" w14:paraId="5A45FBD9" w14:textId="77777777" w:rsidTr="00B4523E">
        <w:tc>
          <w:tcPr>
            <w:tcW w:w="1668" w:type="dxa"/>
            <w:shd w:val="clear" w:color="auto" w:fill="auto"/>
          </w:tcPr>
          <w:p w14:paraId="2D17B903" w14:textId="1B06CCB4" w:rsidR="00EA1194" w:rsidRPr="00A36F28" w:rsidRDefault="00EA1194" w:rsidP="006B3B62">
            <w:pPr>
              <w:jc w:val="center"/>
            </w:pPr>
            <w:r w:rsidRPr="00A36F28">
              <w:t>E</w:t>
            </w:r>
            <w:r w:rsidR="006B3B62" w:rsidRPr="00A36F28">
              <w:t>N</w:t>
            </w:r>
            <w:r w:rsidRPr="00A36F28">
              <w:t>WM.05</w:t>
            </w:r>
          </w:p>
        </w:tc>
        <w:tc>
          <w:tcPr>
            <w:tcW w:w="1162" w:type="dxa"/>
            <w:shd w:val="clear" w:color="auto" w:fill="auto"/>
          </w:tcPr>
          <w:p w14:paraId="6D55C0F2" w14:textId="2DE8DB63"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Borders>
              <w:top w:val="single" w:sz="4" w:space="0" w:color="auto"/>
            </w:tcBorders>
          </w:tcPr>
          <w:p w14:paraId="73D7F1DB" w14:textId="1040E3A3" w:rsidR="006B3B62" w:rsidRPr="00A36F28" w:rsidRDefault="006B3B62" w:rsidP="006B3B62">
            <w:pPr>
              <w:rPr>
                <w:rFonts w:eastAsia="Calibri" w:cstheme="minorHAnsi"/>
                <w:iCs/>
                <w:lang w:eastAsia="en-CA"/>
              </w:rPr>
            </w:pPr>
            <w:r w:rsidRPr="00A36F28">
              <w:rPr>
                <w:rFonts w:eastAsia="Calibri" w:cstheme="minorHAnsi"/>
                <w:iCs/>
                <w:lang w:eastAsia="en-CA"/>
              </w:rPr>
              <w:t>The entity under assessment MUST provide a description of the program or service, including:</w:t>
            </w:r>
          </w:p>
          <w:p w14:paraId="2469A601" w14:textId="77777777" w:rsidR="006B3B62" w:rsidRPr="00A36F28" w:rsidRDefault="006B3B62" w:rsidP="006B3B62">
            <w:pPr>
              <w:rPr>
                <w:rFonts w:eastAsia="Calibri" w:cstheme="minorHAnsi"/>
                <w:iCs/>
                <w:lang w:eastAsia="en-CA"/>
              </w:rPr>
            </w:pPr>
          </w:p>
          <w:p w14:paraId="165E1EA2" w14:textId="77777777" w:rsidR="006B3B62" w:rsidRPr="00A36F28" w:rsidRDefault="006B3B62" w:rsidP="00C71D40">
            <w:pPr>
              <w:pStyle w:val="Default"/>
              <w:numPr>
                <w:ilvl w:val="0"/>
                <w:numId w:val="1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The type and nature of the program or service;</w:t>
            </w:r>
          </w:p>
          <w:p w14:paraId="7912EA49" w14:textId="77777777" w:rsidR="006B3B62" w:rsidRPr="00A36F28" w:rsidRDefault="006B3B62" w:rsidP="00C71D40">
            <w:pPr>
              <w:pStyle w:val="Default"/>
              <w:numPr>
                <w:ilvl w:val="0"/>
                <w:numId w:val="17"/>
              </w:numP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The intended clients of the program or service; AND</w:t>
            </w:r>
          </w:p>
          <w:p w14:paraId="19050CCF" w14:textId="5F91D7DC" w:rsidR="006B3B62" w:rsidRPr="00A36F28" w:rsidRDefault="006B3B62" w:rsidP="00C71D40">
            <w:pPr>
              <w:pStyle w:val="Default"/>
              <w:numPr>
                <w:ilvl w:val="0"/>
                <w:numId w:val="17"/>
              </w:numPr>
              <w:rPr>
                <w:rFonts w:asciiTheme="minorHAnsi" w:hAnsiTheme="minorHAnsi" w:cstheme="minorHAnsi"/>
                <w:iCs/>
                <w:color w:val="auto"/>
              </w:rPr>
            </w:pPr>
            <w:r w:rsidRPr="00A36F28">
              <w:rPr>
                <w:rFonts w:asciiTheme="minorHAnsi" w:hAnsiTheme="minorHAnsi" w:cstheme="minorHAnsi"/>
                <w:iCs/>
                <w:color w:val="auto"/>
                <w:sz w:val="22"/>
                <w:szCs w:val="22"/>
              </w:rPr>
              <w:t>The approximate size, characteristics, and composition of the client population.</w:t>
            </w:r>
          </w:p>
          <w:p w14:paraId="114F0043" w14:textId="77777777" w:rsidR="006B3B62" w:rsidRPr="00A36F28" w:rsidRDefault="006B3B62" w:rsidP="000964EF">
            <w:pPr>
              <w:pStyle w:val="Default"/>
              <w:pBdr>
                <w:bottom w:val="single" w:sz="6" w:space="1" w:color="auto"/>
              </w:pBdr>
              <w:rPr>
                <w:iCs/>
                <w:color w:val="auto"/>
                <w:sz w:val="22"/>
                <w:szCs w:val="22"/>
              </w:rPr>
            </w:pPr>
          </w:p>
          <w:p w14:paraId="29C7794E" w14:textId="77777777" w:rsidR="000964EF" w:rsidRPr="00A36F28" w:rsidRDefault="000964EF" w:rsidP="000964EF">
            <w:pPr>
              <w:pStyle w:val="Default"/>
              <w:rPr>
                <w:iCs/>
                <w:color w:val="auto"/>
                <w:sz w:val="20"/>
                <w:szCs w:val="20"/>
              </w:rPr>
            </w:pPr>
          </w:p>
          <w:p w14:paraId="37452CA6" w14:textId="658BA7A0" w:rsidR="005E2DD8" w:rsidRPr="00A36F28" w:rsidRDefault="005E2DD8" w:rsidP="00EA1194">
            <w:pPr>
              <w:pStyle w:val="Default"/>
              <w:rPr>
                <w:rFonts w:asciiTheme="minorHAnsi" w:hAnsiTheme="minorHAnsi" w:cstheme="minorHAnsi"/>
                <w:color w:val="auto"/>
                <w:sz w:val="22"/>
                <w:szCs w:val="22"/>
              </w:rPr>
            </w:pPr>
          </w:p>
          <w:p w14:paraId="613299BE" w14:textId="4068DD85" w:rsidR="006B3B62" w:rsidRPr="00A36F28" w:rsidRDefault="006B3B62" w:rsidP="00EA1194">
            <w:pPr>
              <w:pStyle w:val="Default"/>
              <w:rPr>
                <w:rFonts w:asciiTheme="minorHAnsi" w:hAnsiTheme="minorHAnsi" w:cstheme="minorHAnsi"/>
                <w:color w:val="auto"/>
                <w:sz w:val="22"/>
                <w:szCs w:val="22"/>
              </w:rPr>
            </w:pPr>
          </w:p>
          <w:p w14:paraId="0221805C" w14:textId="6B122742" w:rsidR="00616D92" w:rsidRPr="00A36F28" w:rsidRDefault="00616D92" w:rsidP="00EA1194">
            <w:pPr>
              <w:pStyle w:val="Default"/>
              <w:rPr>
                <w:rFonts w:asciiTheme="minorHAnsi" w:hAnsiTheme="minorHAnsi" w:cstheme="minorHAnsi"/>
                <w:iCs/>
                <w:color w:val="auto"/>
                <w:sz w:val="22"/>
                <w:szCs w:val="22"/>
              </w:rPr>
            </w:pPr>
          </w:p>
        </w:tc>
      </w:tr>
      <w:tr w:rsidR="00E30AEB" w:rsidRPr="00A36F28" w14:paraId="55F6F18D" w14:textId="77777777" w:rsidTr="00B4523E">
        <w:tc>
          <w:tcPr>
            <w:tcW w:w="1668" w:type="dxa"/>
            <w:shd w:val="clear" w:color="auto" w:fill="auto"/>
          </w:tcPr>
          <w:p w14:paraId="49DB970A" w14:textId="1F2E08B3" w:rsidR="00EA1194" w:rsidRPr="00A36F28" w:rsidRDefault="00EA1194" w:rsidP="006B3B62">
            <w:pPr>
              <w:jc w:val="center"/>
            </w:pPr>
            <w:r w:rsidRPr="00A36F28">
              <w:t>E</w:t>
            </w:r>
            <w:r w:rsidR="006B3B62" w:rsidRPr="00A36F28">
              <w:t>N</w:t>
            </w:r>
            <w:r w:rsidRPr="00A36F28">
              <w:t>WM.06</w:t>
            </w:r>
          </w:p>
        </w:tc>
        <w:tc>
          <w:tcPr>
            <w:tcW w:w="1162" w:type="dxa"/>
            <w:shd w:val="clear" w:color="auto" w:fill="auto"/>
          </w:tcPr>
          <w:p w14:paraId="5F7B8B85" w14:textId="59353B22"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4939DC5E" w14:textId="77777777" w:rsidR="006B3B62" w:rsidRPr="00A36F28" w:rsidRDefault="006B3B62" w:rsidP="006B3B62">
            <w:pPr>
              <w:rPr>
                <w:rFonts w:eastAsia="Calibri" w:cstheme="minorHAnsi"/>
                <w:iCs/>
                <w:lang w:eastAsia="en-CA"/>
              </w:rPr>
            </w:pPr>
            <w:r w:rsidRPr="00A36F28">
              <w:rPr>
                <w:rFonts w:eastAsia="Calibri" w:cstheme="minorHAnsi"/>
                <w:iCs/>
                <w:lang w:eastAsia="en-CA"/>
              </w:rPr>
              <w:t>The entity under assessment MUST ensure that personal information, organizational information, and relationship information are collected and managed under relevant law, regulation, and policy.</w:t>
            </w:r>
          </w:p>
          <w:p w14:paraId="04C311AC" w14:textId="77777777" w:rsidR="006B3B62" w:rsidRPr="00A36F28" w:rsidRDefault="006B3B62" w:rsidP="00616D92">
            <w:pPr>
              <w:pStyle w:val="Default"/>
              <w:pBdr>
                <w:bottom w:val="single" w:sz="6" w:space="1" w:color="auto"/>
              </w:pBdr>
              <w:rPr>
                <w:rFonts w:asciiTheme="minorHAnsi" w:hAnsiTheme="minorHAnsi" w:cstheme="minorHAnsi"/>
                <w:iCs/>
                <w:color w:val="auto"/>
                <w:sz w:val="22"/>
                <w:szCs w:val="22"/>
              </w:rPr>
            </w:pPr>
          </w:p>
          <w:p w14:paraId="36CDB70C" w14:textId="4732328B" w:rsidR="005E2DD8" w:rsidRPr="00A36F28" w:rsidRDefault="005E2DD8" w:rsidP="00616D92">
            <w:pPr>
              <w:pStyle w:val="Default"/>
              <w:rPr>
                <w:rFonts w:asciiTheme="minorHAnsi" w:hAnsiTheme="minorHAnsi" w:cstheme="minorHAnsi"/>
                <w:iCs/>
                <w:color w:val="auto"/>
                <w:sz w:val="22"/>
                <w:szCs w:val="22"/>
              </w:rPr>
            </w:pPr>
          </w:p>
          <w:p w14:paraId="57A6EDBD" w14:textId="1480EB2B" w:rsidR="0063305C" w:rsidRPr="00A36F28" w:rsidRDefault="0063305C" w:rsidP="00616D92">
            <w:pPr>
              <w:pStyle w:val="Default"/>
              <w:rPr>
                <w:rFonts w:asciiTheme="minorHAnsi" w:hAnsiTheme="minorHAnsi" w:cstheme="minorHAnsi"/>
                <w:iCs/>
                <w:color w:val="auto"/>
                <w:sz w:val="22"/>
                <w:szCs w:val="22"/>
              </w:rPr>
            </w:pPr>
          </w:p>
          <w:p w14:paraId="30CA8991" w14:textId="4717A102" w:rsidR="006D29A9" w:rsidRPr="00A36F28" w:rsidRDefault="006D29A9" w:rsidP="00616D92">
            <w:pPr>
              <w:pStyle w:val="Default"/>
              <w:rPr>
                <w:rFonts w:asciiTheme="minorHAnsi" w:hAnsiTheme="minorHAnsi" w:cstheme="minorHAnsi"/>
                <w:iCs/>
                <w:color w:val="auto"/>
                <w:sz w:val="22"/>
                <w:szCs w:val="22"/>
              </w:rPr>
            </w:pPr>
          </w:p>
          <w:p w14:paraId="083E37FF" w14:textId="5B18C8B9" w:rsidR="00616D92" w:rsidRPr="00A36F28" w:rsidRDefault="00616D92" w:rsidP="00616D92">
            <w:pPr>
              <w:pStyle w:val="Default"/>
              <w:rPr>
                <w:rFonts w:asciiTheme="minorHAnsi" w:hAnsiTheme="minorHAnsi" w:cstheme="minorHAnsi"/>
                <w:iCs/>
                <w:color w:val="auto"/>
                <w:sz w:val="22"/>
                <w:szCs w:val="22"/>
              </w:rPr>
            </w:pPr>
          </w:p>
        </w:tc>
      </w:tr>
      <w:tr w:rsidR="00E30AEB" w:rsidRPr="00A36F28" w14:paraId="3D615EE7" w14:textId="77777777" w:rsidTr="00B4523E">
        <w:tc>
          <w:tcPr>
            <w:tcW w:w="1668" w:type="dxa"/>
            <w:shd w:val="clear" w:color="auto" w:fill="auto"/>
          </w:tcPr>
          <w:p w14:paraId="7D9D85BC" w14:textId="1D9A227D" w:rsidR="00EA1194" w:rsidRPr="00A36F28" w:rsidRDefault="00EA1194" w:rsidP="00517BC0">
            <w:pPr>
              <w:jc w:val="center"/>
            </w:pPr>
            <w:r w:rsidRPr="00A36F28">
              <w:lastRenderedPageBreak/>
              <w:t>E</w:t>
            </w:r>
            <w:r w:rsidR="006B3B62" w:rsidRPr="00A36F28">
              <w:t>NWM</w:t>
            </w:r>
            <w:r w:rsidRPr="00A36F28">
              <w:t>.07</w:t>
            </w:r>
          </w:p>
        </w:tc>
        <w:tc>
          <w:tcPr>
            <w:tcW w:w="1162" w:type="dxa"/>
            <w:shd w:val="clear" w:color="auto" w:fill="auto"/>
          </w:tcPr>
          <w:p w14:paraId="47D18CD7" w14:textId="6A2A5CD8"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66F35A58" w14:textId="77777777" w:rsidR="006B3B62" w:rsidRPr="00A36F28" w:rsidRDefault="006B3B62" w:rsidP="006B3B62">
            <w:pPr>
              <w:rPr>
                <w:rFonts w:eastAsia="Calibri" w:cstheme="minorHAnsi"/>
                <w:iCs/>
                <w:lang w:eastAsia="en-CA"/>
              </w:rPr>
            </w:pPr>
            <w:r w:rsidRPr="00A36F28">
              <w:rPr>
                <w:rFonts w:eastAsia="Calibri" w:cstheme="minorHAnsi"/>
                <w:iCs/>
                <w:lang w:eastAsia="en-CA"/>
              </w:rPr>
              <w:t>The entity under assessment MUST identify the authorized operational roles, access management processes, and modification processes pertaining to the collection and management of information.</w:t>
            </w:r>
          </w:p>
          <w:p w14:paraId="597DD619" w14:textId="77777777" w:rsidR="006B3B62" w:rsidRPr="00A36F28" w:rsidRDefault="006B3B62" w:rsidP="00EA1194">
            <w:pPr>
              <w:pStyle w:val="Default"/>
              <w:pBdr>
                <w:bottom w:val="single" w:sz="6" w:space="1" w:color="auto"/>
              </w:pBdr>
              <w:rPr>
                <w:rFonts w:asciiTheme="minorHAnsi" w:hAnsiTheme="minorHAnsi" w:cstheme="minorHAnsi"/>
                <w:iCs/>
                <w:color w:val="auto"/>
                <w:sz w:val="22"/>
                <w:szCs w:val="22"/>
              </w:rPr>
            </w:pPr>
          </w:p>
          <w:p w14:paraId="7352C01C" w14:textId="77777777" w:rsidR="005E2DD8" w:rsidRPr="00A36F28" w:rsidRDefault="005E2DD8" w:rsidP="00EA1194">
            <w:pPr>
              <w:pStyle w:val="Default"/>
              <w:rPr>
                <w:rFonts w:asciiTheme="minorHAnsi" w:hAnsiTheme="minorHAnsi" w:cstheme="minorHAnsi"/>
                <w:iCs/>
                <w:color w:val="auto"/>
                <w:sz w:val="22"/>
                <w:szCs w:val="22"/>
              </w:rPr>
            </w:pPr>
          </w:p>
          <w:p w14:paraId="24369B53" w14:textId="49537E9C" w:rsidR="00A24478" w:rsidRPr="00A36F28" w:rsidRDefault="00A24478" w:rsidP="00EA1194">
            <w:pPr>
              <w:pStyle w:val="Default"/>
              <w:rPr>
                <w:rFonts w:asciiTheme="minorHAnsi" w:hAnsiTheme="minorHAnsi" w:cstheme="minorHAnsi"/>
                <w:iCs/>
                <w:color w:val="auto"/>
                <w:sz w:val="22"/>
                <w:szCs w:val="22"/>
              </w:rPr>
            </w:pPr>
          </w:p>
          <w:p w14:paraId="232D0888" w14:textId="1733B1D0" w:rsidR="006D29A9" w:rsidRPr="00A36F28" w:rsidRDefault="006D29A9" w:rsidP="00EA1194">
            <w:pPr>
              <w:pStyle w:val="Default"/>
              <w:rPr>
                <w:rFonts w:asciiTheme="minorHAnsi" w:hAnsiTheme="minorHAnsi" w:cstheme="minorHAnsi"/>
                <w:iCs/>
                <w:color w:val="auto"/>
                <w:sz w:val="22"/>
                <w:szCs w:val="22"/>
              </w:rPr>
            </w:pPr>
          </w:p>
          <w:p w14:paraId="1F20837F" w14:textId="1860CD76" w:rsidR="003B1FD2" w:rsidRPr="00A36F28" w:rsidRDefault="003B1FD2" w:rsidP="00EA1194">
            <w:pPr>
              <w:pStyle w:val="Default"/>
              <w:rPr>
                <w:rFonts w:asciiTheme="minorHAnsi" w:hAnsiTheme="minorHAnsi" w:cstheme="minorHAnsi"/>
                <w:iCs/>
                <w:color w:val="auto"/>
                <w:sz w:val="22"/>
                <w:szCs w:val="22"/>
              </w:rPr>
            </w:pPr>
          </w:p>
        </w:tc>
      </w:tr>
      <w:tr w:rsidR="00E30AEB" w:rsidRPr="00A36F28" w14:paraId="21E8E1EC" w14:textId="77777777" w:rsidTr="00B4523E">
        <w:tc>
          <w:tcPr>
            <w:tcW w:w="1668" w:type="dxa"/>
            <w:shd w:val="clear" w:color="auto" w:fill="auto"/>
          </w:tcPr>
          <w:p w14:paraId="5B828D7F" w14:textId="625903CA" w:rsidR="00EA1194" w:rsidRPr="00A36F28" w:rsidRDefault="00EA1194" w:rsidP="00173BAE">
            <w:pPr>
              <w:jc w:val="center"/>
            </w:pPr>
            <w:r w:rsidRPr="00A36F28">
              <w:t>E</w:t>
            </w:r>
            <w:r w:rsidR="00173BAE" w:rsidRPr="00A36F28">
              <w:t>N</w:t>
            </w:r>
            <w:r w:rsidRPr="00A36F28">
              <w:t>WM.08</w:t>
            </w:r>
          </w:p>
        </w:tc>
        <w:tc>
          <w:tcPr>
            <w:tcW w:w="1162" w:type="dxa"/>
            <w:shd w:val="clear" w:color="auto" w:fill="auto"/>
          </w:tcPr>
          <w:p w14:paraId="525C04B8" w14:textId="040F2DA8"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351066A1" w14:textId="138CBBC0" w:rsidR="00173BAE" w:rsidRPr="00A36F28" w:rsidRDefault="00173BAE" w:rsidP="00173BAE">
            <w:pPr>
              <w:rPr>
                <w:rFonts w:eastAsia="Calibri" w:cstheme="minorHAnsi"/>
                <w:iCs/>
                <w:lang w:eastAsia="en-CA"/>
              </w:rPr>
            </w:pPr>
            <w:r w:rsidRPr="00A36F28">
              <w:rPr>
                <w:rFonts w:eastAsia="Calibri" w:cstheme="minorHAnsi"/>
                <w:iCs/>
                <w:lang w:eastAsia="en-CA"/>
              </w:rPr>
              <w:t>The entity under assessment MUST have quality assurance processes (e.g., monitoring, measurement) in place to ensure consistent execution of operational tasks.</w:t>
            </w:r>
            <w:r w:rsidR="00765A80" w:rsidRPr="00A36F28">
              <w:rPr>
                <w:rFonts w:eastAsia="Calibri" w:cstheme="minorHAnsi"/>
                <w:iCs/>
                <w:lang w:eastAsia="en-CA"/>
              </w:rPr>
              <w:t xml:space="preserve"> </w:t>
            </w:r>
            <w:r w:rsidRPr="00A36F28">
              <w:rPr>
                <w:rFonts w:eastAsia="Calibri" w:cstheme="minorHAnsi"/>
                <w:iCs/>
                <w:lang w:eastAsia="en-CA"/>
              </w:rPr>
              <w:t>Specifically, this pertains to operational activities such as:</w:t>
            </w:r>
          </w:p>
          <w:p w14:paraId="7B7F5509" w14:textId="530F4243" w:rsidR="00173BAE" w:rsidRPr="00A36F28" w:rsidRDefault="00173BAE" w:rsidP="00173BAE">
            <w:pPr>
              <w:pStyle w:val="Default"/>
              <w:numPr>
                <w:ilvl w:val="0"/>
                <w:numId w:val="8"/>
              </w:numPr>
              <w:rPr>
                <w:rFonts w:asciiTheme="minorHAnsi" w:hAnsiTheme="minorHAnsi" w:cstheme="minorHAnsi"/>
                <w:iCs/>
                <w:color w:val="auto"/>
              </w:rPr>
            </w:pPr>
            <w:r w:rsidRPr="00A36F28">
              <w:rPr>
                <w:rFonts w:asciiTheme="minorHAnsi" w:hAnsiTheme="minorHAnsi" w:cstheme="minorHAnsi"/>
                <w:iCs/>
                <w:color w:val="auto"/>
                <w:sz w:val="22"/>
                <w:szCs w:val="22"/>
              </w:rPr>
              <w:t xml:space="preserve">Front counter activities; </w:t>
            </w:r>
          </w:p>
          <w:p w14:paraId="3DC64829" w14:textId="1BFA7A67" w:rsidR="00173BAE" w:rsidRPr="00A36F28" w:rsidRDefault="00173BAE" w:rsidP="00173BAE">
            <w:pPr>
              <w:pStyle w:val="Default"/>
              <w:numPr>
                <w:ilvl w:val="0"/>
                <w:numId w:val="8"/>
              </w:numPr>
              <w:rPr>
                <w:rFonts w:asciiTheme="minorHAnsi" w:hAnsiTheme="minorHAnsi" w:cstheme="minorHAnsi"/>
                <w:iCs/>
                <w:color w:val="auto"/>
              </w:rPr>
            </w:pPr>
            <w:r w:rsidRPr="00A36F28">
              <w:rPr>
                <w:rFonts w:asciiTheme="minorHAnsi" w:hAnsiTheme="minorHAnsi" w:cstheme="minorHAnsi"/>
                <w:iCs/>
                <w:color w:val="auto"/>
                <w:sz w:val="22"/>
                <w:szCs w:val="22"/>
              </w:rPr>
              <w:t xml:space="preserve">Back office activities such as information processing and adjudication; and, </w:t>
            </w:r>
          </w:p>
          <w:p w14:paraId="0BE68C2E" w14:textId="37BC09EE" w:rsidR="00173BAE" w:rsidRPr="00A36F28" w:rsidRDefault="00173BAE" w:rsidP="00173BAE">
            <w:pPr>
              <w:pStyle w:val="Default"/>
              <w:numPr>
                <w:ilvl w:val="0"/>
                <w:numId w:val="8"/>
              </w:numPr>
              <w:rPr>
                <w:rFonts w:asciiTheme="minorHAnsi" w:hAnsiTheme="minorHAnsi" w:cstheme="minorHAnsi"/>
                <w:iCs/>
                <w:color w:val="auto"/>
              </w:rPr>
            </w:pPr>
            <w:r w:rsidRPr="00A36F28">
              <w:rPr>
                <w:rFonts w:asciiTheme="minorHAnsi" w:hAnsiTheme="minorHAnsi" w:cstheme="minorHAnsi"/>
                <w:iCs/>
                <w:color w:val="auto"/>
                <w:sz w:val="22"/>
                <w:szCs w:val="22"/>
              </w:rPr>
              <w:t>Information maintenance and modification activities.</w:t>
            </w:r>
          </w:p>
          <w:p w14:paraId="3D83551C" w14:textId="77777777" w:rsidR="000964EF" w:rsidRPr="00A36F28" w:rsidRDefault="000964EF" w:rsidP="000964EF">
            <w:pPr>
              <w:pStyle w:val="Default"/>
              <w:pBdr>
                <w:bottom w:val="single" w:sz="6" w:space="1" w:color="auto"/>
              </w:pBdr>
              <w:rPr>
                <w:iCs/>
                <w:color w:val="auto"/>
                <w:sz w:val="22"/>
                <w:szCs w:val="22"/>
              </w:rPr>
            </w:pPr>
          </w:p>
          <w:p w14:paraId="7264DBB3" w14:textId="77777777" w:rsidR="000964EF" w:rsidRPr="00A36F28" w:rsidRDefault="000964EF" w:rsidP="000964EF">
            <w:pPr>
              <w:pStyle w:val="Default"/>
              <w:rPr>
                <w:iCs/>
                <w:color w:val="auto"/>
                <w:sz w:val="20"/>
                <w:szCs w:val="20"/>
              </w:rPr>
            </w:pPr>
          </w:p>
          <w:p w14:paraId="5EEDECD3" w14:textId="77777777" w:rsidR="006D29A9" w:rsidRPr="00A36F28" w:rsidRDefault="006D29A9" w:rsidP="00EA1194">
            <w:pPr>
              <w:pStyle w:val="Default"/>
              <w:rPr>
                <w:rFonts w:asciiTheme="minorHAnsi" w:hAnsiTheme="minorHAnsi" w:cstheme="minorHAnsi"/>
                <w:iCs/>
                <w:color w:val="auto"/>
                <w:sz w:val="22"/>
                <w:szCs w:val="22"/>
              </w:rPr>
            </w:pPr>
          </w:p>
          <w:p w14:paraId="4A871C0E" w14:textId="77777777" w:rsidR="0063305C" w:rsidRPr="00A36F28" w:rsidRDefault="0063305C" w:rsidP="00EA1194">
            <w:pPr>
              <w:pStyle w:val="Default"/>
              <w:rPr>
                <w:rFonts w:asciiTheme="minorHAnsi" w:hAnsiTheme="minorHAnsi" w:cstheme="minorHAnsi"/>
                <w:iCs/>
                <w:color w:val="auto"/>
                <w:sz w:val="22"/>
                <w:szCs w:val="22"/>
              </w:rPr>
            </w:pPr>
          </w:p>
          <w:p w14:paraId="3A7B2936" w14:textId="1F82CB69" w:rsidR="002C103E" w:rsidRPr="00A36F28" w:rsidRDefault="002C103E" w:rsidP="00EA1194">
            <w:pPr>
              <w:pStyle w:val="Default"/>
              <w:rPr>
                <w:rFonts w:asciiTheme="minorHAnsi" w:hAnsiTheme="minorHAnsi" w:cstheme="minorHAnsi"/>
                <w:iCs/>
                <w:color w:val="auto"/>
                <w:sz w:val="22"/>
                <w:szCs w:val="22"/>
              </w:rPr>
            </w:pPr>
          </w:p>
        </w:tc>
      </w:tr>
      <w:tr w:rsidR="00E30AEB" w:rsidRPr="00A36F28" w14:paraId="1E4FC310" w14:textId="77777777" w:rsidTr="00B4523E">
        <w:tc>
          <w:tcPr>
            <w:tcW w:w="1668" w:type="dxa"/>
            <w:shd w:val="clear" w:color="auto" w:fill="auto"/>
          </w:tcPr>
          <w:p w14:paraId="7E2FE463" w14:textId="48485D6F" w:rsidR="00EA1194" w:rsidRPr="00A36F28" w:rsidRDefault="00EA1194" w:rsidP="00173BAE">
            <w:pPr>
              <w:jc w:val="center"/>
            </w:pPr>
            <w:r w:rsidRPr="00A36F28">
              <w:t>E</w:t>
            </w:r>
            <w:r w:rsidR="00173BAE" w:rsidRPr="00A36F28">
              <w:t>N</w:t>
            </w:r>
            <w:r w:rsidRPr="00A36F28">
              <w:t>WM.09</w:t>
            </w:r>
          </w:p>
        </w:tc>
        <w:tc>
          <w:tcPr>
            <w:tcW w:w="1162" w:type="dxa"/>
            <w:shd w:val="clear" w:color="auto" w:fill="auto"/>
          </w:tcPr>
          <w:p w14:paraId="5B9CC52C" w14:textId="55573B9B"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783EEE6C" w14:textId="77777777" w:rsidR="00173BAE" w:rsidRPr="00A36F28" w:rsidRDefault="00173BAE" w:rsidP="00173BAE">
            <w:pPr>
              <w:rPr>
                <w:rFonts w:eastAsia="Calibri" w:cstheme="minorHAnsi"/>
                <w:iCs/>
                <w:lang w:eastAsia="en-CA"/>
              </w:rPr>
            </w:pPr>
            <w:r w:rsidRPr="00A36F28">
              <w:rPr>
                <w:rFonts w:eastAsia="Calibri" w:cstheme="minorHAnsi"/>
                <w:iCs/>
                <w:lang w:eastAsia="en-CA"/>
              </w:rPr>
              <w:t>The entity under assessment MUST provide notice to entities providing identity evidence or relationship evidence that false or misleading statements may result in violation of the terms and conditions of the program or service.</w:t>
            </w:r>
          </w:p>
          <w:p w14:paraId="2A6257C1" w14:textId="77777777" w:rsidR="00173BAE" w:rsidRPr="00A36F28" w:rsidRDefault="00173BAE" w:rsidP="00911A86">
            <w:pPr>
              <w:pStyle w:val="Default"/>
              <w:pBdr>
                <w:bottom w:val="single" w:sz="6" w:space="1" w:color="auto"/>
              </w:pBdr>
              <w:rPr>
                <w:rFonts w:asciiTheme="minorHAnsi" w:hAnsiTheme="minorHAnsi" w:cstheme="minorHAnsi"/>
                <w:iCs/>
                <w:color w:val="auto"/>
                <w:sz w:val="22"/>
                <w:szCs w:val="22"/>
              </w:rPr>
            </w:pPr>
          </w:p>
          <w:p w14:paraId="32E87527" w14:textId="77777777" w:rsidR="005E2DD8" w:rsidRPr="00A36F28" w:rsidRDefault="005E2DD8" w:rsidP="00031003">
            <w:pPr>
              <w:pStyle w:val="Default"/>
              <w:rPr>
                <w:rFonts w:asciiTheme="minorHAnsi" w:hAnsiTheme="minorHAnsi" w:cstheme="minorHAnsi"/>
                <w:iCs/>
                <w:color w:val="auto"/>
                <w:sz w:val="22"/>
                <w:szCs w:val="22"/>
              </w:rPr>
            </w:pPr>
          </w:p>
          <w:p w14:paraId="0B0A72D6" w14:textId="77777777" w:rsidR="006D29A9" w:rsidRPr="00A36F28" w:rsidRDefault="006D29A9" w:rsidP="00031003">
            <w:pPr>
              <w:pStyle w:val="Default"/>
              <w:rPr>
                <w:rFonts w:asciiTheme="minorHAnsi" w:hAnsiTheme="minorHAnsi" w:cstheme="minorHAnsi"/>
                <w:color w:val="auto"/>
                <w:sz w:val="22"/>
                <w:szCs w:val="22"/>
              </w:rPr>
            </w:pPr>
          </w:p>
          <w:p w14:paraId="51C0BF72" w14:textId="77777777" w:rsidR="000964EF" w:rsidRPr="00A36F28" w:rsidRDefault="000964EF" w:rsidP="00031003">
            <w:pPr>
              <w:pStyle w:val="Default"/>
              <w:rPr>
                <w:rFonts w:asciiTheme="minorHAnsi" w:hAnsiTheme="minorHAnsi" w:cstheme="minorHAnsi"/>
                <w:color w:val="auto"/>
                <w:sz w:val="22"/>
                <w:szCs w:val="22"/>
              </w:rPr>
            </w:pPr>
          </w:p>
          <w:p w14:paraId="0E599903" w14:textId="3F1B6A86" w:rsidR="002C103E" w:rsidRPr="00A36F28" w:rsidRDefault="002C103E" w:rsidP="00031003">
            <w:pPr>
              <w:pStyle w:val="Default"/>
              <w:rPr>
                <w:rFonts w:asciiTheme="minorHAnsi" w:hAnsiTheme="minorHAnsi" w:cstheme="minorHAnsi"/>
                <w:color w:val="auto"/>
                <w:sz w:val="22"/>
                <w:szCs w:val="22"/>
              </w:rPr>
            </w:pPr>
          </w:p>
        </w:tc>
      </w:tr>
      <w:tr w:rsidR="00E30AEB" w:rsidRPr="00A36F28" w14:paraId="669781C8" w14:textId="77777777" w:rsidTr="00B4523E">
        <w:tc>
          <w:tcPr>
            <w:tcW w:w="1668" w:type="dxa"/>
            <w:shd w:val="clear" w:color="auto" w:fill="auto"/>
          </w:tcPr>
          <w:p w14:paraId="74FAEE6A" w14:textId="164D8ABF" w:rsidR="00EA1194" w:rsidRPr="00A36F28" w:rsidRDefault="00EA1194" w:rsidP="00173BAE">
            <w:pPr>
              <w:jc w:val="center"/>
            </w:pPr>
            <w:r w:rsidRPr="00A36F28">
              <w:t>E</w:t>
            </w:r>
            <w:r w:rsidR="00173BAE" w:rsidRPr="00A36F28">
              <w:t>N</w:t>
            </w:r>
            <w:r w:rsidRPr="00A36F28">
              <w:t>WM.10</w:t>
            </w:r>
          </w:p>
        </w:tc>
        <w:tc>
          <w:tcPr>
            <w:tcW w:w="1162" w:type="dxa"/>
            <w:shd w:val="clear" w:color="auto" w:fill="auto"/>
          </w:tcPr>
          <w:p w14:paraId="72262B9A" w14:textId="0E967E48"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1C2F3378" w14:textId="77777777" w:rsidR="00B4523E" w:rsidRPr="00A36F28" w:rsidRDefault="00B4523E" w:rsidP="00B4523E">
            <w:pPr>
              <w:rPr>
                <w:rFonts w:eastAsia="Calibri" w:cstheme="minorHAnsi"/>
                <w:iCs/>
                <w:lang w:eastAsia="en-CA"/>
              </w:rPr>
            </w:pPr>
            <w:r w:rsidRPr="00A36F28">
              <w:rPr>
                <w:rFonts w:eastAsia="Calibri" w:cstheme="minorHAnsi"/>
                <w:iCs/>
                <w:lang w:eastAsia="en-CA"/>
              </w:rPr>
              <w:t>The entity under assessment MAY rely on another entity to carry out program or service activities that are subject to these conformance criteria. In such cases, the entity under assessment MUST:</w:t>
            </w:r>
          </w:p>
          <w:p w14:paraId="59D641FB" w14:textId="3A09C4FF" w:rsidR="00B4523E" w:rsidRPr="00A36F28" w:rsidRDefault="00B4523E" w:rsidP="00B4523E">
            <w:pPr>
              <w:pStyle w:val="ListParagraph"/>
              <w:numPr>
                <w:ilvl w:val="0"/>
                <w:numId w:val="21"/>
              </w:numPr>
              <w:rPr>
                <w:rFonts w:cstheme="minorHAnsi"/>
                <w:iCs/>
              </w:rPr>
            </w:pPr>
            <w:r w:rsidRPr="00A36F28">
              <w:rPr>
                <w:rFonts w:cstheme="minorHAnsi"/>
                <w:iCs/>
              </w:rPr>
              <w:t>Confirm that a written agreement exists with that other entity; AND</w:t>
            </w:r>
          </w:p>
          <w:p w14:paraId="0BAE2DA7" w14:textId="68A9279E" w:rsidR="00B4523E" w:rsidRPr="00A36F28" w:rsidRDefault="00B4523E" w:rsidP="00B4523E">
            <w:pPr>
              <w:pStyle w:val="ListParagraph"/>
              <w:numPr>
                <w:ilvl w:val="0"/>
                <w:numId w:val="21"/>
              </w:numPr>
              <w:rPr>
                <w:rFonts w:cstheme="minorHAnsi"/>
                <w:iCs/>
              </w:rPr>
            </w:pPr>
            <w:r w:rsidRPr="00A36F28">
              <w:rPr>
                <w:rFonts w:cstheme="minorHAnsi"/>
                <w:iCs/>
              </w:rPr>
              <w:t>Identify which atomic processes are carried out by the other entity; AND</w:t>
            </w:r>
          </w:p>
          <w:p w14:paraId="032F4A6F" w14:textId="4EE864F9" w:rsidR="000964EF" w:rsidRPr="00A36F28" w:rsidRDefault="00B4523E" w:rsidP="00B4523E">
            <w:pPr>
              <w:pStyle w:val="Default"/>
              <w:numPr>
                <w:ilvl w:val="0"/>
                <w:numId w:val="21"/>
              </w:numPr>
              <w:pBdr>
                <w:bottom w:val="single" w:sz="6" w:space="1" w:color="auto"/>
              </w:pBdr>
              <w:rPr>
                <w:iCs/>
                <w:color w:val="auto"/>
                <w:sz w:val="22"/>
                <w:szCs w:val="22"/>
              </w:rPr>
            </w:pPr>
            <w:r w:rsidRPr="00A36F28">
              <w:rPr>
                <w:rFonts w:cstheme="minorHAnsi"/>
                <w:iCs/>
                <w:sz w:val="22"/>
                <w:szCs w:val="22"/>
              </w:rPr>
              <w:t>Confirm that the conformance criteria within the agreement with the other entity carrying out those atomic processes are equivalent to those conformance criteria of the PSP-PCTF.</w:t>
            </w:r>
          </w:p>
          <w:p w14:paraId="484730E8" w14:textId="4E2DCDC6" w:rsidR="000964EF" w:rsidRPr="00A36F28" w:rsidRDefault="000964EF" w:rsidP="000964EF">
            <w:pPr>
              <w:pStyle w:val="Default"/>
              <w:rPr>
                <w:iCs/>
                <w:color w:val="auto"/>
                <w:sz w:val="20"/>
                <w:szCs w:val="20"/>
              </w:rPr>
            </w:pPr>
          </w:p>
          <w:p w14:paraId="67729AA2" w14:textId="77777777" w:rsidR="002C103E" w:rsidRPr="00A36F28" w:rsidRDefault="002C103E" w:rsidP="000964EF">
            <w:pPr>
              <w:pStyle w:val="Default"/>
              <w:rPr>
                <w:iCs/>
                <w:color w:val="auto"/>
                <w:sz w:val="20"/>
                <w:szCs w:val="20"/>
              </w:rPr>
            </w:pPr>
          </w:p>
          <w:p w14:paraId="32A326FF" w14:textId="77777777" w:rsidR="002C103E" w:rsidRPr="00A36F28" w:rsidRDefault="002C103E" w:rsidP="000964EF">
            <w:pPr>
              <w:pStyle w:val="Default"/>
              <w:rPr>
                <w:iCs/>
                <w:color w:val="auto"/>
                <w:sz w:val="20"/>
                <w:szCs w:val="20"/>
              </w:rPr>
            </w:pPr>
          </w:p>
          <w:p w14:paraId="59993BC9" w14:textId="3C73D312" w:rsidR="00031003" w:rsidRPr="00A36F28" w:rsidRDefault="00031003" w:rsidP="00EA1194">
            <w:pPr>
              <w:pStyle w:val="Default"/>
              <w:rPr>
                <w:rFonts w:asciiTheme="minorHAnsi" w:hAnsiTheme="minorHAnsi" w:cstheme="minorHAnsi"/>
                <w:iCs/>
                <w:color w:val="auto"/>
                <w:sz w:val="22"/>
                <w:szCs w:val="22"/>
              </w:rPr>
            </w:pPr>
          </w:p>
        </w:tc>
      </w:tr>
      <w:tr w:rsidR="00E30AEB" w:rsidRPr="00A36F28" w14:paraId="7FBE890D" w14:textId="77777777" w:rsidTr="00B4523E">
        <w:tc>
          <w:tcPr>
            <w:tcW w:w="1668" w:type="dxa"/>
            <w:shd w:val="clear" w:color="auto" w:fill="auto"/>
          </w:tcPr>
          <w:p w14:paraId="5D5AC7D8" w14:textId="0315D5BE" w:rsidR="00EA1194" w:rsidRPr="00A36F28" w:rsidRDefault="00EA1194" w:rsidP="00173BAE">
            <w:pPr>
              <w:jc w:val="center"/>
            </w:pPr>
            <w:r w:rsidRPr="00A36F28">
              <w:lastRenderedPageBreak/>
              <w:t>E</w:t>
            </w:r>
            <w:r w:rsidR="00173BAE" w:rsidRPr="00A36F28">
              <w:t>N</w:t>
            </w:r>
            <w:r w:rsidRPr="00A36F28">
              <w:t>WM.11</w:t>
            </w:r>
          </w:p>
        </w:tc>
        <w:tc>
          <w:tcPr>
            <w:tcW w:w="1162" w:type="dxa"/>
            <w:shd w:val="clear" w:color="auto" w:fill="auto"/>
          </w:tcPr>
          <w:p w14:paraId="5A75F72F" w14:textId="3E7742E2"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420CF8B9" w14:textId="77777777" w:rsidR="00173BAE" w:rsidRPr="00A36F28" w:rsidRDefault="00173BAE" w:rsidP="00173BAE">
            <w:pPr>
              <w:rPr>
                <w:rFonts w:eastAsia="Calibri" w:cstheme="minorHAnsi"/>
                <w:iCs/>
                <w:lang w:eastAsia="en-CA"/>
              </w:rPr>
            </w:pPr>
            <w:r w:rsidRPr="00A36F28">
              <w:rPr>
                <w:rFonts w:eastAsia="Calibri" w:cstheme="minorHAnsi"/>
                <w:iCs/>
                <w:lang w:eastAsia="en-CA"/>
              </w:rPr>
              <w:t>The entity under assessment MUST ensure that service providers to whom they have delegated service provision tasks adhere to applicable conformance criteria.</w:t>
            </w:r>
          </w:p>
          <w:p w14:paraId="076825E8" w14:textId="77777777" w:rsidR="00173BAE" w:rsidRPr="00A36F28" w:rsidRDefault="00173BAE" w:rsidP="00EA1194">
            <w:pPr>
              <w:pStyle w:val="Default"/>
              <w:pBdr>
                <w:bottom w:val="single" w:sz="6" w:space="1" w:color="auto"/>
              </w:pBdr>
              <w:rPr>
                <w:rFonts w:asciiTheme="minorHAnsi" w:hAnsiTheme="minorHAnsi" w:cstheme="minorHAnsi"/>
                <w:iCs/>
                <w:color w:val="auto"/>
                <w:sz w:val="22"/>
                <w:szCs w:val="22"/>
              </w:rPr>
            </w:pPr>
          </w:p>
          <w:p w14:paraId="3D555F31" w14:textId="15A3DCB7" w:rsidR="007C2A73" w:rsidRPr="00A36F28" w:rsidRDefault="007C2A73" w:rsidP="00EA1194">
            <w:pPr>
              <w:pStyle w:val="Default"/>
              <w:rPr>
                <w:rFonts w:asciiTheme="minorHAnsi" w:hAnsiTheme="minorHAnsi" w:cstheme="minorHAnsi"/>
                <w:iCs/>
                <w:color w:val="auto"/>
                <w:sz w:val="22"/>
                <w:szCs w:val="22"/>
              </w:rPr>
            </w:pPr>
          </w:p>
          <w:p w14:paraId="4A5717F2" w14:textId="6565786A" w:rsidR="008226B8" w:rsidRPr="00A36F28" w:rsidRDefault="008226B8" w:rsidP="00EA1194">
            <w:pPr>
              <w:pStyle w:val="Default"/>
              <w:rPr>
                <w:rFonts w:asciiTheme="minorHAnsi" w:hAnsiTheme="minorHAnsi" w:cstheme="minorHAnsi"/>
                <w:iCs/>
                <w:color w:val="auto"/>
                <w:sz w:val="22"/>
                <w:szCs w:val="22"/>
              </w:rPr>
            </w:pPr>
          </w:p>
          <w:p w14:paraId="00C979F7" w14:textId="77777777" w:rsidR="008226B8" w:rsidRPr="00A36F28" w:rsidRDefault="008226B8" w:rsidP="00EA1194">
            <w:pPr>
              <w:pStyle w:val="Default"/>
              <w:rPr>
                <w:rFonts w:asciiTheme="minorHAnsi" w:hAnsiTheme="minorHAnsi" w:cstheme="minorHAnsi"/>
                <w:iCs/>
                <w:color w:val="auto"/>
                <w:sz w:val="22"/>
                <w:szCs w:val="22"/>
              </w:rPr>
            </w:pPr>
          </w:p>
          <w:p w14:paraId="7EB1A2C6" w14:textId="12A60B56" w:rsidR="00530EC7" w:rsidRPr="00A36F28" w:rsidRDefault="00530EC7" w:rsidP="00EA1194">
            <w:pPr>
              <w:pStyle w:val="Default"/>
              <w:rPr>
                <w:rFonts w:asciiTheme="minorHAnsi" w:hAnsiTheme="minorHAnsi" w:cstheme="minorHAnsi"/>
                <w:color w:val="auto"/>
                <w:sz w:val="22"/>
                <w:szCs w:val="22"/>
              </w:rPr>
            </w:pPr>
          </w:p>
        </w:tc>
      </w:tr>
      <w:tr w:rsidR="00E30AEB" w:rsidRPr="00A36F28" w14:paraId="30E655D3" w14:textId="77777777" w:rsidTr="00B4523E">
        <w:tc>
          <w:tcPr>
            <w:tcW w:w="1668" w:type="dxa"/>
            <w:shd w:val="clear" w:color="auto" w:fill="auto"/>
          </w:tcPr>
          <w:p w14:paraId="4B9CB321" w14:textId="1BDDD290" w:rsidR="00EA1194" w:rsidRPr="00A36F28" w:rsidRDefault="00EA1194" w:rsidP="00173BAE">
            <w:pPr>
              <w:jc w:val="center"/>
            </w:pPr>
            <w:r w:rsidRPr="00A36F28">
              <w:t>E</w:t>
            </w:r>
            <w:r w:rsidR="00173BAE" w:rsidRPr="00A36F28">
              <w:t>N</w:t>
            </w:r>
            <w:r w:rsidRPr="00A36F28">
              <w:t>WM.12</w:t>
            </w:r>
          </w:p>
        </w:tc>
        <w:tc>
          <w:tcPr>
            <w:tcW w:w="1162" w:type="dxa"/>
            <w:shd w:val="clear" w:color="auto" w:fill="auto"/>
          </w:tcPr>
          <w:p w14:paraId="12C18715" w14:textId="004DB0D2"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039487E6" w14:textId="77777777" w:rsidR="00173BAE" w:rsidRPr="00A36F28" w:rsidRDefault="00173BAE" w:rsidP="00173BAE">
            <w:pPr>
              <w:rPr>
                <w:rFonts w:eastAsia="Calibri" w:cstheme="minorHAnsi"/>
                <w:iCs/>
                <w:lang w:eastAsia="en-CA"/>
              </w:rPr>
            </w:pPr>
            <w:r w:rsidRPr="00A36F28">
              <w:rPr>
                <w:rFonts w:eastAsia="Calibri" w:cstheme="minorHAnsi"/>
                <w:iCs/>
                <w:lang w:eastAsia="en-CA"/>
              </w:rPr>
              <w:t>The entity under assessment MUST manage system components using its defined system development life cycle that incorporates security concerns.</w:t>
            </w:r>
          </w:p>
          <w:p w14:paraId="1BB9F6EF" w14:textId="77777777" w:rsidR="00173BAE" w:rsidRPr="00A36F28" w:rsidRDefault="00173BAE" w:rsidP="00530EC7">
            <w:pPr>
              <w:pStyle w:val="Default"/>
              <w:pBdr>
                <w:bottom w:val="single" w:sz="6" w:space="1" w:color="auto"/>
              </w:pBdr>
              <w:rPr>
                <w:rFonts w:asciiTheme="minorHAnsi" w:hAnsiTheme="minorHAnsi" w:cstheme="minorHAnsi"/>
                <w:iCs/>
                <w:color w:val="auto"/>
                <w:sz w:val="22"/>
                <w:szCs w:val="22"/>
              </w:rPr>
            </w:pPr>
          </w:p>
          <w:p w14:paraId="64EC5D9F" w14:textId="3BEBEBCE" w:rsidR="007C2A73" w:rsidRPr="00A36F28" w:rsidRDefault="007C2A73" w:rsidP="00530EC7">
            <w:pPr>
              <w:pStyle w:val="Default"/>
              <w:rPr>
                <w:rFonts w:asciiTheme="minorHAnsi" w:hAnsiTheme="minorHAnsi" w:cstheme="minorHAnsi"/>
                <w:iCs/>
                <w:color w:val="auto"/>
                <w:sz w:val="22"/>
                <w:szCs w:val="22"/>
              </w:rPr>
            </w:pPr>
          </w:p>
          <w:p w14:paraId="64C1FECC" w14:textId="77777777" w:rsidR="0063305C" w:rsidRPr="00A36F28" w:rsidRDefault="0063305C" w:rsidP="00530EC7">
            <w:pPr>
              <w:pStyle w:val="Default"/>
              <w:rPr>
                <w:rFonts w:asciiTheme="minorHAnsi" w:hAnsiTheme="minorHAnsi" w:cstheme="minorHAnsi"/>
                <w:iCs/>
                <w:color w:val="auto"/>
                <w:sz w:val="22"/>
                <w:szCs w:val="22"/>
              </w:rPr>
            </w:pPr>
          </w:p>
          <w:p w14:paraId="5EDFC533" w14:textId="77777777" w:rsidR="00530EC7" w:rsidRPr="00A36F28" w:rsidRDefault="00530EC7" w:rsidP="00530EC7">
            <w:pPr>
              <w:pStyle w:val="Default"/>
              <w:rPr>
                <w:rFonts w:asciiTheme="minorHAnsi" w:hAnsiTheme="minorHAnsi" w:cstheme="minorHAnsi"/>
                <w:color w:val="auto"/>
                <w:sz w:val="22"/>
                <w:szCs w:val="22"/>
              </w:rPr>
            </w:pPr>
          </w:p>
          <w:p w14:paraId="5590D91F" w14:textId="7F11EB56" w:rsidR="002C103E" w:rsidRPr="00A36F28" w:rsidRDefault="002C103E" w:rsidP="00530EC7">
            <w:pPr>
              <w:pStyle w:val="Default"/>
              <w:rPr>
                <w:rFonts w:asciiTheme="minorHAnsi" w:hAnsiTheme="minorHAnsi" w:cstheme="minorHAnsi"/>
                <w:color w:val="auto"/>
                <w:sz w:val="22"/>
                <w:szCs w:val="22"/>
              </w:rPr>
            </w:pPr>
          </w:p>
        </w:tc>
      </w:tr>
      <w:tr w:rsidR="00E30AEB" w:rsidRPr="00A36F28" w14:paraId="7C6601B4" w14:textId="77777777" w:rsidTr="00B4523E">
        <w:tc>
          <w:tcPr>
            <w:tcW w:w="1668" w:type="dxa"/>
            <w:shd w:val="clear" w:color="auto" w:fill="auto"/>
          </w:tcPr>
          <w:p w14:paraId="5496057A" w14:textId="46587AFD" w:rsidR="00D36433" w:rsidRPr="00A36F28" w:rsidRDefault="00D36433" w:rsidP="00173BAE">
            <w:pPr>
              <w:jc w:val="center"/>
            </w:pPr>
            <w:r w:rsidRPr="00A36F28">
              <w:t>E</w:t>
            </w:r>
            <w:r w:rsidR="00173BAE" w:rsidRPr="00A36F28">
              <w:t>N</w:t>
            </w:r>
            <w:r w:rsidR="004F097D" w:rsidRPr="00A36F28">
              <w:t>WM.13</w:t>
            </w:r>
          </w:p>
        </w:tc>
        <w:tc>
          <w:tcPr>
            <w:tcW w:w="1162" w:type="dxa"/>
            <w:shd w:val="clear" w:color="auto" w:fill="auto"/>
          </w:tcPr>
          <w:p w14:paraId="1A5CF6D5" w14:textId="557E0DC4" w:rsidR="00D36433" w:rsidRPr="00A36F28" w:rsidRDefault="004F097D" w:rsidP="00517BC0">
            <w:pPr>
              <w:pStyle w:val="Default"/>
              <w:jc w:val="center"/>
              <w:rPr>
                <w:color w:val="auto"/>
                <w:sz w:val="20"/>
                <w:szCs w:val="20"/>
              </w:rPr>
            </w:pPr>
            <w:r w:rsidRPr="00A36F28">
              <w:rPr>
                <w:color w:val="auto"/>
                <w:sz w:val="20"/>
                <w:szCs w:val="20"/>
              </w:rPr>
              <w:t>GEN</w:t>
            </w:r>
          </w:p>
        </w:tc>
        <w:tc>
          <w:tcPr>
            <w:tcW w:w="10206" w:type="dxa"/>
          </w:tcPr>
          <w:p w14:paraId="50A7E0E8" w14:textId="05FECAC2" w:rsidR="00173BAE" w:rsidRPr="00A36F28" w:rsidRDefault="00173BAE" w:rsidP="008226B8">
            <w:pPr>
              <w:rPr>
                <w:rFonts w:cstheme="minorHAnsi"/>
                <w:iCs/>
              </w:rPr>
            </w:pPr>
            <w:r w:rsidRPr="00A36F28">
              <w:rPr>
                <w:rFonts w:eastAsia="Calibri" w:cstheme="minorHAnsi"/>
                <w:iCs/>
                <w:lang w:eastAsia="en-CA"/>
              </w:rPr>
              <w:t>The entity under assessment MUST have formal technology change management processes in place to evaluate and manage risk associated with technology evolution.</w:t>
            </w:r>
          </w:p>
          <w:p w14:paraId="4007BE30" w14:textId="77777777" w:rsidR="00173BAE" w:rsidRPr="00A36F28" w:rsidRDefault="00173BAE" w:rsidP="00506ACD">
            <w:pPr>
              <w:pStyle w:val="Default"/>
              <w:pBdr>
                <w:bottom w:val="single" w:sz="6" w:space="1" w:color="auto"/>
              </w:pBdr>
              <w:rPr>
                <w:rFonts w:asciiTheme="minorHAnsi" w:hAnsiTheme="minorHAnsi" w:cstheme="minorHAnsi"/>
                <w:iCs/>
                <w:color w:val="auto"/>
                <w:sz w:val="22"/>
                <w:szCs w:val="22"/>
              </w:rPr>
            </w:pPr>
          </w:p>
          <w:p w14:paraId="3A887876" w14:textId="77777777" w:rsidR="00506ACD" w:rsidRPr="00A36F28" w:rsidRDefault="00506ACD" w:rsidP="00506ACD">
            <w:pPr>
              <w:pStyle w:val="Default"/>
              <w:rPr>
                <w:rFonts w:asciiTheme="minorHAnsi" w:hAnsiTheme="minorHAnsi" w:cstheme="minorHAnsi"/>
                <w:iCs/>
                <w:color w:val="auto"/>
                <w:sz w:val="22"/>
                <w:szCs w:val="22"/>
              </w:rPr>
            </w:pPr>
          </w:p>
          <w:p w14:paraId="75507F14" w14:textId="77777777" w:rsidR="00057469" w:rsidRPr="00A36F28" w:rsidRDefault="00057469" w:rsidP="00EA1194">
            <w:pPr>
              <w:pStyle w:val="Default"/>
              <w:pBdr>
                <w:bottom w:val="single" w:sz="6" w:space="1" w:color="auto"/>
              </w:pBdr>
              <w:rPr>
                <w:rFonts w:asciiTheme="minorHAnsi" w:hAnsiTheme="minorHAnsi" w:cstheme="minorHAnsi"/>
                <w:iCs/>
                <w:color w:val="auto"/>
                <w:sz w:val="22"/>
                <w:szCs w:val="22"/>
              </w:rPr>
            </w:pPr>
          </w:p>
          <w:p w14:paraId="29E1D522" w14:textId="77777777" w:rsidR="0063305C" w:rsidRPr="00A36F28" w:rsidRDefault="0063305C" w:rsidP="00EA1194">
            <w:pPr>
              <w:pStyle w:val="Default"/>
              <w:pBdr>
                <w:bottom w:val="single" w:sz="6" w:space="1" w:color="auto"/>
              </w:pBdr>
              <w:rPr>
                <w:rFonts w:asciiTheme="minorHAnsi" w:hAnsiTheme="minorHAnsi" w:cstheme="minorHAnsi"/>
                <w:iCs/>
                <w:color w:val="auto"/>
                <w:sz w:val="22"/>
                <w:szCs w:val="22"/>
              </w:rPr>
            </w:pPr>
          </w:p>
          <w:p w14:paraId="7B76173A" w14:textId="0B9F3211" w:rsidR="002C103E" w:rsidRPr="00A36F28" w:rsidRDefault="002C103E" w:rsidP="00EA1194">
            <w:pPr>
              <w:pStyle w:val="Default"/>
              <w:pBdr>
                <w:bottom w:val="single" w:sz="6" w:space="1" w:color="auto"/>
              </w:pBdr>
              <w:rPr>
                <w:rFonts w:asciiTheme="minorHAnsi" w:hAnsiTheme="minorHAnsi" w:cstheme="minorHAnsi"/>
                <w:iCs/>
                <w:color w:val="auto"/>
                <w:sz w:val="22"/>
                <w:szCs w:val="22"/>
              </w:rPr>
            </w:pPr>
          </w:p>
        </w:tc>
      </w:tr>
      <w:tr w:rsidR="00E30AEB" w:rsidRPr="00A36F28" w14:paraId="11AA64C6" w14:textId="77777777" w:rsidTr="00B4523E">
        <w:tc>
          <w:tcPr>
            <w:tcW w:w="1668" w:type="dxa"/>
            <w:shd w:val="clear" w:color="auto" w:fill="auto"/>
          </w:tcPr>
          <w:p w14:paraId="0F775825" w14:textId="041DA548" w:rsidR="00EA1194" w:rsidRPr="00A36F28" w:rsidRDefault="00EA1194" w:rsidP="00173BAE">
            <w:pPr>
              <w:jc w:val="center"/>
            </w:pPr>
            <w:r w:rsidRPr="00A36F28">
              <w:t>E</w:t>
            </w:r>
            <w:r w:rsidR="00173BAE" w:rsidRPr="00A36F28">
              <w:t>N</w:t>
            </w:r>
            <w:r w:rsidRPr="00A36F28">
              <w:t>WM.1</w:t>
            </w:r>
            <w:r w:rsidR="004F097D" w:rsidRPr="00A36F28">
              <w:t>4</w:t>
            </w:r>
          </w:p>
        </w:tc>
        <w:tc>
          <w:tcPr>
            <w:tcW w:w="1162" w:type="dxa"/>
            <w:shd w:val="clear" w:color="auto" w:fill="auto"/>
          </w:tcPr>
          <w:p w14:paraId="2D2B12AC" w14:textId="3F851E2A"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2EB5383A" w14:textId="54B07544" w:rsidR="00173BAE" w:rsidRPr="00A36F28" w:rsidRDefault="00173BAE" w:rsidP="00173BAE">
            <w:pPr>
              <w:rPr>
                <w:rFonts w:eastAsia="Calibri" w:cstheme="minorHAnsi"/>
                <w:iCs/>
                <w:lang w:eastAsia="en-CA"/>
              </w:rPr>
            </w:pPr>
            <w:r w:rsidRPr="00A36F28">
              <w:rPr>
                <w:rFonts w:eastAsia="Calibri" w:cstheme="minorHAnsi"/>
                <w:iCs/>
                <w:lang w:eastAsia="en-CA"/>
              </w:rPr>
              <w:t>The entity under assessment MUST ensure that its personnel responsible for operations affecting personal information, organizational information, and relationship information have received privacy and security training.</w:t>
            </w:r>
          </w:p>
          <w:p w14:paraId="6C0A50AD" w14:textId="77777777" w:rsidR="00173BAE" w:rsidRPr="00A36F28" w:rsidRDefault="00173BAE" w:rsidP="00EA1194">
            <w:pPr>
              <w:pStyle w:val="Default"/>
              <w:pBdr>
                <w:bottom w:val="single" w:sz="6" w:space="1" w:color="auto"/>
              </w:pBdr>
              <w:rPr>
                <w:rFonts w:asciiTheme="minorHAnsi" w:hAnsiTheme="minorHAnsi" w:cstheme="minorHAnsi"/>
                <w:iCs/>
                <w:color w:val="auto"/>
                <w:sz w:val="22"/>
                <w:szCs w:val="22"/>
              </w:rPr>
            </w:pPr>
          </w:p>
          <w:p w14:paraId="022EDAAF" w14:textId="4709877E" w:rsidR="00042E28" w:rsidRPr="00A36F28" w:rsidRDefault="00042E28" w:rsidP="00EA1194">
            <w:pPr>
              <w:pStyle w:val="Default"/>
              <w:rPr>
                <w:rFonts w:asciiTheme="minorHAnsi" w:hAnsiTheme="minorHAnsi" w:cstheme="minorHAnsi"/>
                <w:color w:val="auto"/>
                <w:sz w:val="22"/>
                <w:szCs w:val="22"/>
              </w:rPr>
            </w:pPr>
          </w:p>
          <w:p w14:paraId="539FC809" w14:textId="77777777" w:rsidR="0063305C" w:rsidRPr="00A36F28" w:rsidRDefault="0063305C" w:rsidP="00EA1194">
            <w:pPr>
              <w:pStyle w:val="Default"/>
              <w:rPr>
                <w:rFonts w:asciiTheme="minorHAnsi" w:hAnsiTheme="minorHAnsi" w:cstheme="minorHAnsi"/>
                <w:color w:val="auto"/>
                <w:sz w:val="22"/>
                <w:szCs w:val="22"/>
              </w:rPr>
            </w:pPr>
          </w:p>
          <w:p w14:paraId="1DD7C15C" w14:textId="77777777" w:rsidR="00A74909" w:rsidRPr="00A36F28" w:rsidRDefault="00A74909" w:rsidP="00EA1194">
            <w:pPr>
              <w:pStyle w:val="Default"/>
              <w:rPr>
                <w:rFonts w:asciiTheme="minorHAnsi" w:hAnsiTheme="minorHAnsi" w:cstheme="minorHAnsi"/>
                <w:iCs/>
                <w:color w:val="auto"/>
                <w:sz w:val="22"/>
                <w:szCs w:val="22"/>
              </w:rPr>
            </w:pPr>
          </w:p>
          <w:p w14:paraId="707D4AC5" w14:textId="48F8E4D1" w:rsidR="002C103E" w:rsidRPr="00A36F28" w:rsidRDefault="002C103E" w:rsidP="00EA1194">
            <w:pPr>
              <w:pStyle w:val="Default"/>
              <w:rPr>
                <w:rFonts w:asciiTheme="minorHAnsi" w:hAnsiTheme="minorHAnsi" w:cstheme="minorHAnsi"/>
                <w:iCs/>
                <w:color w:val="auto"/>
                <w:sz w:val="22"/>
                <w:szCs w:val="22"/>
              </w:rPr>
            </w:pPr>
          </w:p>
        </w:tc>
      </w:tr>
      <w:tr w:rsidR="00E30AEB" w:rsidRPr="00A36F28" w14:paraId="7D4C0C39" w14:textId="77777777" w:rsidTr="00B4523E">
        <w:tc>
          <w:tcPr>
            <w:tcW w:w="1668" w:type="dxa"/>
            <w:shd w:val="clear" w:color="auto" w:fill="auto"/>
          </w:tcPr>
          <w:p w14:paraId="50E8C77C" w14:textId="56DE439A" w:rsidR="00EA1194" w:rsidRPr="00A36F28" w:rsidRDefault="00EA1194" w:rsidP="00173BAE">
            <w:pPr>
              <w:jc w:val="center"/>
            </w:pPr>
            <w:r w:rsidRPr="00A36F28">
              <w:t>E</w:t>
            </w:r>
            <w:r w:rsidR="00173BAE" w:rsidRPr="00A36F28">
              <w:t>N</w:t>
            </w:r>
            <w:r w:rsidRPr="00A36F28">
              <w:t>WM.1</w:t>
            </w:r>
            <w:r w:rsidR="00666588" w:rsidRPr="00A36F28">
              <w:t>5</w:t>
            </w:r>
          </w:p>
        </w:tc>
        <w:tc>
          <w:tcPr>
            <w:tcW w:w="1162" w:type="dxa"/>
            <w:shd w:val="clear" w:color="auto" w:fill="auto"/>
          </w:tcPr>
          <w:p w14:paraId="1A8958A0" w14:textId="70E2FBBC"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2CD56A59" w14:textId="0D8C3102" w:rsidR="00173BAE" w:rsidRPr="00A36F28" w:rsidRDefault="00B4523E" w:rsidP="00EA1194">
            <w:pPr>
              <w:pStyle w:val="Default"/>
              <w:pBdr>
                <w:bottom w:val="single" w:sz="6" w:space="1" w:color="auto"/>
              </w:pBdr>
              <w:rPr>
                <w:rFonts w:asciiTheme="minorHAnsi" w:hAnsiTheme="minorHAnsi" w:cstheme="minorHAnsi"/>
                <w:iCs/>
                <w:color w:val="auto"/>
                <w:sz w:val="22"/>
                <w:szCs w:val="22"/>
              </w:rPr>
            </w:pPr>
            <w:r w:rsidRPr="00A36F28">
              <w:rPr>
                <w:rFonts w:asciiTheme="minorHAnsi" w:hAnsiTheme="minorHAnsi" w:cstheme="minorHAnsi"/>
                <w:iCs/>
                <w:color w:val="auto"/>
                <w:sz w:val="22"/>
                <w:szCs w:val="22"/>
              </w:rPr>
              <w:t>The entity under assessment MUST uniquely identify and authenticate personnel or users, or processes acting on behalf of personnel or users, where authentication is appropriate. Shared accounts MUST not be used.</w:t>
            </w:r>
          </w:p>
          <w:p w14:paraId="79C4CA27" w14:textId="77777777" w:rsidR="00B4523E" w:rsidRPr="00A36F28" w:rsidRDefault="00B4523E" w:rsidP="00EA1194">
            <w:pPr>
              <w:pStyle w:val="Default"/>
              <w:pBdr>
                <w:bottom w:val="single" w:sz="6" w:space="1" w:color="auto"/>
              </w:pBdr>
              <w:rPr>
                <w:rFonts w:asciiTheme="minorHAnsi" w:hAnsiTheme="minorHAnsi" w:cstheme="minorHAnsi"/>
                <w:iCs/>
                <w:color w:val="auto"/>
                <w:sz w:val="22"/>
                <w:szCs w:val="22"/>
              </w:rPr>
            </w:pPr>
          </w:p>
          <w:p w14:paraId="5822EFE2" w14:textId="77777777" w:rsidR="00042E28" w:rsidRPr="00A36F28" w:rsidRDefault="00042E28" w:rsidP="00EA1194">
            <w:pPr>
              <w:pStyle w:val="Default"/>
              <w:rPr>
                <w:rFonts w:asciiTheme="minorHAnsi" w:hAnsiTheme="minorHAnsi" w:cstheme="minorHAnsi"/>
                <w:color w:val="auto"/>
                <w:sz w:val="22"/>
                <w:szCs w:val="22"/>
              </w:rPr>
            </w:pPr>
          </w:p>
          <w:p w14:paraId="6CD72175" w14:textId="77777777" w:rsidR="00A74909" w:rsidRPr="00A36F28" w:rsidRDefault="00A74909" w:rsidP="00EA1194">
            <w:pPr>
              <w:pStyle w:val="Default"/>
              <w:rPr>
                <w:rFonts w:asciiTheme="minorHAnsi" w:hAnsiTheme="minorHAnsi" w:cstheme="minorHAnsi"/>
                <w:iCs/>
                <w:color w:val="auto"/>
                <w:sz w:val="22"/>
                <w:szCs w:val="22"/>
              </w:rPr>
            </w:pPr>
          </w:p>
          <w:p w14:paraId="2C9DC3C3" w14:textId="77777777" w:rsidR="0063305C" w:rsidRPr="00A36F28" w:rsidRDefault="0063305C" w:rsidP="00EA1194">
            <w:pPr>
              <w:pStyle w:val="Default"/>
              <w:rPr>
                <w:rFonts w:asciiTheme="minorHAnsi" w:hAnsiTheme="minorHAnsi" w:cstheme="minorHAnsi"/>
                <w:iCs/>
                <w:color w:val="auto"/>
                <w:sz w:val="22"/>
                <w:szCs w:val="22"/>
              </w:rPr>
            </w:pPr>
          </w:p>
          <w:p w14:paraId="0D39CBCC" w14:textId="30439AFE" w:rsidR="008226B8" w:rsidRPr="00A36F28" w:rsidRDefault="008226B8" w:rsidP="00EA1194">
            <w:pPr>
              <w:pStyle w:val="Default"/>
              <w:rPr>
                <w:rFonts w:asciiTheme="minorHAnsi" w:hAnsiTheme="minorHAnsi" w:cstheme="minorHAnsi"/>
                <w:iCs/>
                <w:color w:val="auto"/>
                <w:sz w:val="22"/>
                <w:szCs w:val="22"/>
              </w:rPr>
            </w:pPr>
          </w:p>
        </w:tc>
      </w:tr>
      <w:tr w:rsidR="00E30AEB" w:rsidRPr="00A36F28" w14:paraId="4C487736" w14:textId="77777777" w:rsidTr="00B4523E">
        <w:tc>
          <w:tcPr>
            <w:tcW w:w="1668" w:type="dxa"/>
            <w:shd w:val="clear" w:color="auto" w:fill="auto"/>
          </w:tcPr>
          <w:p w14:paraId="697DF2F8" w14:textId="5B68D4DA" w:rsidR="00EA1194" w:rsidRPr="00A36F28" w:rsidRDefault="00EA1194" w:rsidP="008226B8">
            <w:pPr>
              <w:jc w:val="center"/>
            </w:pPr>
            <w:r w:rsidRPr="00A36F28">
              <w:lastRenderedPageBreak/>
              <w:t>E</w:t>
            </w:r>
            <w:r w:rsidR="008226B8" w:rsidRPr="00A36F28">
              <w:t>N</w:t>
            </w:r>
            <w:r w:rsidRPr="00A36F28">
              <w:t>WM.1</w:t>
            </w:r>
            <w:r w:rsidR="00C13984" w:rsidRPr="00A36F28">
              <w:t>6</w:t>
            </w:r>
          </w:p>
        </w:tc>
        <w:tc>
          <w:tcPr>
            <w:tcW w:w="1162" w:type="dxa"/>
            <w:shd w:val="clear" w:color="auto" w:fill="auto"/>
          </w:tcPr>
          <w:p w14:paraId="58F2A0C0" w14:textId="4EE058A7" w:rsidR="00EA1194" w:rsidRPr="00A36F28" w:rsidRDefault="00EA1194" w:rsidP="00517BC0">
            <w:pPr>
              <w:pStyle w:val="Default"/>
              <w:jc w:val="center"/>
              <w:rPr>
                <w:i/>
                <w:iCs/>
                <w:color w:val="auto"/>
                <w:sz w:val="20"/>
                <w:szCs w:val="20"/>
              </w:rPr>
            </w:pPr>
            <w:r w:rsidRPr="00A36F28">
              <w:rPr>
                <w:color w:val="auto"/>
                <w:sz w:val="20"/>
                <w:szCs w:val="20"/>
              </w:rPr>
              <w:t>GEN</w:t>
            </w:r>
          </w:p>
        </w:tc>
        <w:tc>
          <w:tcPr>
            <w:tcW w:w="10206" w:type="dxa"/>
          </w:tcPr>
          <w:p w14:paraId="1A18AA20" w14:textId="77777777" w:rsidR="00173BAE" w:rsidRPr="00A36F28" w:rsidRDefault="00173BAE" w:rsidP="00173BAE">
            <w:pPr>
              <w:rPr>
                <w:rFonts w:eastAsia="Calibri" w:cstheme="minorHAnsi"/>
                <w:iCs/>
                <w:lang w:eastAsia="en-CA"/>
              </w:rPr>
            </w:pPr>
            <w:r w:rsidRPr="00A36F28">
              <w:rPr>
                <w:rFonts w:eastAsia="Calibri" w:cstheme="minorHAnsi"/>
                <w:iCs/>
                <w:lang w:eastAsia="en-CA"/>
              </w:rPr>
              <w:t>The entity under assessment MUST enforce access controls to ensure that only authorized personnel can update identity information or relationship information.</w:t>
            </w:r>
          </w:p>
          <w:p w14:paraId="7018C720" w14:textId="77777777" w:rsidR="00173BAE" w:rsidRPr="00A36F28" w:rsidRDefault="00173BAE" w:rsidP="00EA1194">
            <w:pPr>
              <w:pStyle w:val="Default"/>
              <w:pBdr>
                <w:bottom w:val="single" w:sz="6" w:space="1" w:color="auto"/>
              </w:pBdr>
              <w:rPr>
                <w:rFonts w:asciiTheme="minorHAnsi" w:hAnsiTheme="minorHAnsi" w:cstheme="minorHAnsi"/>
                <w:iCs/>
                <w:color w:val="auto"/>
                <w:sz w:val="22"/>
                <w:szCs w:val="22"/>
              </w:rPr>
            </w:pPr>
          </w:p>
          <w:p w14:paraId="684F81E0" w14:textId="07C4AC68" w:rsidR="00042E28" w:rsidRPr="00A36F28" w:rsidRDefault="00042E28" w:rsidP="00EA1194">
            <w:pPr>
              <w:pStyle w:val="Default"/>
              <w:rPr>
                <w:rFonts w:asciiTheme="minorHAnsi" w:hAnsiTheme="minorHAnsi" w:cstheme="minorHAnsi"/>
                <w:color w:val="auto"/>
                <w:sz w:val="22"/>
                <w:szCs w:val="22"/>
              </w:rPr>
            </w:pPr>
          </w:p>
          <w:p w14:paraId="1F16CFD3" w14:textId="13EF89DB" w:rsidR="008226B8" w:rsidRPr="00A36F28" w:rsidRDefault="008226B8" w:rsidP="00EA1194">
            <w:pPr>
              <w:pStyle w:val="Default"/>
              <w:rPr>
                <w:rFonts w:asciiTheme="minorHAnsi" w:hAnsiTheme="minorHAnsi" w:cstheme="minorHAnsi"/>
                <w:color w:val="auto"/>
                <w:sz w:val="22"/>
                <w:szCs w:val="22"/>
              </w:rPr>
            </w:pPr>
          </w:p>
          <w:p w14:paraId="67885A84" w14:textId="77777777" w:rsidR="008226B8" w:rsidRPr="00A36F28" w:rsidRDefault="008226B8" w:rsidP="00EA1194">
            <w:pPr>
              <w:pStyle w:val="Default"/>
              <w:rPr>
                <w:rFonts w:asciiTheme="minorHAnsi" w:hAnsiTheme="minorHAnsi" w:cstheme="minorHAnsi"/>
                <w:color w:val="auto"/>
                <w:sz w:val="22"/>
                <w:szCs w:val="22"/>
              </w:rPr>
            </w:pPr>
          </w:p>
          <w:p w14:paraId="1FDF157F" w14:textId="04C243C0" w:rsidR="00A21886" w:rsidRPr="00A36F28" w:rsidRDefault="00A21886" w:rsidP="00EA1194">
            <w:pPr>
              <w:pStyle w:val="Default"/>
              <w:rPr>
                <w:rFonts w:asciiTheme="minorHAnsi" w:hAnsiTheme="minorHAnsi" w:cstheme="minorHAnsi"/>
                <w:iCs/>
                <w:color w:val="auto"/>
                <w:sz w:val="22"/>
                <w:szCs w:val="22"/>
              </w:rPr>
            </w:pPr>
          </w:p>
        </w:tc>
      </w:tr>
    </w:tbl>
    <w:p w14:paraId="1EB059F1" w14:textId="77777777" w:rsidR="002A5381" w:rsidRPr="00A36F28" w:rsidRDefault="002A5381"/>
    <w:sectPr w:rsidR="002A5381" w:rsidRPr="00A36F28" w:rsidSect="00CD691B">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BF46" w14:textId="77777777" w:rsidR="00DA43CE" w:rsidRDefault="00DA43CE" w:rsidP="002A5381">
      <w:pPr>
        <w:spacing w:after="0" w:line="240" w:lineRule="auto"/>
      </w:pPr>
      <w:r>
        <w:separator/>
      </w:r>
    </w:p>
  </w:endnote>
  <w:endnote w:type="continuationSeparator" w:id="0">
    <w:p w14:paraId="61253A2A" w14:textId="77777777" w:rsidR="00DA43CE" w:rsidRDefault="00DA43CE"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57AF" w14:textId="77777777" w:rsidR="003E0DE8" w:rsidRDefault="003E0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35DDF48A" w:rsidR="006B3B62" w:rsidRDefault="006B3B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103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103E">
              <w:rPr>
                <w:b/>
                <w:bCs/>
                <w:noProof/>
              </w:rPr>
              <w:t>9</w:t>
            </w:r>
            <w:r>
              <w:rPr>
                <w:b/>
                <w:bCs/>
                <w:sz w:val="24"/>
                <w:szCs w:val="24"/>
              </w:rPr>
              <w:fldChar w:fldCharType="end"/>
            </w:r>
          </w:p>
        </w:sdtContent>
      </w:sdt>
    </w:sdtContent>
  </w:sdt>
  <w:p w14:paraId="0280D8EA" w14:textId="77777777" w:rsidR="006B3B62" w:rsidRDefault="006B3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B3CE" w14:textId="77777777" w:rsidR="003E0DE8" w:rsidRDefault="003E0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AEEF" w14:textId="77777777" w:rsidR="00DA43CE" w:rsidRDefault="00DA43CE" w:rsidP="002A5381">
      <w:pPr>
        <w:spacing w:after="0" w:line="240" w:lineRule="auto"/>
      </w:pPr>
      <w:r>
        <w:separator/>
      </w:r>
    </w:p>
  </w:footnote>
  <w:footnote w:type="continuationSeparator" w:id="0">
    <w:p w14:paraId="10583992" w14:textId="77777777" w:rsidR="00DA43CE" w:rsidRDefault="00DA43CE"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BE01" w14:textId="77777777" w:rsidR="003E0DE8" w:rsidRDefault="003E0D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5839" w14:textId="239D83EB" w:rsidR="00E30AEB" w:rsidRPr="00E9091A" w:rsidRDefault="00E30AEB" w:rsidP="00E9091A">
    <w:pPr>
      <w:pStyle w:val="Header"/>
      <w:jc w:val="center"/>
      <w:rPr>
        <w:sz w:val="20"/>
        <w:lang w:val="en-US"/>
      </w:rPr>
    </w:pPr>
    <w:r w:rsidRPr="00E9091A">
      <w:rPr>
        <w:sz w:val="20"/>
        <w:lang w:val="en-US"/>
      </w:rPr>
      <w:t>Public Sector Profile of the Pan-Canadian Trust Framework 1.</w:t>
    </w:r>
    <w:r w:rsidR="003E0DE8">
      <w:rPr>
        <w:sz w:val="20"/>
        <w:lang w:val="en-US"/>
      </w:rPr>
      <w:t>5</w:t>
    </w:r>
  </w:p>
  <w:p w14:paraId="112AAF38" w14:textId="77777777" w:rsidR="00E30AEB" w:rsidRPr="00E30AEB" w:rsidRDefault="00E30AEB" w:rsidP="00441D2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D465" w14:textId="77777777" w:rsidR="003E0DE8" w:rsidRDefault="003E0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25E"/>
    <w:multiLevelType w:val="hybridMultilevel"/>
    <w:tmpl w:val="1CD214DE"/>
    <w:lvl w:ilvl="0" w:tplc="CE926E2C">
      <w:start w:val="1"/>
      <w:numFmt w:val="decimal"/>
      <w:lvlText w:val="%1."/>
      <w:lvlJc w:val="left"/>
      <w:pPr>
        <w:ind w:left="720" w:hanging="360"/>
      </w:pPr>
      <w:rPr>
        <w:rFont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B13DD"/>
    <w:multiLevelType w:val="hybridMultilevel"/>
    <w:tmpl w:val="8B86F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976D7"/>
    <w:multiLevelType w:val="hybridMultilevel"/>
    <w:tmpl w:val="D2D4B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E61D92"/>
    <w:multiLevelType w:val="hybridMultilevel"/>
    <w:tmpl w:val="3E6E96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3E7D61"/>
    <w:multiLevelType w:val="hybridMultilevel"/>
    <w:tmpl w:val="68A02A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F847DA"/>
    <w:multiLevelType w:val="hybridMultilevel"/>
    <w:tmpl w:val="8A009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E429F9"/>
    <w:multiLevelType w:val="hybridMultilevel"/>
    <w:tmpl w:val="D2A234B4"/>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3080694"/>
    <w:multiLevelType w:val="hybridMultilevel"/>
    <w:tmpl w:val="1780DAA4"/>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85262E"/>
    <w:multiLevelType w:val="hybridMultilevel"/>
    <w:tmpl w:val="FD069BC4"/>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0557E8"/>
    <w:multiLevelType w:val="hybridMultilevel"/>
    <w:tmpl w:val="30DA9F4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126403"/>
    <w:multiLevelType w:val="hybridMultilevel"/>
    <w:tmpl w:val="45BA4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471AE2"/>
    <w:multiLevelType w:val="hybridMultilevel"/>
    <w:tmpl w:val="891EE2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24667C"/>
    <w:multiLevelType w:val="hybridMultilevel"/>
    <w:tmpl w:val="BCE0588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FE59F7"/>
    <w:multiLevelType w:val="hybridMultilevel"/>
    <w:tmpl w:val="694AB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E307B2"/>
    <w:multiLevelType w:val="hybridMultilevel"/>
    <w:tmpl w:val="B8727BC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6415AF"/>
    <w:multiLevelType w:val="hybridMultilevel"/>
    <w:tmpl w:val="301C27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57B3BC9"/>
    <w:multiLevelType w:val="hybridMultilevel"/>
    <w:tmpl w:val="CA78DB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214169">
    <w:abstractNumId w:val="6"/>
  </w:num>
  <w:num w:numId="2" w16cid:durableId="159472036">
    <w:abstractNumId w:val="8"/>
  </w:num>
  <w:num w:numId="3" w16cid:durableId="476382584">
    <w:abstractNumId w:val="2"/>
  </w:num>
  <w:num w:numId="4" w16cid:durableId="1811708460">
    <w:abstractNumId w:val="11"/>
  </w:num>
  <w:num w:numId="5" w16cid:durableId="1768305894">
    <w:abstractNumId w:val="10"/>
  </w:num>
  <w:num w:numId="6" w16cid:durableId="1401709313">
    <w:abstractNumId w:val="9"/>
  </w:num>
  <w:num w:numId="7" w16cid:durableId="9378583">
    <w:abstractNumId w:val="13"/>
  </w:num>
  <w:num w:numId="8" w16cid:durableId="138809624">
    <w:abstractNumId w:val="3"/>
  </w:num>
  <w:num w:numId="9" w16cid:durableId="753818772">
    <w:abstractNumId w:val="19"/>
  </w:num>
  <w:num w:numId="10" w16cid:durableId="1883857976">
    <w:abstractNumId w:val="7"/>
  </w:num>
  <w:num w:numId="11" w16cid:durableId="1091321378">
    <w:abstractNumId w:val="1"/>
  </w:num>
  <w:num w:numId="12" w16cid:durableId="1189486920">
    <w:abstractNumId w:val="5"/>
  </w:num>
  <w:num w:numId="13" w16cid:durableId="74741385">
    <w:abstractNumId w:val="3"/>
  </w:num>
  <w:num w:numId="14" w16cid:durableId="1249921615">
    <w:abstractNumId w:val="16"/>
  </w:num>
  <w:num w:numId="15" w16cid:durableId="84807184">
    <w:abstractNumId w:val="18"/>
  </w:num>
  <w:num w:numId="16" w16cid:durableId="1395665826">
    <w:abstractNumId w:val="12"/>
  </w:num>
  <w:num w:numId="17" w16cid:durableId="1341931169">
    <w:abstractNumId w:val="0"/>
  </w:num>
  <w:num w:numId="18" w16cid:durableId="458038070">
    <w:abstractNumId w:val="17"/>
  </w:num>
  <w:num w:numId="19" w16cid:durableId="561671769">
    <w:abstractNumId w:val="15"/>
  </w:num>
  <w:num w:numId="20" w16cid:durableId="173809245">
    <w:abstractNumId w:val="4"/>
  </w:num>
  <w:num w:numId="21" w16cid:durableId="21165135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07833"/>
    <w:rsid w:val="00030CB0"/>
    <w:rsid w:val="00031003"/>
    <w:rsid w:val="00042E28"/>
    <w:rsid w:val="00047933"/>
    <w:rsid w:val="0005021B"/>
    <w:rsid w:val="00052483"/>
    <w:rsid w:val="00057469"/>
    <w:rsid w:val="00063AAC"/>
    <w:rsid w:val="00076D43"/>
    <w:rsid w:val="000964EF"/>
    <w:rsid w:val="000C2ABD"/>
    <w:rsid w:val="000C6317"/>
    <w:rsid w:val="0010261A"/>
    <w:rsid w:val="00131110"/>
    <w:rsid w:val="00164D01"/>
    <w:rsid w:val="0017118A"/>
    <w:rsid w:val="00173BAE"/>
    <w:rsid w:val="001C6E76"/>
    <w:rsid w:val="001C7115"/>
    <w:rsid w:val="002131DF"/>
    <w:rsid w:val="002322AB"/>
    <w:rsid w:val="00237B37"/>
    <w:rsid w:val="00295B85"/>
    <w:rsid w:val="002A5381"/>
    <w:rsid w:val="002B2AB8"/>
    <w:rsid w:val="002C103E"/>
    <w:rsid w:val="002C5940"/>
    <w:rsid w:val="002D007F"/>
    <w:rsid w:val="002E4653"/>
    <w:rsid w:val="002F19A7"/>
    <w:rsid w:val="0039430F"/>
    <w:rsid w:val="003A51CC"/>
    <w:rsid w:val="003B1FD2"/>
    <w:rsid w:val="003D1497"/>
    <w:rsid w:val="003E0DE8"/>
    <w:rsid w:val="003F7561"/>
    <w:rsid w:val="004032E2"/>
    <w:rsid w:val="004044B4"/>
    <w:rsid w:val="004069E1"/>
    <w:rsid w:val="004074C7"/>
    <w:rsid w:val="00441D21"/>
    <w:rsid w:val="00451074"/>
    <w:rsid w:val="004B39D4"/>
    <w:rsid w:val="004D3B8C"/>
    <w:rsid w:val="004D4ED7"/>
    <w:rsid w:val="004F097D"/>
    <w:rsid w:val="00506ACD"/>
    <w:rsid w:val="00512A83"/>
    <w:rsid w:val="00512B09"/>
    <w:rsid w:val="00517BC0"/>
    <w:rsid w:val="00520069"/>
    <w:rsid w:val="005206B9"/>
    <w:rsid w:val="00530EC7"/>
    <w:rsid w:val="00575336"/>
    <w:rsid w:val="005C763F"/>
    <w:rsid w:val="005D3D01"/>
    <w:rsid w:val="005E2DD8"/>
    <w:rsid w:val="005E593C"/>
    <w:rsid w:val="005F7741"/>
    <w:rsid w:val="00611489"/>
    <w:rsid w:val="00616D92"/>
    <w:rsid w:val="0063305C"/>
    <w:rsid w:val="0064334E"/>
    <w:rsid w:val="0065183F"/>
    <w:rsid w:val="00655320"/>
    <w:rsid w:val="00664247"/>
    <w:rsid w:val="00666588"/>
    <w:rsid w:val="006750C0"/>
    <w:rsid w:val="00687335"/>
    <w:rsid w:val="006A7FCB"/>
    <w:rsid w:val="006B3B62"/>
    <w:rsid w:val="006D29A9"/>
    <w:rsid w:val="006E3341"/>
    <w:rsid w:val="00755BA2"/>
    <w:rsid w:val="00755DF9"/>
    <w:rsid w:val="00765A80"/>
    <w:rsid w:val="007B33AB"/>
    <w:rsid w:val="007C2A73"/>
    <w:rsid w:val="007E074A"/>
    <w:rsid w:val="007E0FD5"/>
    <w:rsid w:val="007E35E0"/>
    <w:rsid w:val="00805FBB"/>
    <w:rsid w:val="00812CE2"/>
    <w:rsid w:val="00813055"/>
    <w:rsid w:val="008226B8"/>
    <w:rsid w:val="00831603"/>
    <w:rsid w:val="00891AEC"/>
    <w:rsid w:val="008A7ECB"/>
    <w:rsid w:val="008C2765"/>
    <w:rsid w:val="008C3F80"/>
    <w:rsid w:val="008F2FC6"/>
    <w:rsid w:val="00911608"/>
    <w:rsid w:val="00911A86"/>
    <w:rsid w:val="00955384"/>
    <w:rsid w:val="00981E6F"/>
    <w:rsid w:val="009E66BC"/>
    <w:rsid w:val="00A007D4"/>
    <w:rsid w:val="00A038C8"/>
    <w:rsid w:val="00A21886"/>
    <w:rsid w:val="00A24478"/>
    <w:rsid w:val="00A272A9"/>
    <w:rsid w:val="00A319D9"/>
    <w:rsid w:val="00A36F28"/>
    <w:rsid w:val="00A471DD"/>
    <w:rsid w:val="00A50FBE"/>
    <w:rsid w:val="00A612A8"/>
    <w:rsid w:val="00A61745"/>
    <w:rsid w:val="00A63F25"/>
    <w:rsid w:val="00A724A8"/>
    <w:rsid w:val="00A74909"/>
    <w:rsid w:val="00A779B4"/>
    <w:rsid w:val="00A81476"/>
    <w:rsid w:val="00AC13E5"/>
    <w:rsid w:val="00AE05F1"/>
    <w:rsid w:val="00AE4166"/>
    <w:rsid w:val="00AE464C"/>
    <w:rsid w:val="00B234F1"/>
    <w:rsid w:val="00B4523E"/>
    <w:rsid w:val="00B52EA2"/>
    <w:rsid w:val="00B6383E"/>
    <w:rsid w:val="00B83DB0"/>
    <w:rsid w:val="00B85EAA"/>
    <w:rsid w:val="00BA0FB9"/>
    <w:rsid w:val="00BB138F"/>
    <w:rsid w:val="00BE32C3"/>
    <w:rsid w:val="00BE6F5A"/>
    <w:rsid w:val="00C06F8E"/>
    <w:rsid w:val="00C10AE8"/>
    <w:rsid w:val="00C13984"/>
    <w:rsid w:val="00C31307"/>
    <w:rsid w:val="00C46771"/>
    <w:rsid w:val="00C614FB"/>
    <w:rsid w:val="00C70A59"/>
    <w:rsid w:val="00C71D40"/>
    <w:rsid w:val="00C81DDA"/>
    <w:rsid w:val="00C82D93"/>
    <w:rsid w:val="00CA1182"/>
    <w:rsid w:val="00CA704B"/>
    <w:rsid w:val="00CD691B"/>
    <w:rsid w:val="00CF0A61"/>
    <w:rsid w:val="00D04FE7"/>
    <w:rsid w:val="00D1781A"/>
    <w:rsid w:val="00D36433"/>
    <w:rsid w:val="00D432F3"/>
    <w:rsid w:val="00D54EEE"/>
    <w:rsid w:val="00D56535"/>
    <w:rsid w:val="00D606C7"/>
    <w:rsid w:val="00D636C3"/>
    <w:rsid w:val="00DA43CE"/>
    <w:rsid w:val="00DC5948"/>
    <w:rsid w:val="00DF0F4F"/>
    <w:rsid w:val="00DF38C2"/>
    <w:rsid w:val="00E148BA"/>
    <w:rsid w:val="00E20AAD"/>
    <w:rsid w:val="00E25D46"/>
    <w:rsid w:val="00E30AEB"/>
    <w:rsid w:val="00E41C10"/>
    <w:rsid w:val="00E60F13"/>
    <w:rsid w:val="00E72C60"/>
    <w:rsid w:val="00E9091A"/>
    <w:rsid w:val="00EA1194"/>
    <w:rsid w:val="00EB3C38"/>
    <w:rsid w:val="00ED7E84"/>
    <w:rsid w:val="00EE1698"/>
    <w:rsid w:val="00F06F75"/>
    <w:rsid w:val="00F172B0"/>
    <w:rsid w:val="00F32501"/>
    <w:rsid w:val="00F40976"/>
    <w:rsid w:val="00F43CF6"/>
    <w:rsid w:val="00F57354"/>
    <w:rsid w:val="00F94EE7"/>
    <w:rsid w:val="00FB2B9A"/>
    <w:rsid w:val="00FE5E8F"/>
    <w:rsid w:val="00FE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docId w15:val="{35899054-F272-42A0-99F6-E3D516CB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 w:type="character" w:customStyle="1" w:styleId="ztplmc">
    <w:name w:val="ztplmc"/>
    <w:basedOn w:val="DefaultParagraphFont"/>
    <w:rsid w:val="00CA1182"/>
  </w:style>
  <w:style w:type="character" w:customStyle="1" w:styleId="q4iawc">
    <w:name w:val="q4iawc"/>
    <w:basedOn w:val="DefaultParagraphFont"/>
    <w:rsid w:val="00CA1182"/>
  </w:style>
  <w:style w:type="paragraph" w:styleId="CommentSubject">
    <w:name w:val="annotation subject"/>
    <w:basedOn w:val="CommentText"/>
    <w:next w:val="CommentText"/>
    <w:link w:val="CommentSubjectChar"/>
    <w:uiPriority w:val="99"/>
    <w:semiHidden/>
    <w:unhideWhenUsed/>
    <w:rsid w:val="00A471DD"/>
    <w:pPr>
      <w:widowControl/>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A471DD"/>
    <w:rPr>
      <w:rFonts w:ascii="Calibri" w:eastAsia="Calibri" w:hAnsi="Calibri" w:cs="Calibri"/>
      <w:b/>
      <w:bCs/>
      <w:color w:val="00000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4888">
      <w:bodyDiv w:val="1"/>
      <w:marLeft w:val="0"/>
      <w:marRight w:val="0"/>
      <w:marTop w:val="0"/>
      <w:marBottom w:val="0"/>
      <w:divBdr>
        <w:top w:val="none" w:sz="0" w:space="0" w:color="auto"/>
        <w:left w:val="none" w:sz="0" w:space="0" w:color="auto"/>
        <w:bottom w:val="none" w:sz="0" w:space="0" w:color="auto"/>
        <w:right w:val="none" w:sz="0" w:space="0" w:color="auto"/>
      </w:divBdr>
    </w:div>
    <w:div w:id="234820417">
      <w:bodyDiv w:val="1"/>
      <w:marLeft w:val="0"/>
      <w:marRight w:val="0"/>
      <w:marTop w:val="0"/>
      <w:marBottom w:val="0"/>
      <w:divBdr>
        <w:top w:val="none" w:sz="0" w:space="0" w:color="auto"/>
        <w:left w:val="none" w:sz="0" w:space="0" w:color="auto"/>
        <w:bottom w:val="none" w:sz="0" w:space="0" w:color="auto"/>
        <w:right w:val="none" w:sz="0" w:space="0" w:color="auto"/>
      </w:divBdr>
      <w:divsChild>
        <w:div w:id="606083120">
          <w:marLeft w:val="0"/>
          <w:marRight w:val="0"/>
          <w:marTop w:val="100"/>
          <w:marBottom w:val="0"/>
          <w:divBdr>
            <w:top w:val="none" w:sz="0" w:space="0" w:color="auto"/>
            <w:left w:val="none" w:sz="0" w:space="0" w:color="auto"/>
            <w:bottom w:val="none" w:sz="0" w:space="0" w:color="auto"/>
            <w:right w:val="none" w:sz="0" w:space="0" w:color="auto"/>
          </w:divBdr>
        </w:div>
        <w:div w:id="1874534125">
          <w:marLeft w:val="0"/>
          <w:marRight w:val="0"/>
          <w:marTop w:val="0"/>
          <w:marBottom w:val="0"/>
          <w:divBdr>
            <w:top w:val="none" w:sz="0" w:space="0" w:color="auto"/>
            <w:left w:val="none" w:sz="0" w:space="0" w:color="auto"/>
            <w:bottom w:val="none" w:sz="0" w:space="0" w:color="auto"/>
            <w:right w:val="none" w:sz="0" w:space="0" w:color="auto"/>
          </w:divBdr>
          <w:divsChild>
            <w:div w:id="782381219">
              <w:marLeft w:val="0"/>
              <w:marRight w:val="0"/>
              <w:marTop w:val="0"/>
              <w:marBottom w:val="0"/>
              <w:divBdr>
                <w:top w:val="none" w:sz="0" w:space="0" w:color="auto"/>
                <w:left w:val="none" w:sz="0" w:space="0" w:color="auto"/>
                <w:bottom w:val="none" w:sz="0" w:space="0" w:color="auto"/>
                <w:right w:val="none" w:sz="0" w:space="0" w:color="auto"/>
              </w:divBdr>
              <w:divsChild>
                <w:div w:id="2123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1462">
      <w:bodyDiv w:val="1"/>
      <w:marLeft w:val="0"/>
      <w:marRight w:val="0"/>
      <w:marTop w:val="0"/>
      <w:marBottom w:val="0"/>
      <w:divBdr>
        <w:top w:val="none" w:sz="0" w:space="0" w:color="auto"/>
        <w:left w:val="none" w:sz="0" w:space="0" w:color="auto"/>
        <w:bottom w:val="none" w:sz="0" w:space="0" w:color="auto"/>
        <w:right w:val="none" w:sz="0" w:space="0" w:color="auto"/>
      </w:divBdr>
    </w:div>
    <w:div w:id="360473560">
      <w:bodyDiv w:val="1"/>
      <w:marLeft w:val="0"/>
      <w:marRight w:val="0"/>
      <w:marTop w:val="0"/>
      <w:marBottom w:val="0"/>
      <w:divBdr>
        <w:top w:val="none" w:sz="0" w:space="0" w:color="auto"/>
        <w:left w:val="none" w:sz="0" w:space="0" w:color="auto"/>
        <w:bottom w:val="none" w:sz="0" w:space="0" w:color="auto"/>
        <w:right w:val="none" w:sz="0" w:space="0" w:color="auto"/>
      </w:divBdr>
    </w:div>
    <w:div w:id="590510655">
      <w:bodyDiv w:val="1"/>
      <w:marLeft w:val="0"/>
      <w:marRight w:val="0"/>
      <w:marTop w:val="0"/>
      <w:marBottom w:val="0"/>
      <w:divBdr>
        <w:top w:val="none" w:sz="0" w:space="0" w:color="auto"/>
        <w:left w:val="none" w:sz="0" w:space="0" w:color="auto"/>
        <w:bottom w:val="none" w:sz="0" w:space="0" w:color="auto"/>
        <w:right w:val="none" w:sz="0" w:space="0" w:color="auto"/>
      </w:divBdr>
    </w:div>
    <w:div w:id="614407555">
      <w:bodyDiv w:val="1"/>
      <w:marLeft w:val="0"/>
      <w:marRight w:val="0"/>
      <w:marTop w:val="0"/>
      <w:marBottom w:val="0"/>
      <w:divBdr>
        <w:top w:val="none" w:sz="0" w:space="0" w:color="auto"/>
        <w:left w:val="none" w:sz="0" w:space="0" w:color="auto"/>
        <w:bottom w:val="none" w:sz="0" w:space="0" w:color="auto"/>
        <w:right w:val="none" w:sz="0" w:space="0" w:color="auto"/>
      </w:divBdr>
    </w:div>
    <w:div w:id="629438190">
      <w:bodyDiv w:val="1"/>
      <w:marLeft w:val="0"/>
      <w:marRight w:val="0"/>
      <w:marTop w:val="0"/>
      <w:marBottom w:val="0"/>
      <w:divBdr>
        <w:top w:val="none" w:sz="0" w:space="0" w:color="auto"/>
        <w:left w:val="none" w:sz="0" w:space="0" w:color="auto"/>
        <w:bottom w:val="none" w:sz="0" w:space="0" w:color="auto"/>
        <w:right w:val="none" w:sz="0" w:space="0" w:color="auto"/>
      </w:divBdr>
    </w:div>
    <w:div w:id="633029412">
      <w:bodyDiv w:val="1"/>
      <w:marLeft w:val="0"/>
      <w:marRight w:val="0"/>
      <w:marTop w:val="0"/>
      <w:marBottom w:val="0"/>
      <w:divBdr>
        <w:top w:val="none" w:sz="0" w:space="0" w:color="auto"/>
        <w:left w:val="none" w:sz="0" w:space="0" w:color="auto"/>
        <w:bottom w:val="none" w:sz="0" w:space="0" w:color="auto"/>
        <w:right w:val="none" w:sz="0" w:space="0" w:color="auto"/>
      </w:divBdr>
      <w:divsChild>
        <w:div w:id="514423416">
          <w:marLeft w:val="0"/>
          <w:marRight w:val="0"/>
          <w:marTop w:val="100"/>
          <w:marBottom w:val="0"/>
          <w:divBdr>
            <w:top w:val="none" w:sz="0" w:space="0" w:color="auto"/>
            <w:left w:val="none" w:sz="0" w:space="0" w:color="auto"/>
            <w:bottom w:val="none" w:sz="0" w:space="0" w:color="auto"/>
            <w:right w:val="none" w:sz="0" w:space="0" w:color="auto"/>
          </w:divBdr>
        </w:div>
        <w:div w:id="1266960060">
          <w:marLeft w:val="0"/>
          <w:marRight w:val="0"/>
          <w:marTop w:val="0"/>
          <w:marBottom w:val="0"/>
          <w:divBdr>
            <w:top w:val="none" w:sz="0" w:space="0" w:color="auto"/>
            <w:left w:val="none" w:sz="0" w:space="0" w:color="auto"/>
            <w:bottom w:val="none" w:sz="0" w:space="0" w:color="auto"/>
            <w:right w:val="none" w:sz="0" w:space="0" w:color="auto"/>
          </w:divBdr>
          <w:divsChild>
            <w:div w:id="1050807746">
              <w:marLeft w:val="0"/>
              <w:marRight w:val="0"/>
              <w:marTop w:val="0"/>
              <w:marBottom w:val="0"/>
              <w:divBdr>
                <w:top w:val="none" w:sz="0" w:space="0" w:color="auto"/>
                <w:left w:val="none" w:sz="0" w:space="0" w:color="auto"/>
                <w:bottom w:val="none" w:sz="0" w:space="0" w:color="auto"/>
                <w:right w:val="none" w:sz="0" w:space="0" w:color="auto"/>
              </w:divBdr>
              <w:divsChild>
                <w:div w:id="2175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1478">
      <w:bodyDiv w:val="1"/>
      <w:marLeft w:val="0"/>
      <w:marRight w:val="0"/>
      <w:marTop w:val="0"/>
      <w:marBottom w:val="0"/>
      <w:divBdr>
        <w:top w:val="none" w:sz="0" w:space="0" w:color="auto"/>
        <w:left w:val="none" w:sz="0" w:space="0" w:color="auto"/>
        <w:bottom w:val="none" w:sz="0" w:space="0" w:color="auto"/>
        <w:right w:val="none" w:sz="0" w:space="0" w:color="auto"/>
      </w:divBdr>
    </w:div>
    <w:div w:id="896548419">
      <w:bodyDiv w:val="1"/>
      <w:marLeft w:val="0"/>
      <w:marRight w:val="0"/>
      <w:marTop w:val="0"/>
      <w:marBottom w:val="0"/>
      <w:divBdr>
        <w:top w:val="none" w:sz="0" w:space="0" w:color="auto"/>
        <w:left w:val="none" w:sz="0" w:space="0" w:color="auto"/>
        <w:bottom w:val="none" w:sz="0" w:space="0" w:color="auto"/>
        <w:right w:val="none" w:sz="0" w:space="0" w:color="auto"/>
      </w:divBdr>
    </w:div>
    <w:div w:id="960264730">
      <w:bodyDiv w:val="1"/>
      <w:marLeft w:val="0"/>
      <w:marRight w:val="0"/>
      <w:marTop w:val="0"/>
      <w:marBottom w:val="0"/>
      <w:divBdr>
        <w:top w:val="none" w:sz="0" w:space="0" w:color="auto"/>
        <w:left w:val="none" w:sz="0" w:space="0" w:color="auto"/>
        <w:bottom w:val="none" w:sz="0" w:space="0" w:color="auto"/>
        <w:right w:val="none" w:sz="0" w:space="0" w:color="auto"/>
      </w:divBdr>
    </w:div>
    <w:div w:id="1108819517">
      <w:bodyDiv w:val="1"/>
      <w:marLeft w:val="0"/>
      <w:marRight w:val="0"/>
      <w:marTop w:val="0"/>
      <w:marBottom w:val="0"/>
      <w:divBdr>
        <w:top w:val="none" w:sz="0" w:space="0" w:color="auto"/>
        <w:left w:val="none" w:sz="0" w:space="0" w:color="auto"/>
        <w:bottom w:val="none" w:sz="0" w:space="0" w:color="auto"/>
        <w:right w:val="none" w:sz="0" w:space="0" w:color="auto"/>
      </w:divBdr>
    </w:div>
    <w:div w:id="1195576264">
      <w:bodyDiv w:val="1"/>
      <w:marLeft w:val="0"/>
      <w:marRight w:val="0"/>
      <w:marTop w:val="0"/>
      <w:marBottom w:val="0"/>
      <w:divBdr>
        <w:top w:val="none" w:sz="0" w:space="0" w:color="auto"/>
        <w:left w:val="none" w:sz="0" w:space="0" w:color="auto"/>
        <w:bottom w:val="none" w:sz="0" w:space="0" w:color="auto"/>
        <w:right w:val="none" w:sz="0" w:space="0" w:color="auto"/>
      </w:divBdr>
    </w:div>
    <w:div w:id="1234587866">
      <w:bodyDiv w:val="1"/>
      <w:marLeft w:val="0"/>
      <w:marRight w:val="0"/>
      <w:marTop w:val="0"/>
      <w:marBottom w:val="0"/>
      <w:divBdr>
        <w:top w:val="none" w:sz="0" w:space="0" w:color="auto"/>
        <w:left w:val="none" w:sz="0" w:space="0" w:color="auto"/>
        <w:bottom w:val="none" w:sz="0" w:space="0" w:color="auto"/>
        <w:right w:val="none" w:sz="0" w:space="0" w:color="auto"/>
      </w:divBdr>
    </w:div>
    <w:div w:id="1317223102">
      <w:bodyDiv w:val="1"/>
      <w:marLeft w:val="0"/>
      <w:marRight w:val="0"/>
      <w:marTop w:val="0"/>
      <w:marBottom w:val="0"/>
      <w:divBdr>
        <w:top w:val="none" w:sz="0" w:space="0" w:color="auto"/>
        <w:left w:val="none" w:sz="0" w:space="0" w:color="auto"/>
        <w:bottom w:val="none" w:sz="0" w:space="0" w:color="auto"/>
        <w:right w:val="none" w:sz="0" w:space="0" w:color="auto"/>
      </w:divBdr>
    </w:div>
    <w:div w:id="1351302334">
      <w:bodyDiv w:val="1"/>
      <w:marLeft w:val="0"/>
      <w:marRight w:val="0"/>
      <w:marTop w:val="0"/>
      <w:marBottom w:val="0"/>
      <w:divBdr>
        <w:top w:val="none" w:sz="0" w:space="0" w:color="auto"/>
        <w:left w:val="none" w:sz="0" w:space="0" w:color="auto"/>
        <w:bottom w:val="none" w:sz="0" w:space="0" w:color="auto"/>
        <w:right w:val="none" w:sz="0" w:space="0" w:color="auto"/>
      </w:divBdr>
    </w:div>
    <w:div w:id="1373534888">
      <w:bodyDiv w:val="1"/>
      <w:marLeft w:val="0"/>
      <w:marRight w:val="0"/>
      <w:marTop w:val="0"/>
      <w:marBottom w:val="0"/>
      <w:divBdr>
        <w:top w:val="none" w:sz="0" w:space="0" w:color="auto"/>
        <w:left w:val="none" w:sz="0" w:space="0" w:color="auto"/>
        <w:bottom w:val="none" w:sz="0" w:space="0" w:color="auto"/>
        <w:right w:val="none" w:sz="0" w:space="0" w:color="auto"/>
      </w:divBdr>
    </w:div>
    <w:div w:id="1408378738">
      <w:bodyDiv w:val="1"/>
      <w:marLeft w:val="0"/>
      <w:marRight w:val="0"/>
      <w:marTop w:val="0"/>
      <w:marBottom w:val="0"/>
      <w:divBdr>
        <w:top w:val="none" w:sz="0" w:space="0" w:color="auto"/>
        <w:left w:val="none" w:sz="0" w:space="0" w:color="auto"/>
        <w:bottom w:val="none" w:sz="0" w:space="0" w:color="auto"/>
        <w:right w:val="none" w:sz="0" w:space="0" w:color="auto"/>
      </w:divBdr>
    </w:div>
    <w:div w:id="1631594019">
      <w:bodyDiv w:val="1"/>
      <w:marLeft w:val="0"/>
      <w:marRight w:val="0"/>
      <w:marTop w:val="0"/>
      <w:marBottom w:val="0"/>
      <w:divBdr>
        <w:top w:val="none" w:sz="0" w:space="0" w:color="auto"/>
        <w:left w:val="none" w:sz="0" w:space="0" w:color="auto"/>
        <w:bottom w:val="none" w:sz="0" w:space="0" w:color="auto"/>
        <w:right w:val="none" w:sz="0" w:space="0" w:color="auto"/>
      </w:divBdr>
    </w:div>
    <w:div w:id="1726174228">
      <w:bodyDiv w:val="1"/>
      <w:marLeft w:val="0"/>
      <w:marRight w:val="0"/>
      <w:marTop w:val="0"/>
      <w:marBottom w:val="0"/>
      <w:divBdr>
        <w:top w:val="none" w:sz="0" w:space="0" w:color="auto"/>
        <w:left w:val="none" w:sz="0" w:space="0" w:color="auto"/>
        <w:bottom w:val="none" w:sz="0" w:space="0" w:color="auto"/>
        <w:right w:val="none" w:sz="0" w:space="0" w:color="auto"/>
      </w:divBdr>
    </w:div>
    <w:div w:id="176503201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 w:id="1903516399">
      <w:bodyDiv w:val="1"/>
      <w:marLeft w:val="0"/>
      <w:marRight w:val="0"/>
      <w:marTop w:val="0"/>
      <w:marBottom w:val="0"/>
      <w:divBdr>
        <w:top w:val="none" w:sz="0" w:space="0" w:color="auto"/>
        <w:left w:val="none" w:sz="0" w:space="0" w:color="auto"/>
        <w:bottom w:val="none" w:sz="0" w:space="0" w:color="auto"/>
        <w:right w:val="none" w:sz="0" w:space="0" w:color="auto"/>
      </w:divBdr>
    </w:div>
    <w:div w:id="209820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D0ABEA27D8644BE07C5F4EE1C2363" ma:contentTypeVersion="31" ma:contentTypeDescription="Create a new document." ma:contentTypeScope="" ma:versionID="94e80676702c98e1a906da65cfa1df5d">
  <xsd:schema xmlns:xsd="http://www.w3.org/2001/XMLSchema" xmlns:xs="http://www.w3.org/2001/XMLSchema" xmlns:p="http://schemas.microsoft.com/office/2006/metadata/properties" xmlns:ns2="2c55faa6-57f7-4b0f-b6b5-0823775656c7" xmlns:ns3="19b78fa3-e56d-4027-93ee-74ceb562f282" targetNamespace="http://schemas.microsoft.com/office/2006/metadata/properties" ma:root="true" ma:fieldsID="5a62a48896b62ef3442ed411be27f003" ns2:_="" ns3:_="">
    <xsd:import namespace="2c55faa6-57f7-4b0f-b6b5-0823775656c7"/>
    <xsd:import namespace="19b78fa3-e56d-4027-93ee-74ceb562f2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LeadonTasking" minOccurs="0"/>
                <xsd:element ref="ns2:Status" minOccurs="0"/>
                <xsd:element ref="ns2:FY" minOccurs="0"/>
                <xsd:element ref="ns2:SubjectMatter" minOccurs="0"/>
                <xsd:element ref="ns2:Requestor" minOccurs="0"/>
                <xsd:element ref="ns2:Status0" minOccurs="0"/>
                <xsd:element ref="ns2:DueDate" minOccurs="0"/>
                <xsd:element ref="ns2:DGODueDate" minOccurs="0"/>
                <xsd:element ref="ns2:RequestorDueDate" minOccurs="0"/>
                <xsd:element ref="ns2:_Flow_SignoffStatus" minOccurs="0"/>
                <xsd:element ref="ns2:DGO_x0020_to_x0020_Review" minOccurs="0"/>
                <xsd:element ref="ns2:NILResponse" minOccurs="0"/>
                <xsd:element ref="ns2:OriginalRequest" minOccurs="0"/>
                <xsd:element ref="ns2:TaskStatus" minOccurs="0"/>
                <xsd:element ref="ns2:TaskingNumber"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faa6-57f7-4b0f-b6b5-082377565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LeadonTasking" ma:index="22" nillable="true" ma:displayName="Lead on Tasking" ma:description="Assigned to" ma:format="Dropdown" ma:list="UserInfo" ma:SharePointGroup="0" ma:internalName="LeadonTasking">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3" nillable="true" ma:displayName="Status" ma:format="Dropdown" ma:internalName="Status">
      <xsd:complexType>
        <xsd:complexContent>
          <xsd:extension base="dms:MultiChoiceFillIn">
            <xsd:sequence>
              <xsd:element name="Value" maxOccurs="unbounded" minOccurs="0" nillable="true">
                <xsd:simpleType>
                  <xsd:union memberTypes="dms:Text">
                    <xsd:simpleType>
                      <xsd:restriction base="dms:Choice">
                        <xsd:enumeration value="Open"/>
                        <xsd:enumeration value="Assigned"/>
                        <xsd:enumeration value="In progress"/>
                        <xsd:enumeration value="Complete"/>
                      </xsd:restriction>
                    </xsd:simpleType>
                  </xsd:union>
                </xsd:simpleType>
              </xsd:element>
            </xsd:sequence>
          </xsd:extension>
        </xsd:complexContent>
      </xsd:complexType>
    </xsd:element>
    <xsd:element name="FY" ma:index="24" nillable="true" ma:displayName="Date Request Rec'd" ma:default="[today]" ma:description="Month Received" ma:format="DateOnly" ma:internalName="FY">
      <xsd:simpleType>
        <xsd:restriction base="dms:DateTime"/>
      </xsd:simpleType>
    </xsd:element>
    <xsd:element name="SubjectMatter" ma:index="25" nillable="true" ma:displayName="Subject Matter" ma:description="Several lines of text on core subject of request." ma:format="Dropdown" ma:internalName="SubjectMatter">
      <xsd:simpleType>
        <xsd:restriction base="dms:Note">
          <xsd:maxLength value="255"/>
        </xsd:restriction>
      </xsd:simpleType>
    </xsd:element>
    <xsd:element name="Requestor" ma:index="26" nillable="true" ma:displayName="Requestor" ma:description="Name of Org  or Office or Person(s)" ma:format="Dropdown" ma:internalName="Requestor">
      <xsd:complexType>
        <xsd:complexContent>
          <xsd:extension base="dms:MultiChoiceFillIn">
            <xsd:sequence>
              <xsd:element name="Value" maxOccurs="unbounded" minOccurs="0" nillable="true">
                <xsd:simpleType>
                  <xsd:union memberTypes="dms:Text">
                    <xsd:simpleType>
                      <xsd:restriction base="dms:Choice">
                        <xsd:enumeration value="DM"/>
                        <xsd:enumeration value="MINO"/>
                        <xsd:enumeration value="ADM"/>
                        <xsd:enumeration value="Cheryl Gendron"/>
                        <xsd:enumeration value="Chelsea Novak"/>
                        <xsd:enumeration value="Melanie Tremblay"/>
                        <xsd:enumeration value="Claudia Munante"/>
                        <xsd:enumeration value="Jennifer Stephan"/>
                      </xsd:restriction>
                    </xsd:simpleType>
                  </xsd:union>
                </xsd:simpleType>
              </xsd:element>
            </xsd:sequence>
          </xsd:extension>
        </xsd:complexContent>
      </xsd:complexType>
    </xsd:element>
    <xsd:element name="Status0" ma:index="27" nillable="true" ma:displayName="Status " ma:format="Dropdown" ma:internalName="Status0">
      <xsd:simpleType>
        <xsd:restriction base="dms:Text">
          <xsd:maxLength value="255"/>
        </xsd:restriction>
      </xsd:simpleType>
    </xsd:element>
    <xsd:element name="DueDate" ma:index="28" nillable="true" ma:displayName="Due Date" ma:format="DateOnly" ma:internalName="DueDate">
      <xsd:simpleType>
        <xsd:restriction base="dms:DateTime"/>
      </xsd:simpleType>
    </xsd:element>
    <xsd:element name="DGODueDate" ma:index="29" nillable="true" ma:displayName="DGO Due Date" ma:format="DateOnly" ma:internalName="DGODueDate">
      <xsd:simpleType>
        <xsd:restriction base="dms:DateTime"/>
      </xsd:simpleType>
    </xsd:element>
    <xsd:element name="RequestorDueDate" ma:index="30" nillable="true" ma:displayName="Requestor Due Date" ma:format="DateOnly" ma:internalName="RequestorDueDate">
      <xsd:simpleType>
        <xsd:restriction base="dms:DateTime"/>
      </xsd:simpleType>
    </xsd:element>
    <xsd:element name="_Flow_SignoffStatus" ma:index="31" nillable="true" ma:displayName="Sign-off status" ma:format="Dropdown" ma:internalName="Sign_x002d_off_x0020_status">
      <xsd:simpleType>
        <xsd:restriction base="dms:Text">
          <xsd:maxLength value="255"/>
        </xsd:restriction>
      </xsd:simpleType>
    </xsd:element>
    <xsd:element name="DGO_x0020_to_x0020_Review" ma:index="32" nillable="true" ma:displayName="Link - Submission for DGO to Review" ma:description="Team Response ready for review" ma:format="Hyperlink" ma:internalName="DGO_x0020_to_x0020_Review">
      <xsd:complexType>
        <xsd:complexContent>
          <xsd:extension base="dms:URL">
            <xsd:sequence>
              <xsd:element name="Url" type="dms:ValidUrl" minOccurs="0" nillable="true"/>
              <xsd:element name="Description" type="xsd:string" nillable="true"/>
            </xsd:sequence>
          </xsd:extension>
        </xsd:complexContent>
      </xsd:complexType>
    </xsd:element>
    <xsd:element name="NILResponse" ma:index="33" nillable="true" ma:displayName="NIL Response" ma:default="1" ma:description="Team provides a NIL response to this tasking." ma:format="Dropdown" ma:internalName="NILResponse">
      <xsd:simpleType>
        <xsd:restriction base="dms:Boolean"/>
      </xsd:simpleType>
    </xsd:element>
    <xsd:element name="OriginalRequest" ma:index="34" nillable="true" ma:displayName="Original Request Message" ma:default="1" ma:format="Dropdown" ma:internalName="OriginalRequest">
      <xsd:simpleType>
        <xsd:restriction base="dms:Boolean"/>
      </xsd:simpleType>
    </xsd:element>
    <xsd:element name="TaskStatus" ma:index="35" nillable="true" ma:displayName="Task Status" ma:format="Dropdown" ma:internalName="TaskStatus">
      <xsd:simpleType>
        <xsd:union memberTypes="dms:Text">
          <xsd:simpleType>
            <xsd:restriction base="dms:Choice">
              <xsd:enumeration value="Open"/>
              <xsd:enumeration value="Assigned"/>
              <xsd:enumeration value="Assignee Response Received"/>
              <xsd:enumeration value="With DGO for Review"/>
              <xsd:enumeration value="Completed - Returned to requester"/>
              <xsd:enumeration value="Forwarded to others for more input"/>
            </xsd:restriction>
          </xsd:simpleType>
        </xsd:union>
      </xsd:simpleType>
    </xsd:element>
    <xsd:element name="TaskingNumber" ma:index="36" nillable="true" ma:displayName="Tasking Number" ma:format="Dropdown" ma:internalName="TaskingNumber">
      <xsd:simpleType>
        <xsd:restriction base="dms:Text">
          <xsd:maxLength value="255"/>
        </xsd:restriction>
      </xsd:simpleType>
    </xsd:element>
    <xsd:element name="Comments" ma:index="37" nillable="true" ma:displayName="Comments"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b78fa3-e56d-4027-93ee-74ceb562f28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2261ca2-17ed-4b5e-8607-3ef5a7a128fa}" ma:internalName="TaxCatchAll" ma:showField="CatchAllData" ma:web="19b78fa3-e56d-4027-93ee-74ceb562f28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b78fa3-e56d-4027-93ee-74ceb562f282" xsi:nil="true"/>
    <lcf76f155ced4ddcb4097134ff3c332f xmlns="2c55faa6-57f7-4b0f-b6b5-0823775656c7">
      <Terms xmlns="http://schemas.microsoft.com/office/infopath/2007/PartnerControls"/>
    </lcf76f155ced4ddcb4097134ff3c332f>
    <MediaLengthInSeconds xmlns="2c55faa6-57f7-4b0f-b6b5-0823775656c7" xsi:nil="true"/>
    <NILResponse xmlns="2c55faa6-57f7-4b0f-b6b5-0823775656c7">true</NILResponse>
    <OriginalRequest xmlns="2c55faa6-57f7-4b0f-b6b5-0823775656c7">true</OriginalRequest>
    <DGODueDate xmlns="2c55faa6-57f7-4b0f-b6b5-0823775656c7" xsi:nil="true"/>
    <RequestorDueDate xmlns="2c55faa6-57f7-4b0f-b6b5-0823775656c7" xsi:nil="true"/>
    <TaskingNumber xmlns="2c55faa6-57f7-4b0f-b6b5-0823775656c7" xsi:nil="true"/>
    <SubjectMatter xmlns="2c55faa6-57f7-4b0f-b6b5-0823775656c7" xsi:nil="true"/>
    <Status0 xmlns="2c55faa6-57f7-4b0f-b6b5-0823775656c7" xsi:nil="true"/>
    <FY xmlns="2c55faa6-57f7-4b0f-b6b5-0823775656c7">2024-08-20T21:10:05+00:00</FY>
    <TaskStatus xmlns="2c55faa6-57f7-4b0f-b6b5-0823775656c7" xsi:nil="true"/>
    <LeadonTasking xmlns="2c55faa6-57f7-4b0f-b6b5-0823775656c7">
      <UserInfo>
        <DisplayName/>
        <AccountId xsi:nil="true"/>
        <AccountType/>
      </UserInfo>
    </LeadonTasking>
    <Status xmlns="2c55faa6-57f7-4b0f-b6b5-0823775656c7" xsi:nil="true"/>
    <_Flow_SignoffStatus xmlns="2c55faa6-57f7-4b0f-b6b5-0823775656c7" xsi:nil="true"/>
    <Comments xmlns="2c55faa6-57f7-4b0f-b6b5-0823775656c7" xsi:nil="true"/>
    <DGO_x0020_to_x0020_Review xmlns="2c55faa6-57f7-4b0f-b6b5-0823775656c7">
      <Url xsi:nil="true"/>
      <Description xsi:nil="true"/>
    </DGO_x0020_to_x0020_Review>
    <DueDate xmlns="2c55faa6-57f7-4b0f-b6b5-0823775656c7" xsi:nil="true"/>
    <Requestor xmlns="2c55faa6-57f7-4b0f-b6b5-0823775656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EC99C4-2C22-412B-B34B-2F103A4DB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faa6-57f7-4b0f-b6b5-0823775656c7"/>
    <ds:schemaRef ds:uri="19b78fa3-e56d-4027-93ee-74ceb562f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8480EF-52D3-4845-B077-A12FF7E51185}">
  <ds:schemaRefs>
    <ds:schemaRef ds:uri="http://schemas.microsoft.com/office/2006/metadata/properties"/>
    <ds:schemaRef ds:uri="http://schemas.microsoft.com/office/infopath/2007/PartnerControls"/>
    <ds:schemaRef ds:uri="19b78fa3-e56d-4027-93ee-74ceb562f282"/>
    <ds:schemaRef ds:uri="2c55faa6-57f7-4b0f-b6b5-0823775656c7"/>
  </ds:schemaRefs>
</ds:datastoreItem>
</file>

<file path=customXml/itemProps3.xml><?xml version="1.0" encoding="utf-8"?>
<ds:datastoreItem xmlns:ds="http://schemas.openxmlformats.org/officeDocument/2006/customXml" ds:itemID="{47F0A3DB-4A79-4859-A583-EAAB4BBEC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Bouma, Tim</dc:creator>
  <cp:lastModifiedBy>Allard,  Philippe P [NC]</cp:lastModifiedBy>
  <cp:revision>11</cp:revision>
  <dcterms:created xsi:type="dcterms:W3CDTF">2022-10-05T17:52:00Z</dcterms:created>
  <dcterms:modified xsi:type="dcterms:W3CDTF">2024-08-20T23:56:00Z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GrammarlyDocumentId">
    <vt:lpwstr>4afb017f56c43d58e7b4f5428763104a0f1573c7018cffa1c420b68a084cc6e9</vt:lpwstr>
  </property>
  <property fmtid="{D5CDD505-2E9C-101B-9397-08002B2CF9AE}" pid="11" name="ContentTypeId">
    <vt:lpwstr>0x010100381D0ABEA27D8644BE07C5F4EE1C2363</vt:lpwstr>
  </property>
  <property fmtid="{D5CDD505-2E9C-101B-9397-08002B2CF9AE}" pid="12" name="MSIP_Label_3515d617-256d-4284-aedb-1064be1c4b48_Enabled">
    <vt:lpwstr>true</vt:lpwstr>
  </property>
  <property fmtid="{D5CDD505-2E9C-101B-9397-08002B2CF9AE}" pid="13" name="MSIP_Label_3515d617-256d-4284-aedb-1064be1c4b48_SetDate">
    <vt:lpwstr>2022-10-05T17:51:57Z</vt:lpwstr>
  </property>
  <property fmtid="{D5CDD505-2E9C-101B-9397-08002B2CF9AE}" pid="14" name="MSIP_Label_3515d617-256d-4284-aedb-1064be1c4b48_Method">
    <vt:lpwstr>Privileged</vt:lpwstr>
  </property>
  <property fmtid="{D5CDD505-2E9C-101B-9397-08002B2CF9AE}" pid="15" name="MSIP_Label_3515d617-256d-4284-aedb-1064be1c4b48_Name">
    <vt:lpwstr>3515d617-256d-4284-aedb-1064be1c4b48</vt:lpwstr>
  </property>
  <property fmtid="{D5CDD505-2E9C-101B-9397-08002B2CF9AE}" pid="16" name="MSIP_Label_3515d617-256d-4284-aedb-1064be1c4b48_SiteId">
    <vt:lpwstr>6397df10-4595-4047-9c4f-03311282152b</vt:lpwstr>
  </property>
  <property fmtid="{D5CDD505-2E9C-101B-9397-08002B2CF9AE}" pid="17" name="MSIP_Label_3515d617-256d-4284-aedb-1064be1c4b48_ActionId">
    <vt:lpwstr>e933b4af-6411-4382-8ee0-8b8c052e675c</vt:lpwstr>
  </property>
  <property fmtid="{D5CDD505-2E9C-101B-9397-08002B2CF9AE}" pid="18" name="MSIP_Label_3515d617-256d-4284-aedb-1064be1c4b48_ContentBits">
    <vt:lpwstr>0</vt:lpwstr>
  </property>
  <property fmtid="{D5CDD505-2E9C-101B-9397-08002B2CF9AE}" pid="19" name="Order">
    <vt:r8>580000</vt:r8>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_ExtendedDescription">
    <vt:lpwstr/>
  </property>
  <property fmtid="{D5CDD505-2E9C-101B-9397-08002B2CF9AE}" pid="24" name="status">
    <vt:lpwstr>open</vt:lpwstr>
  </property>
  <property fmtid="{D5CDD505-2E9C-101B-9397-08002B2CF9AE}" pid="25" name="TriggerFlowInfo">
    <vt:lpwstr/>
  </property>
</Properties>
</file>