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BDCE5" w14:textId="77777777" w:rsidR="0041631E" w:rsidRDefault="0041631E" w:rsidP="0041631E">
      <w:pPr>
        <w:rPr>
          <w:rFonts w:hint="eastAsia"/>
        </w:rPr>
      </w:pPr>
      <w:r>
        <w:t>Invasiones japonesas de Corea (1592-1598)</w:t>
      </w:r>
    </w:p>
    <w:p w14:paraId="3C2606D9" w14:textId="77777777" w:rsidR="0041631E" w:rsidRDefault="0041631E" w:rsidP="0041631E">
      <w:pPr>
        <w:pStyle w:val="Standard"/>
      </w:pPr>
      <w:r>
        <w:t xml:space="preserve">Las </w:t>
      </w:r>
      <w:r>
        <w:rPr>
          <w:b/>
          <w:bCs/>
        </w:rPr>
        <w:t>invasiones japonesas de Corea</w:t>
      </w:r>
      <w:r>
        <w:t xml:space="preserve"> fueron un conflicto bélico desarrollado entre 1592 y 1598 en el que se vieron envueltos tres países asiáticos: Japón, China y Corea. El regente japonés </w:t>
      </w:r>
      <w:proofErr w:type="spellStart"/>
      <w:r>
        <w:t>Toyotomi</w:t>
      </w:r>
      <w:proofErr w:type="spellEnd"/>
      <w:r>
        <w:t xml:space="preserve"> </w:t>
      </w:r>
      <w:proofErr w:type="spellStart"/>
      <w:r>
        <w:t>Hideyoshi</w:t>
      </w:r>
      <w:proofErr w:type="spellEnd"/>
      <w:r>
        <w:t xml:space="preserve">, uno de los «grandes pacificadores de Japón», decidió conquistar China, por lo que solicitó la asistencia de la dinastía Joseon, así como libre tránsito a través de la península de Corea. Debido a que Corea era un país vasallo de la dinastía Ming, la petición fue rechazada. </w:t>
      </w:r>
      <w:proofErr w:type="spellStart"/>
      <w:r>
        <w:t>Hideyoshi</w:t>
      </w:r>
      <w:proofErr w:type="spellEnd"/>
      <w:r>
        <w:t xml:space="preserve"> comenzó a preparar las tropas y convocó a los distintos </w:t>
      </w:r>
      <w:proofErr w:type="spellStart"/>
      <w:r>
        <w:rPr>
          <w:i/>
          <w:iCs/>
        </w:rPr>
        <w:t>daimyō</w:t>
      </w:r>
      <w:proofErr w:type="spellEnd"/>
      <w:r>
        <w:t xml:space="preserve"> (señores feudales) para la invasión del país, a la que dio comienzo en 1592 y dando aproximadamente un final en 1598</w:t>
      </w:r>
    </w:p>
    <w:p w14:paraId="19E17B84" w14:textId="77777777" w:rsidR="0041631E" w:rsidRDefault="0041631E" w:rsidP="0041631E">
      <w:pPr>
        <w:pStyle w:val="Standard"/>
      </w:pPr>
    </w:p>
    <w:p w14:paraId="7A4C31C5" w14:textId="77777777" w:rsidR="0041631E" w:rsidRDefault="0041631E" w:rsidP="0041631E">
      <w:pPr>
        <w:rPr>
          <w:rFonts w:hint="eastAsia"/>
        </w:rPr>
      </w:pPr>
      <w:r>
        <w:t xml:space="preserve">Después de un rápido y eficaz avance de las tropas japonesas por el territorio coreano, la brillante campaña naval del almirante Yi cortó el suministro de recursos para los invasores, lo que los obligó a detener su avance. Toda la milicia coreana, junto con la intervención del ejército chino, obligó al gobierno japonés a entablar negociaciones de paz con China en 1593. Después de que las peticiones de </w:t>
      </w:r>
      <w:proofErr w:type="spellStart"/>
      <w:r>
        <w:t>Hideyoshi</w:t>
      </w:r>
      <w:proofErr w:type="spellEnd"/>
      <w:r>
        <w:t xml:space="preserve"> fueron denegadas, la guerra entró en una nueva fase en 1597, cuando se reanudaron las hostilidades. El conflicto culminó finalmente en 1598 después de 5 años de conflicto con el retiro total de las tropas invasoras tras la muerte de </w:t>
      </w:r>
      <w:proofErr w:type="spellStart"/>
      <w:r>
        <w:t>Hideyoshi</w:t>
      </w:r>
      <w:proofErr w:type="spellEnd"/>
      <w:r>
        <w:t>.</w:t>
      </w:r>
    </w:p>
    <w:p w14:paraId="581E42F5" w14:textId="77777777" w:rsidR="0041631E" w:rsidRDefault="0041631E" w:rsidP="0041631E">
      <w:pPr>
        <w:pStyle w:val="Standard"/>
      </w:pPr>
    </w:p>
    <w:p w14:paraId="1BFB9C87" w14:textId="77777777" w:rsidR="0041631E" w:rsidRDefault="0041631E" w:rsidP="0041631E">
      <w:pPr>
        <w:pStyle w:val="Standard"/>
      </w:pPr>
      <w:r>
        <w:t>Aunque generalmente se las considera como dos invasiones aisladas, en realidad hubo presencia japonesa durante el lapso entre esas dos invasiones masivas, por lo que algunos historiadores consideran el conflicto como una sola guerra.</w:t>
      </w:r>
    </w:p>
    <w:p w14:paraId="1EB0B39F" w14:textId="77777777" w:rsidR="0041631E" w:rsidRDefault="0041631E" w:rsidP="0041631E">
      <w:pPr>
        <w:pStyle w:val="Standard"/>
      </w:pPr>
    </w:p>
    <w:p w14:paraId="7BE7A6A9" w14:textId="77777777" w:rsidR="0041631E" w:rsidRDefault="0041631E" w:rsidP="0041631E">
      <w:pPr>
        <w:pStyle w:val="Standard"/>
      </w:pPr>
      <w:r>
        <w:t>Este acontecimiento fue el primero en Asia en involucrar ejércitos con un número elevado de soldados portando armas modernas y representó un severo daño para Corea. Este país sufrió la pérdida del 66% de sus tierras cultivables y la extracción de artesanos y académicos que fueron llevados en contra de su voluntad a Japón, mermando el desarrollo de la ciencia en aquel país. Otra pérdida importante tuvo lugar en el aspecto histórico y cultural, ya que muchos registros fueron quemados junto con varios palacios imperiales en Seúl. China vio mermadas sus finanzas y, como consecuencia, la dinastía Ming quedó significativamente debilitada. Esto facilitaría el ascenso al poder de la dinastía Qing.</w:t>
      </w:r>
    </w:p>
    <w:p w14:paraId="00F1A1AD" w14:textId="77777777" w:rsidR="0041631E" w:rsidRDefault="0041631E" w:rsidP="0041631E">
      <w:pPr>
        <w:pStyle w:val="Standard"/>
      </w:pPr>
      <w:r>
        <w:rPr>
          <w:rFonts w:ascii="Arial" w:hAnsi="Arial" w:cs="Arial"/>
          <w:color w:val="222222"/>
          <w:sz w:val="21"/>
          <w:szCs w:val="21"/>
        </w:rPr>
        <w:t>Este conflicto armado es conocido por varios nombres, entre ellos: «</w:t>
      </w:r>
      <w:r>
        <w:rPr>
          <w:rFonts w:ascii="Arial" w:hAnsi="Arial" w:cs="Arial"/>
          <w:b/>
          <w:bCs/>
          <w:color w:val="222222"/>
          <w:sz w:val="21"/>
          <w:szCs w:val="21"/>
        </w:rPr>
        <w:t xml:space="preserve">invasión de </w:t>
      </w:r>
      <w:proofErr w:type="spellStart"/>
      <w:r>
        <w:rPr>
          <w:rFonts w:ascii="Arial" w:hAnsi="Arial" w:cs="Arial"/>
          <w:b/>
          <w:bCs/>
          <w:color w:val="222222"/>
          <w:sz w:val="21"/>
          <w:szCs w:val="21"/>
        </w:rPr>
        <w:t>Hideyoshi</w:t>
      </w:r>
      <w:proofErr w:type="spellEnd"/>
      <w:r>
        <w:rPr>
          <w:rFonts w:ascii="Arial" w:hAnsi="Arial" w:cs="Arial"/>
          <w:b/>
          <w:bCs/>
          <w:color w:val="222222"/>
          <w:sz w:val="21"/>
          <w:szCs w:val="21"/>
        </w:rPr>
        <w:t xml:space="preserve"> a Corea</w:t>
      </w:r>
      <w:r>
        <w:rPr>
          <w:rFonts w:ascii="Arial" w:hAnsi="Arial" w:cs="Arial"/>
          <w:color w:val="222222"/>
          <w:sz w:val="21"/>
          <w:szCs w:val="21"/>
        </w:rPr>
        <w:t>», «</w:t>
      </w:r>
      <w:r>
        <w:rPr>
          <w:rFonts w:ascii="Arial" w:hAnsi="Arial" w:cs="Arial"/>
          <w:b/>
          <w:bCs/>
          <w:color w:val="222222"/>
          <w:sz w:val="21"/>
          <w:szCs w:val="21"/>
        </w:rPr>
        <w:t>Guerra de los siete años</w:t>
      </w:r>
      <w:r>
        <w:rPr>
          <w:rFonts w:ascii="Arial" w:hAnsi="Arial" w:cs="Arial"/>
          <w:color w:val="222222"/>
          <w:sz w:val="21"/>
          <w:szCs w:val="21"/>
        </w:rPr>
        <w:t>», «</w:t>
      </w:r>
      <w:r>
        <w:rPr>
          <w:rFonts w:ascii="Arial" w:hAnsi="Arial" w:cs="Arial"/>
          <w:b/>
          <w:bCs/>
          <w:color w:val="222222"/>
          <w:sz w:val="21"/>
          <w:szCs w:val="21"/>
        </w:rPr>
        <w:t xml:space="preserve">Guerra </w:t>
      </w:r>
      <w:proofErr w:type="spellStart"/>
      <w:r>
        <w:rPr>
          <w:rFonts w:ascii="Arial" w:hAnsi="Arial" w:cs="Arial"/>
          <w:b/>
          <w:bCs/>
          <w:color w:val="222222"/>
          <w:sz w:val="21"/>
          <w:szCs w:val="21"/>
        </w:rPr>
        <w:t>Renchen</w:t>
      </w:r>
      <w:proofErr w:type="spellEnd"/>
      <w:r>
        <w:rPr>
          <w:rFonts w:ascii="Arial" w:hAnsi="Arial" w:cs="Arial"/>
          <w:b/>
          <w:bCs/>
          <w:color w:val="222222"/>
          <w:sz w:val="21"/>
          <w:szCs w:val="21"/>
        </w:rPr>
        <w:t xml:space="preserve"> para defender a la Nación</w:t>
      </w:r>
      <w:r>
        <w:rPr>
          <w:rFonts w:ascii="Arial" w:hAnsi="Arial" w:cs="Arial"/>
          <w:color w:val="222222"/>
          <w:sz w:val="21"/>
          <w:szCs w:val="21"/>
        </w:rPr>
        <w:t>» o «</w:t>
      </w:r>
      <w:r>
        <w:rPr>
          <w:rFonts w:ascii="Arial" w:hAnsi="Arial" w:cs="Arial"/>
          <w:b/>
          <w:bCs/>
          <w:color w:val="222222"/>
          <w:sz w:val="21"/>
          <w:szCs w:val="21"/>
        </w:rPr>
        <w:t xml:space="preserve">Guerra </w:t>
      </w:r>
      <w:proofErr w:type="spellStart"/>
      <w:r>
        <w:rPr>
          <w:rFonts w:ascii="Arial" w:hAnsi="Arial" w:cs="Arial"/>
          <w:b/>
          <w:bCs/>
          <w:color w:val="222222"/>
          <w:sz w:val="21"/>
          <w:szCs w:val="21"/>
        </w:rPr>
        <w:t>Imjin</w:t>
      </w:r>
      <w:proofErr w:type="spellEnd"/>
      <w:r>
        <w:rPr>
          <w:rFonts w:ascii="Arial" w:hAnsi="Arial" w:cs="Arial"/>
          <w:color w:val="222222"/>
          <w:sz w:val="21"/>
          <w:szCs w:val="21"/>
        </w:rPr>
        <w:t xml:space="preserve">». El enfrentamiento recibe estos dos últimos nombres debido a que se desarrolló durante el año conocido como </w:t>
      </w:r>
      <w:proofErr w:type="spellStart"/>
      <w:r>
        <w:rPr>
          <w:rFonts w:ascii="Arial" w:hAnsi="Arial" w:cs="Arial"/>
          <w:i/>
          <w:iCs/>
          <w:color w:val="222222"/>
          <w:sz w:val="21"/>
          <w:szCs w:val="21"/>
        </w:rPr>
        <w:t>Renchen</w:t>
      </w:r>
      <w:proofErr w:type="spellEnd"/>
      <w:r>
        <w:rPr>
          <w:rFonts w:ascii="Arial" w:hAnsi="Arial" w:cs="Arial"/>
          <w:color w:val="222222"/>
          <w:sz w:val="21"/>
          <w:szCs w:val="21"/>
        </w:rPr>
        <w:t xml:space="preserve"> o </w:t>
      </w:r>
      <w:proofErr w:type="spellStart"/>
      <w:r>
        <w:rPr>
          <w:rFonts w:ascii="Arial" w:hAnsi="Arial" w:cs="Arial"/>
          <w:i/>
          <w:iCs/>
          <w:color w:val="222222"/>
          <w:sz w:val="21"/>
          <w:szCs w:val="21"/>
        </w:rPr>
        <w:t>Imjin</w:t>
      </w:r>
      <w:proofErr w:type="spellEnd"/>
      <w:r>
        <w:rPr>
          <w:rFonts w:ascii="Arial" w:hAnsi="Arial" w:cs="Arial"/>
          <w:color w:val="222222"/>
          <w:sz w:val="21"/>
          <w:szCs w:val="21"/>
        </w:rPr>
        <w:t xml:space="preserve"> del ciclo sexagenario, en China y en Corea respectivamente.</w:t>
      </w:r>
    </w:p>
    <w:p w14:paraId="50D41C20" w14:textId="77777777" w:rsidR="0041631E" w:rsidRDefault="0041631E" w:rsidP="00C7111F">
      <w:pPr>
        <w:pStyle w:val="Standard"/>
      </w:pPr>
      <w:r>
        <w:t xml:space="preserve">*Origen del </w:t>
      </w:r>
      <w:r w:rsidRPr="00C7111F">
        <w:t>nombre</w:t>
      </w:r>
    </w:p>
    <w:tbl>
      <w:tblPr>
        <w:tblW w:w="7215" w:type="dxa"/>
        <w:tblInd w:w="179" w:type="dxa"/>
        <w:tblLayout w:type="fixed"/>
        <w:tblCellMar>
          <w:left w:w="10" w:type="dxa"/>
          <w:right w:w="10" w:type="dxa"/>
        </w:tblCellMar>
        <w:tblLook w:val="04A0" w:firstRow="1" w:lastRow="0" w:firstColumn="1" w:lastColumn="0" w:noHBand="0" w:noVBand="1"/>
      </w:tblPr>
      <w:tblGrid>
        <w:gridCol w:w="2254"/>
        <w:gridCol w:w="4961"/>
      </w:tblGrid>
      <w:tr w:rsidR="0041631E" w14:paraId="018C4742" w14:textId="77777777" w:rsidTr="0041631E">
        <w:tc>
          <w:tcPr>
            <w:tcW w:w="7215" w:type="dxa"/>
            <w:gridSpan w:val="2"/>
            <w:tcBorders>
              <w:top w:val="double" w:sz="6" w:space="0" w:color="C0C0C0"/>
              <w:left w:val="double" w:sz="6" w:space="0" w:color="C0C0C0"/>
              <w:bottom w:val="double" w:sz="6" w:space="0" w:color="C0C0C0"/>
              <w:right w:val="double" w:sz="6" w:space="0" w:color="C0C0C0"/>
            </w:tcBorders>
            <w:shd w:val="clear" w:color="auto" w:fill="B0C4DE"/>
            <w:tcMar>
              <w:top w:w="54" w:type="dxa"/>
              <w:left w:w="54" w:type="dxa"/>
              <w:bottom w:w="54" w:type="dxa"/>
              <w:right w:w="54" w:type="dxa"/>
            </w:tcMar>
            <w:vAlign w:val="center"/>
            <w:hideMark/>
          </w:tcPr>
          <w:p w14:paraId="7447CCE4" w14:textId="77777777" w:rsidR="0041631E" w:rsidRDefault="0041631E" w:rsidP="0041631E">
            <w:pPr>
              <w:pStyle w:val="Standard"/>
            </w:pPr>
            <w:r>
              <w:t>Nombre coreano</w:t>
            </w:r>
          </w:p>
        </w:tc>
      </w:tr>
      <w:tr w:rsidR="0041631E" w14:paraId="4772AEAF"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7D966F56" w14:textId="77777777" w:rsidR="0041631E" w:rsidRDefault="0041631E" w:rsidP="0041631E">
            <w:pPr>
              <w:pStyle w:val="Standard"/>
            </w:pPr>
            <w:proofErr w:type="spellStart"/>
            <w:r>
              <w:t>Hangul</w:t>
            </w:r>
            <w:proofErr w:type="spellEnd"/>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0F3A3793" w14:textId="77777777" w:rsidR="0041631E" w:rsidRDefault="0041631E" w:rsidP="0041631E">
            <w:pPr>
              <w:pStyle w:val="Standard"/>
            </w:pPr>
            <w:r>
              <w:rPr>
                <w:rFonts w:ascii="Batang, 바탕" w:eastAsia="Batang, 바탕" w:hAnsi="Batang, 바탕" w:cs="Batang, 바탕"/>
                <w:sz w:val="14"/>
                <w:szCs w:val="14"/>
              </w:rPr>
              <w:t>임진왜란</w:t>
            </w:r>
            <w:r>
              <w:rPr>
                <w:sz w:val="14"/>
                <w:szCs w:val="14"/>
              </w:rPr>
              <w:t xml:space="preserve"> / </w:t>
            </w:r>
            <w:r>
              <w:rPr>
                <w:rFonts w:ascii="Batang, 바탕" w:eastAsia="Batang, 바탕" w:hAnsi="Batang, 바탕" w:cs="Batang, 바탕"/>
                <w:sz w:val="14"/>
                <w:szCs w:val="14"/>
              </w:rPr>
              <w:t>정유재란</w:t>
            </w:r>
          </w:p>
        </w:tc>
      </w:tr>
      <w:tr w:rsidR="0041631E" w14:paraId="11577D88"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15A456D4" w14:textId="77777777" w:rsidR="0041631E" w:rsidRDefault="0041631E" w:rsidP="0041631E">
            <w:pPr>
              <w:pStyle w:val="Standard"/>
            </w:pPr>
            <w:r>
              <w:t>Hanja</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5CA3C207" w14:textId="77777777" w:rsidR="0041631E" w:rsidRDefault="0041631E" w:rsidP="0041631E">
            <w:pPr>
              <w:pStyle w:val="Standard"/>
            </w:pPr>
            <w:r>
              <w:rPr>
                <w:rFonts w:ascii="MS Mincho" w:eastAsia="MS Mincho" w:hAnsi="MS Mincho" w:cs="MS Mincho" w:hint="eastAsia"/>
                <w:sz w:val="14"/>
                <w:szCs w:val="14"/>
              </w:rPr>
              <w:t>壬辰倭亂</w:t>
            </w:r>
            <w:r>
              <w:rPr>
                <w:sz w:val="14"/>
                <w:szCs w:val="14"/>
              </w:rPr>
              <w:t xml:space="preserve"> / </w:t>
            </w:r>
            <w:r>
              <w:rPr>
                <w:rFonts w:ascii="MS Mincho" w:eastAsia="MS Mincho" w:hAnsi="MS Mincho" w:cs="MS Mincho" w:hint="eastAsia"/>
                <w:sz w:val="14"/>
                <w:szCs w:val="14"/>
              </w:rPr>
              <w:t>丁酉再亂</w:t>
            </w:r>
          </w:p>
        </w:tc>
      </w:tr>
      <w:tr w:rsidR="0041631E" w14:paraId="7BEA8C63"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64778EF7" w14:textId="77777777" w:rsidR="0041631E" w:rsidRDefault="0041631E" w:rsidP="0041631E">
            <w:pPr>
              <w:pStyle w:val="Standard"/>
            </w:pPr>
            <w:r>
              <w:t>Romanización revisada</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59B47B49" w14:textId="77777777" w:rsidR="0041631E" w:rsidRDefault="0041631E" w:rsidP="0041631E">
            <w:pPr>
              <w:pStyle w:val="Standard"/>
            </w:pPr>
            <w:proofErr w:type="spellStart"/>
            <w:r>
              <w:t>Imjin</w:t>
            </w:r>
            <w:proofErr w:type="spellEnd"/>
            <w:r>
              <w:t xml:space="preserve"> </w:t>
            </w:r>
            <w:proofErr w:type="spellStart"/>
            <w:r>
              <w:t>waeran</w:t>
            </w:r>
            <w:proofErr w:type="spellEnd"/>
            <w:r>
              <w:t xml:space="preserve"> / </w:t>
            </w:r>
            <w:proofErr w:type="spellStart"/>
            <w:proofErr w:type="gramStart"/>
            <w:r>
              <w:t>Jeong</w:t>
            </w:r>
            <w:proofErr w:type="spellEnd"/>
            <w:r>
              <w:t>(</w:t>
            </w:r>
            <w:proofErr w:type="gramEnd"/>
            <w:r>
              <w:t>-)</w:t>
            </w:r>
            <w:proofErr w:type="spellStart"/>
            <w:r>
              <w:t>yu</w:t>
            </w:r>
            <w:proofErr w:type="spellEnd"/>
            <w:r>
              <w:t xml:space="preserve"> </w:t>
            </w:r>
            <w:proofErr w:type="spellStart"/>
            <w:r>
              <w:t>jaeran</w:t>
            </w:r>
            <w:proofErr w:type="spellEnd"/>
          </w:p>
        </w:tc>
      </w:tr>
      <w:tr w:rsidR="0041631E" w14:paraId="0D1D0DFA"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7018AF3E" w14:textId="77777777" w:rsidR="0041631E" w:rsidRDefault="0041631E" w:rsidP="0041631E">
            <w:pPr>
              <w:pStyle w:val="Standard"/>
            </w:pPr>
            <w:proofErr w:type="spellStart"/>
            <w:r>
              <w:t>McCune-Reischauer</w:t>
            </w:r>
            <w:proofErr w:type="spellEnd"/>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7E07D255" w14:textId="77777777" w:rsidR="0041631E" w:rsidRDefault="0041631E" w:rsidP="0041631E">
            <w:pPr>
              <w:pStyle w:val="Standard"/>
            </w:pPr>
            <w:proofErr w:type="spellStart"/>
            <w:r>
              <w:t>Imjin</w:t>
            </w:r>
            <w:proofErr w:type="spellEnd"/>
            <w:r>
              <w:t xml:space="preserve"> </w:t>
            </w:r>
            <w:proofErr w:type="spellStart"/>
            <w:r>
              <w:t>waeran</w:t>
            </w:r>
            <w:proofErr w:type="spellEnd"/>
            <w:r>
              <w:t xml:space="preserve"> / </w:t>
            </w:r>
            <w:proofErr w:type="spellStart"/>
            <w:r>
              <w:t>Chŏng'yu</w:t>
            </w:r>
            <w:proofErr w:type="spellEnd"/>
            <w:r>
              <w:t xml:space="preserve"> </w:t>
            </w:r>
            <w:proofErr w:type="spellStart"/>
            <w:r>
              <w:t>chaeran</w:t>
            </w:r>
            <w:proofErr w:type="spellEnd"/>
          </w:p>
        </w:tc>
      </w:tr>
      <w:tr w:rsidR="0041631E" w14:paraId="62D58B2C" w14:textId="77777777" w:rsidTr="0041631E">
        <w:tc>
          <w:tcPr>
            <w:tcW w:w="7215" w:type="dxa"/>
            <w:gridSpan w:val="2"/>
            <w:tcBorders>
              <w:top w:val="double" w:sz="6" w:space="0" w:color="C0C0C0"/>
              <w:left w:val="double" w:sz="6" w:space="0" w:color="C0C0C0"/>
              <w:bottom w:val="double" w:sz="6" w:space="0" w:color="C0C0C0"/>
              <w:right w:val="double" w:sz="6" w:space="0" w:color="C0C0C0"/>
            </w:tcBorders>
            <w:shd w:val="clear" w:color="auto" w:fill="B0C4DE"/>
            <w:tcMar>
              <w:top w:w="54" w:type="dxa"/>
              <w:left w:w="54" w:type="dxa"/>
              <w:bottom w:w="54" w:type="dxa"/>
              <w:right w:w="54" w:type="dxa"/>
            </w:tcMar>
            <w:vAlign w:val="center"/>
            <w:hideMark/>
          </w:tcPr>
          <w:p w14:paraId="2EADF67B" w14:textId="77777777" w:rsidR="0041631E" w:rsidRDefault="0041631E" w:rsidP="0041631E">
            <w:pPr>
              <w:pStyle w:val="Standard"/>
            </w:pPr>
            <w:r>
              <w:t>Nombre japonés</w:t>
            </w:r>
          </w:p>
        </w:tc>
      </w:tr>
      <w:tr w:rsidR="0041631E" w14:paraId="0315D236"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3549038E" w14:textId="77777777" w:rsidR="0041631E" w:rsidRDefault="0041631E" w:rsidP="0041631E">
            <w:pPr>
              <w:pStyle w:val="Standard"/>
            </w:pPr>
            <w:r>
              <w:t>Kanji</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4D1A3FFE" w14:textId="77777777" w:rsidR="0041631E" w:rsidRDefault="0041631E" w:rsidP="0041631E">
            <w:pPr>
              <w:pStyle w:val="Standard"/>
            </w:pPr>
            <w:r>
              <w:rPr>
                <w:rFonts w:ascii="MS Mincho" w:eastAsia="MS Mincho" w:hAnsi="MS Mincho" w:cs="MS Mincho" w:hint="eastAsia"/>
                <w:sz w:val="14"/>
                <w:szCs w:val="14"/>
              </w:rPr>
              <w:t>文禄の役</w:t>
            </w:r>
            <w:r>
              <w:rPr>
                <w:sz w:val="14"/>
                <w:szCs w:val="14"/>
              </w:rPr>
              <w:t xml:space="preserve"> / </w:t>
            </w:r>
            <w:r>
              <w:rPr>
                <w:rFonts w:ascii="MS Mincho" w:eastAsia="MS Mincho" w:hAnsi="MS Mincho" w:cs="MS Mincho" w:hint="eastAsia"/>
                <w:sz w:val="14"/>
                <w:szCs w:val="14"/>
              </w:rPr>
              <w:t>慶長の役</w:t>
            </w:r>
          </w:p>
        </w:tc>
      </w:tr>
      <w:tr w:rsidR="0041631E" w14:paraId="390549F5"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772E1A69" w14:textId="77777777" w:rsidR="0041631E" w:rsidRDefault="0041631E" w:rsidP="0041631E">
            <w:pPr>
              <w:pStyle w:val="Standard"/>
            </w:pPr>
            <w:r>
              <w:lastRenderedPageBreak/>
              <w:t>Hepburn</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3EB82236" w14:textId="77777777" w:rsidR="0041631E" w:rsidRDefault="0041631E" w:rsidP="0041631E">
            <w:pPr>
              <w:pStyle w:val="Standard"/>
            </w:pPr>
            <w:proofErr w:type="spellStart"/>
            <w:r>
              <w:t>Bunroku</w:t>
            </w:r>
            <w:proofErr w:type="spellEnd"/>
            <w:r>
              <w:t xml:space="preserve"> no </w:t>
            </w:r>
            <w:proofErr w:type="spellStart"/>
            <w:r>
              <w:t>Eki</w:t>
            </w:r>
            <w:proofErr w:type="spellEnd"/>
            <w:r>
              <w:t xml:space="preserve"> / </w:t>
            </w:r>
            <w:proofErr w:type="spellStart"/>
            <w:r>
              <w:t>Keichō</w:t>
            </w:r>
            <w:proofErr w:type="spellEnd"/>
            <w:r>
              <w:t xml:space="preserve"> no </w:t>
            </w:r>
            <w:proofErr w:type="spellStart"/>
            <w:r>
              <w:t>Eki</w:t>
            </w:r>
            <w:proofErr w:type="spellEnd"/>
          </w:p>
        </w:tc>
      </w:tr>
      <w:tr w:rsidR="0041631E" w14:paraId="7B7CE6EC" w14:textId="77777777" w:rsidTr="0041631E">
        <w:tc>
          <w:tcPr>
            <w:tcW w:w="7215" w:type="dxa"/>
            <w:gridSpan w:val="2"/>
            <w:tcBorders>
              <w:top w:val="double" w:sz="6" w:space="0" w:color="C0C0C0"/>
              <w:left w:val="double" w:sz="6" w:space="0" w:color="C0C0C0"/>
              <w:bottom w:val="double" w:sz="6" w:space="0" w:color="C0C0C0"/>
              <w:right w:val="double" w:sz="6" w:space="0" w:color="C0C0C0"/>
            </w:tcBorders>
            <w:shd w:val="clear" w:color="auto" w:fill="B0C4DE"/>
            <w:tcMar>
              <w:top w:w="54" w:type="dxa"/>
              <w:left w:w="54" w:type="dxa"/>
              <w:bottom w:w="54" w:type="dxa"/>
              <w:right w:w="54" w:type="dxa"/>
            </w:tcMar>
            <w:vAlign w:val="center"/>
            <w:hideMark/>
          </w:tcPr>
          <w:p w14:paraId="1AF31BC4" w14:textId="77777777" w:rsidR="0041631E" w:rsidRDefault="0041631E" w:rsidP="0041631E">
            <w:pPr>
              <w:pStyle w:val="Standard"/>
            </w:pPr>
            <w:r>
              <w:t>Nombre chino</w:t>
            </w:r>
          </w:p>
        </w:tc>
      </w:tr>
      <w:tr w:rsidR="0041631E" w14:paraId="61358231"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01B3D8D6" w14:textId="77777777" w:rsidR="0041631E" w:rsidRDefault="0041631E" w:rsidP="0041631E">
            <w:pPr>
              <w:pStyle w:val="Standard"/>
            </w:pPr>
            <w:r>
              <w:t>Chino tradicional</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6B9228D6" w14:textId="77777777" w:rsidR="0041631E" w:rsidRDefault="0041631E" w:rsidP="0041631E">
            <w:pPr>
              <w:pStyle w:val="Standard"/>
            </w:pPr>
            <w:r>
              <w:rPr>
                <w:rFonts w:ascii="MS Mincho" w:eastAsia="MS Mincho" w:hAnsi="MS Mincho" w:cs="MS Mincho" w:hint="eastAsia"/>
              </w:rPr>
              <w:t>萬曆朝鮮之役</w:t>
            </w:r>
          </w:p>
        </w:tc>
      </w:tr>
      <w:tr w:rsidR="0041631E" w14:paraId="6E2C635F"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5CD08AA9" w14:textId="77777777" w:rsidR="0041631E" w:rsidRDefault="0041631E" w:rsidP="0041631E">
            <w:pPr>
              <w:pStyle w:val="Standard"/>
            </w:pPr>
            <w:r>
              <w:t>Chino simplificado</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47644EB5" w14:textId="77777777" w:rsidR="0041631E" w:rsidRDefault="0041631E" w:rsidP="0041631E">
            <w:pPr>
              <w:pStyle w:val="Standard"/>
            </w:pPr>
            <w:r>
              <w:rPr>
                <w:rFonts w:ascii="MS Mincho" w:eastAsia="MS Mincho" w:hAnsi="MS Mincho" w:cs="MS Mincho" w:hint="eastAsia"/>
                <w:sz w:val="14"/>
                <w:szCs w:val="14"/>
              </w:rPr>
              <w:t>万</w:t>
            </w:r>
            <w:r>
              <w:rPr>
                <w:rFonts w:ascii="SimSun, 宋体" w:eastAsia="SimSun, 宋体" w:hAnsi="SimSun, 宋体" w:cs="SimSun, 宋体"/>
                <w:sz w:val="14"/>
                <w:szCs w:val="14"/>
              </w:rPr>
              <w:t>历朝鲜之役</w:t>
            </w:r>
          </w:p>
        </w:tc>
      </w:tr>
      <w:tr w:rsidR="0041631E" w14:paraId="3C39FED7"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37ED29C0" w14:textId="77777777" w:rsidR="0041631E" w:rsidRDefault="0041631E" w:rsidP="0041631E">
            <w:pPr>
              <w:pStyle w:val="Standard"/>
            </w:pPr>
            <w:r>
              <w:t>Pinyin</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20677681" w14:textId="77777777" w:rsidR="0041631E" w:rsidRDefault="0041631E" w:rsidP="0041631E">
            <w:pPr>
              <w:pStyle w:val="Standard"/>
            </w:pPr>
            <w:proofErr w:type="spellStart"/>
            <w:r>
              <w:t>Rénchén</w:t>
            </w:r>
            <w:proofErr w:type="spellEnd"/>
            <w:r>
              <w:t xml:space="preserve"> </w:t>
            </w:r>
            <w:proofErr w:type="spellStart"/>
            <w:r>
              <w:t>Wèiguó</w:t>
            </w:r>
            <w:proofErr w:type="spellEnd"/>
            <w:r>
              <w:t xml:space="preserve"> </w:t>
            </w:r>
            <w:proofErr w:type="spellStart"/>
            <w:r>
              <w:t>Zhànzhēng</w:t>
            </w:r>
            <w:proofErr w:type="spellEnd"/>
            <w:r>
              <w:t xml:space="preserve"> (</w:t>
            </w:r>
            <w:proofErr w:type="spellStart"/>
            <w:r>
              <w:t>Wànlì</w:t>
            </w:r>
            <w:proofErr w:type="spellEnd"/>
            <w:r>
              <w:t xml:space="preserve"> </w:t>
            </w:r>
            <w:proofErr w:type="spellStart"/>
            <w:r>
              <w:t>Cháoxiǎn</w:t>
            </w:r>
            <w:proofErr w:type="spellEnd"/>
            <w:r>
              <w:t xml:space="preserve"> </w:t>
            </w:r>
            <w:proofErr w:type="spellStart"/>
            <w:r>
              <w:t>Zhīyì</w:t>
            </w:r>
            <w:proofErr w:type="spellEnd"/>
            <w:r>
              <w:t>)</w:t>
            </w:r>
          </w:p>
        </w:tc>
      </w:tr>
    </w:tbl>
    <w:p w14:paraId="17F25EFE" w14:textId="77777777" w:rsidR="0041631E" w:rsidRDefault="0041631E" w:rsidP="0041631E">
      <w:pPr>
        <w:pStyle w:val="Standard"/>
      </w:pPr>
      <w:r>
        <w:rPr>
          <w:rFonts w:ascii="Arial" w:hAnsi="Arial" w:cs="Arial"/>
          <w:color w:val="222222"/>
          <w:sz w:val="21"/>
          <w:szCs w:val="21"/>
        </w:rPr>
        <w:t xml:space="preserve">En coreano, la primera invasión fue conocida como «Rebelión de piratas japoneses de </w:t>
      </w:r>
      <w:proofErr w:type="spellStart"/>
      <w:r>
        <w:rPr>
          <w:rFonts w:ascii="Arial" w:hAnsi="Arial" w:cs="Arial"/>
          <w:color w:val="222222"/>
          <w:sz w:val="21"/>
          <w:szCs w:val="21"/>
        </w:rPr>
        <w:t>Imjin</w:t>
      </w:r>
      <w:proofErr w:type="spellEnd"/>
      <w:r>
        <w:rPr>
          <w:rFonts w:ascii="Arial" w:hAnsi="Arial" w:cs="Arial"/>
          <w:color w:val="222222"/>
          <w:sz w:val="21"/>
          <w:szCs w:val="21"/>
        </w:rPr>
        <w:t>» (</w:t>
      </w:r>
      <w:proofErr w:type="spellStart"/>
      <w:r>
        <w:rPr>
          <w:rFonts w:ascii="Arial" w:hAnsi="Arial" w:cs="Arial"/>
          <w:color w:val="222222"/>
          <w:sz w:val="21"/>
          <w:szCs w:val="21"/>
        </w:rPr>
        <w:t>Imjin</w:t>
      </w:r>
      <w:proofErr w:type="spellEnd"/>
      <w:r>
        <w:rPr>
          <w:rFonts w:ascii="Arial" w:hAnsi="Arial" w:cs="Arial"/>
          <w:color w:val="222222"/>
          <w:sz w:val="21"/>
          <w:szCs w:val="21"/>
        </w:rPr>
        <w:t xml:space="preserve"> </w:t>
      </w:r>
      <w:proofErr w:type="spellStart"/>
      <w:r>
        <w:rPr>
          <w:rFonts w:ascii="Arial" w:hAnsi="Arial" w:cs="Arial"/>
          <w:color w:val="222222"/>
          <w:sz w:val="21"/>
          <w:szCs w:val="21"/>
        </w:rPr>
        <w:t>Waeran</w:t>
      </w:r>
      <w:proofErr w:type="spellEnd"/>
      <w:r>
        <w:rPr>
          <w:rFonts w:ascii="Arial" w:hAnsi="Arial" w:cs="Arial"/>
          <w:color w:val="222222"/>
          <w:sz w:val="21"/>
          <w:szCs w:val="21"/>
        </w:rPr>
        <w:t xml:space="preserve">) —debido a que 1592 fue el año </w:t>
      </w:r>
      <w:proofErr w:type="spellStart"/>
      <w:r>
        <w:rPr>
          <w:rFonts w:ascii="Arial" w:hAnsi="Arial" w:cs="Arial"/>
          <w:color w:val="222222"/>
          <w:sz w:val="21"/>
          <w:szCs w:val="21"/>
        </w:rPr>
        <w:t>Imjin</w:t>
      </w:r>
      <w:proofErr w:type="spellEnd"/>
      <w:r>
        <w:rPr>
          <w:rFonts w:ascii="Arial" w:hAnsi="Arial" w:cs="Arial"/>
          <w:color w:val="222222"/>
          <w:sz w:val="21"/>
          <w:szCs w:val="21"/>
        </w:rPr>
        <w:t xml:space="preserve"> (</w:t>
      </w:r>
      <w:r>
        <w:rPr>
          <w:rFonts w:ascii="Gulim, 굴림" w:eastAsia="Gulim, 굴림" w:hAnsi="Gulim, 굴림" w:cs="Gulim, 굴림"/>
          <w:color w:val="222222"/>
          <w:sz w:val="21"/>
          <w:szCs w:val="21"/>
        </w:rPr>
        <w:t>임진</w:t>
      </w:r>
      <w:r>
        <w:rPr>
          <w:rFonts w:ascii="Arial" w:hAnsi="Arial" w:cs="Arial"/>
          <w:color w:val="222222"/>
          <w:sz w:val="21"/>
          <w:szCs w:val="21"/>
        </w:rPr>
        <w:t xml:space="preserve">), de acuerdo al ciclo sexagenario—. La invasión nunca fue etiquetada por los historiadores coreanos de la época como «guerra» debido a que consideraban a su país un pueblo superior a Japón. La segunda invasión fue conocida como «Segunda guerra de </w:t>
      </w:r>
      <w:proofErr w:type="spellStart"/>
      <w:r>
        <w:rPr>
          <w:rFonts w:ascii="Arial" w:hAnsi="Arial" w:cs="Arial"/>
          <w:color w:val="222222"/>
          <w:sz w:val="21"/>
          <w:szCs w:val="21"/>
        </w:rPr>
        <w:t>Jeong-yu</w:t>
      </w:r>
      <w:proofErr w:type="spellEnd"/>
      <w:r>
        <w:rPr>
          <w:rFonts w:ascii="Arial" w:hAnsi="Arial" w:cs="Arial"/>
          <w:color w:val="222222"/>
          <w:sz w:val="21"/>
          <w:szCs w:val="21"/>
        </w:rPr>
        <w:t>».</w:t>
      </w:r>
    </w:p>
    <w:p w14:paraId="4832E46E" w14:textId="77777777" w:rsidR="0041631E" w:rsidRDefault="0041631E" w:rsidP="0041631E">
      <w:pPr>
        <w:pStyle w:val="Standard"/>
      </w:pPr>
      <w:r>
        <w:rPr>
          <w:rFonts w:ascii="Arial" w:hAnsi="Arial" w:cs="Arial"/>
          <w:color w:val="222222"/>
          <w:sz w:val="21"/>
          <w:szCs w:val="21"/>
        </w:rPr>
        <w:t xml:space="preserve">En el bando japonés, la primera invasión fue conocida como «Guerra de </w:t>
      </w:r>
      <w:proofErr w:type="spellStart"/>
      <w:r>
        <w:rPr>
          <w:rFonts w:ascii="Arial" w:hAnsi="Arial" w:cs="Arial"/>
          <w:color w:val="222222"/>
          <w:sz w:val="21"/>
          <w:szCs w:val="21"/>
        </w:rPr>
        <w:t>Bunroku</w:t>
      </w:r>
      <w:proofErr w:type="spellEnd"/>
      <w:r>
        <w:rPr>
          <w:rFonts w:ascii="Arial" w:hAnsi="Arial" w:cs="Arial"/>
          <w:color w:val="222222"/>
          <w:sz w:val="21"/>
          <w:szCs w:val="21"/>
        </w:rPr>
        <w:t>» (</w:t>
      </w:r>
      <w:r>
        <w:rPr>
          <w:rFonts w:ascii="MS Gothic" w:eastAsia="MS Gothic" w:hAnsi="MS Gothic" w:cs="MS Gothic" w:hint="eastAsia"/>
          <w:color w:val="222222"/>
          <w:sz w:val="21"/>
          <w:szCs w:val="21"/>
          <w:lang w:eastAsia="ja-JP"/>
        </w:rPr>
        <w:t>文禄の役</w:t>
      </w:r>
      <w:r>
        <w:rPr>
          <w:rFonts w:ascii="Arial" w:eastAsia="Arial" w:hAnsi="Arial" w:cs="Arial"/>
          <w:color w:val="222222"/>
          <w:sz w:val="21"/>
          <w:szCs w:val="21"/>
          <w:lang w:eastAsia="ja-JP"/>
        </w:rPr>
        <w:t xml:space="preserve"> </w:t>
      </w:r>
      <w:proofErr w:type="spellStart"/>
      <w:r>
        <w:rPr>
          <w:rFonts w:ascii="Arial" w:hAnsi="Arial" w:cs="Arial"/>
          <w:i/>
          <w:iCs/>
          <w:color w:val="222222"/>
          <w:sz w:val="21"/>
          <w:szCs w:val="21"/>
        </w:rPr>
        <w:t>Bunroku</w:t>
      </w:r>
      <w:proofErr w:type="spellEnd"/>
      <w:r>
        <w:rPr>
          <w:rFonts w:ascii="Arial" w:hAnsi="Arial" w:cs="Arial"/>
          <w:i/>
          <w:iCs/>
          <w:color w:val="222222"/>
          <w:sz w:val="21"/>
          <w:szCs w:val="21"/>
        </w:rPr>
        <w:t xml:space="preserve"> no </w:t>
      </w:r>
      <w:proofErr w:type="spellStart"/>
      <w:r>
        <w:rPr>
          <w:rFonts w:ascii="Arial" w:hAnsi="Arial" w:cs="Arial"/>
          <w:i/>
          <w:iCs/>
          <w:color w:val="222222"/>
          <w:sz w:val="21"/>
          <w:szCs w:val="21"/>
        </w:rPr>
        <w:t>eki</w:t>
      </w:r>
      <w:proofErr w:type="spellEnd"/>
      <w:r w:rsidR="00000000">
        <w:fldChar w:fldCharType="begin"/>
      </w:r>
      <w:r w:rsidR="00000000">
        <w:instrText>HYPERLINK "https://es.wikipedia.org/wiki/Ayuda:Idioma_japonés"</w:instrText>
      </w:r>
      <w:r w:rsidR="00000000">
        <w:fldChar w:fldCharType="separate"/>
      </w:r>
      <w:r>
        <w:rPr>
          <w:rFonts w:ascii="Arial" w:hAnsi="Arial" w:cs="Arial"/>
          <w:b/>
          <w:bCs/>
          <w:color w:val="00008B"/>
          <w:sz w:val="10"/>
          <w:szCs w:val="10"/>
          <w:vertAlign w:val="superscript"/>
        </w:rPr>
        <w:t>?</w:t>
      </w:r>
      <w:r w:rsidR="00000000">
        <w:rPr>
          <w:rFonts w:ascii="Arial" w:hAnsi="Arial" w:cs="Arial"/>
          <w:b/>
          <w:bCs/>
          <w:color w:val="00008B"/>
          <w:sz w:val="10"/>
          <w:szCs w:val="10"/>
          <w:vertAlign w:val="superscript"/>
        </w:rPr>
        <w:fldChar w:fldCharType="end"/>
      </w:r>
      <w:r>
        <w:rPr>
          <w:rFonts w:ascii="Arial" w:hAnsi="Arial" w:cs="Arial"/>
          <w:color w:val="222222"/>
          <w:sz w:val="21"/>
          <w:szCs w:val="21"/>
        </w:rPr>
        <w:t xml:space="preserve">) debido a que fue precisamente durante la era japonesa de </w:t>
      </w:r>
      <w:proofErr w:type="spellStart"/>
      <w:r>
        <w:rPr>
          <w:rFonts w:ascii="Arial" w:hAnsi="Arial" w:cs="Arial"/>
          <w:color w:val="222222"/>
          <w:sz w:val="21"/>
          <w:szCs w:val="21"/>
        </w:rPr>
        <w:t>Bunroku</w:t>
      </w:r>
      <w:proofErr w:type="spellEnd"/>
      <w:r>
        <w:rPr>
          <w:rFonts w:ascii="Arial" w:hAnsi="Arial" w:cs="Arial"/>
          <w:color w:val="222222"/>
          <w:sz w:val="21"/>
          <w:szCs w:val="21"/>
        </w:rPr>
        <w:t xml:space="preserve"> (1592-1596) cuando se llevó a cabo. La segunda invasión fue conocida como «Guerra de </w:t>
      </w:r>
      <w:proofErr w:type="spellStart"/>
      <w:r>
        <w:rPr>
          <w:rFonts w:ascii="Arial" w:hAnsi="Arial" w:cs="Arial"/>
          <w:color w:val="222222"/>
          <w:sz w:val="21"/>
          <w:szCs w:val="21"/>
        </w:rPr>
        <w:t>Keichō</w:t>
      </w:r>
      <w:proofErr w:type="spellEnd"/>
      <w:r>
        <w:rPr>
          <w:rFonts w:ascii="Arial" w:hAnsi="Arial" w:cs="Arial"/>
          <w:color w:val="222222"/>
          <w:sz w:val="21"/>
          <w:szCs w:val="21"/>
        </w:rPr>
        <w:t>» (</w:t>
      </w:r>
      <w:r>
        <w:rPr>
          <w:rFonts w:ascii="MS Gothic" w:eastAsia="MS Gothic" w:hAnsi="MS Gothic" w:cs="MS Gothic" w:hint="eastAsia"/>
          <w:color w:val="222222"/>
          <w:sz w:val="21"/>
          <w:szCs w:val="21"/>
          <w:lang w:eastAsia="ja-JP"/>
        </w:rPr>
        <w:t>慶長の役</w:t>
      </w:r>
      <w:r>
        <w:rPr>
          <w:rFonts w:ascii="Arial" w:eastAsia="Arial" w:hAnsi="Arial" w:cs="Arial"/>
          <w:color w:val="222222"/>
          <w:sz w:val="21"/>
          <w:szCs w:val="21"/>
          <w:lang w:eastAsia="ja-JP"/>
        </w:rPr>
        <w:t xml:space="preserve"> </w:t>
      </w:r>
      <w:proofErr w:type="spellStart"/>
      <w:r>
        <w:rPr>
          <w:rFonts w:ascii="Arial" w:hAnsi="Arial" w:cs="Arial"/>
          <w:i/>
          <w:iCs/>
          <w:color w:val="222222"/>
          <w:sz w:val="21"/>
          <w:szCs w:val="21"/>
        </w:rPr>
        <w:t>Keichō</w:t>
      </w:r>
      <w:proofErr w:type="spellEnd"/>
      <w:r>
        <w:rPr>
          <w:rFonts w:ascii="Arial" w:hAnsi="Arial" w:cs="Arial"/>
          <w:i/>
          <w:iCs/>
          <w:color w:val="222222"/>
          <w:sz w:val="21"/>
          <w:szCs w:val="21"/>
        </w:rPr>
        <w:t xml:space="preserve"> no </w:t>
      </w:r>
      <w:proofErr w:type="spellStart"/>
      <w:r>
        <w:rPr>
          <w:rFonts w:ascii="Arial" w:hAnsi="Arial" w:cs="Arial"/>
          <w:i/>
          <w:iCs/>
          <w:color w:val="222222"/>
          <w:sz w:val="21"/>
          <w:szCs w:val="21"/>
        </w:rPr>
        <w:t>eki</w:t>
      </w:r>
      <w:proofErr w:type="spellEnd"/>
      <w:r w:rsidR="00000000">
        <w:fldChar w:fldCharType="begin"/>
      </w:r>
      <w:r w:rsidR="00000000">
        <w:instrText>HYPERLINK "https://es.wikipedia.org/wiki/Ayuda:Idioma_japonés"</w:instrText>
      </w:r>
      <w:r w:rsidR="00000000">
        <w:fldChar w:fldCharType="separate"/>
      </w:r>
      <w:r>
        <w:rPr>
          <w:rFonts w:ascii="Arial" w:hAnsi="Arial" w:cs="Arial"/>
          <w:b/>
          <w:bCs/>
          <w:color w:val="00008B"/>
          <w:sz w:val="10"/>
          <w:szCs w:val="10"/>
          <w:vertAlign w:val="superscript"/>
        </w:rPr>
        <w:t>?</w:t>
      </w:r>
      <w:r w:rsidR="00000000">
        <w:rPr>
          <w:rFonts w:ascii="Arial" w:hAnsi="Arial" w:cs="Arial"/>
          <w:b/>
          <w:bCs/>
          <w:color w:val="00008B"/>
          <w:sz w:val="10"/>
          <w:szCs w:val="10"/>
          <w:vertAlign w:val="superscript"/>
        </w:rPr>
        <w:fldChar w:fldCharType="end"/>
      </w:r>
      <w:r>
        <w:rPr>
          <w:rFonts w:ascii="Arial" w:hAnsi="Arial" w:cs="Arial"/>
          <w:color w:val="222222"/>
          <w:sz w:val="21"/>
          <w:szCs w:val="21"/>
        </w:rPr>
        <w:t>).</w:t>
      </w:r>
    </w:p>
    <w:p w14:paraId="6372259A" w14:textId="77777777" w:rsidR="0041631E" w:rsidRDefault="0041631E" w:rsidP="0041631E">
      <w:pPr>
        <w:pStyle w:val="Standard"/>
      </w:pPr>
      <w:r>
        <w:rPr>
          <w:rFonts w:ascii="Arial" w:hAnsi="Arial" w:cs="Arial"/>
          <w:color w:val="222222"/>
          <w:sz w:val="21"/>
          <w:szCs w:val="21"/>
        </w:rPr>
        <w:t xml:space="preserve">En chino, la guerra es conocida como «Guerra </w:t>
      </w:r>
      <w:proofErr w:type="spellStart"/>
      <w:r>
        <w:rPr>
          <w:rFonts w:ascii="Arial" w:hAnsi="Arial" w:cs="Arial"/>
          <w:color w:val="222222"/>
          <w:sz w:val="21"/>
          <w:szCs w:val="21"/>
        </w:rPr>
        <w:t>Renchen</w:t>
      </w:r>
      <w:proofErr w:type="spellEnd"/>
      <w:r>
        <w:rPr>
          <w:rFonts w:ascii="Arial" w:hAnsi="Arial" w:cs="Arial"/>
          <w:color w:val="222222"/>
          <w:sz w:val="21"/>
          <w:szCs w:val="21"/>
        </w:rPr>
        <w:t xml:space="preserve"> para defender a la Nación» —por el mismo motivo que en Corea; el nombre del año correspondiente a 1592 en el ciclo sexagenario es conocido en aquel país como </w:t>
      </w:r>
      <w:proofErr w:type="spellStart"/>
      <w:r>
        <w:rPr>
          <w:rFonts w:ascii="Arial" w:hAnsi="Arial" w:cs="Arial"/>
          <w:i/>
          <w:iCs/>
          <w:color w:val="222222"/>
          <w:sz w:val="21"/>
          <w:szCs w:val="21"/>
        </w:rPr>
        <w:t>Renchen</w:t>
      </w:r>
      <w:proofErr w:type="spellEnd"/>
      <w:r>
        <w:rPr>
          <w:rFonts w:ascii="Arial" w:hAnsi="Arial" w:cs="Arial"/>
          <w:color w:val="222222"/>
          <w:sz w:val="21"/>
          <w:szCs w:val="21"/>
        </w:rPr>
        <w:t xml:space="preserve">— o como «Campaña de </w:t>
      </w:r>
      <w:proofErr w:type="spellStart"/>
      <w:r>
        <w:rPr>
          <w:rFonts w:ascii="Arial" w:hAnsi="Arial" w:cs="Arial"/>
          <w:color w:val="222222"/>
          <w:sz w:val="21"/>
          <w:szCs w:val="21"/>
        </w:rPr>
        <w:t>Wanli</w:t>
      </w:r>
      <w:proofErr w:type="spellEnd"/>
      <w:r>
        <w:rPr>
          <w:rFonts w:ascii="Arial" w:hAnsi="Arial" w:cs="Arial"/>
          <w:color w:val="222222"/>
          <w:sz w:val="21"/>
          <w:szCs w:val="21"/>
        </w:rPr>
        <w:t xml:space="preserve"> en Corea», en honor al emperador reinante.</w:t>
      </w:r>
    </w:p>
    <w:p w14:paraId="2D197663" w14:textId="77777777" w:rsidR="0041631E" w:rsidRDefault="0041631E" w:rsidP="0041631E">
      <w:pPr>
        <w:pStyle w:val="Standard"/>
      </w:pPr>
      <w:r>
        <w:t>*Historia</w:t>
      </w:r>
    </w:p>
    <w:p w14:paraId="44DF8DF4" w14:textId="4783D151" w:rsidR="0041631E" w:rsidRDefault="0041631E" w:rsidP="0041631E">
      <w:pPr>
        <w:pStyle w:val="Standard"/>
      </w:pPr>
      <w:r>
        <w:rPr>
          <w:noProof/>
        </w:rPr>
        <w:drawing>
          <wp:inline distT="0" distB="0" distL="0" distR="0" wp14:anchorId="3292F6E3" wp14:editId="59DB2769">
            <wp:extent cx="2381885" cy="4457065"/>
            <wp:effectExtent l="0" t="0" r="0" b="63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885" cy="4457065"/>
                    </a:xfrm>
                    <a:prstGeom prst="rect">
                      <a:avLst/>
                    </a:prstGeom>
                    <a:noFill/>
                    <a:ln>
                      <a:noFill/>
                    </a:ln>
                  </pic:spPr>
                </pic:pic>
              </a:graphicData>
            </a:graphic>
          </wp:inline>
        </w:drawing>
      </w:r>
    </w:p>
    <w:p w14:paraId="4F55A940" w14:textId="77777777" w:rsidR="0041631E" w:rsidRDefault="0041631E" w:rsidP="0041631E">
      <w:pPr>
        <w:pStyle w:val="Standard"/>
      </w:pPr>
      <w:r>
        <w:t xml:space="preserve">Ubicación de las ocho antiguas provincias de Corea: Pyongan, Hamgyong, Hwanghae, Gangwon, Gyeonggi, Chungcheong, </w:t>
      </w:r>
      <w:proofErr w:type="spellStart"/>
      <w:r>
        <w:t>Gyeongsang</w:t>
      </w:r>
      <w:proofErr w:type="spellEnd"/>
      <w:r>
        <w:t xml:space="preserve"> y </w:t>
      </w:r>
      <w:proofErr w:type="spellStart"/>
      <w:r>
        <w:t>Jeolla</w:t>
      </w:r>
      <w:proofErr w:type="spellEnd"/>
      <w:r>
        <w:t>.</w:t>
      </w:r>
    </w:p>
    <w:p w14:paraId="244ACD66" w14:textId="77777777" w:rsidR="0041631E" w:rsidRDefault="0041631E" w:rsidP="0041631E">
      <w:pPr>
        <w:pStyle w:val="Standard"/>
      </w:pPr>
      <w:r>
        <w:t>**Contexto</w:t>
      </w:r>
    </w:p>
    <w:p w14:paraId="64B69107" w14:textId="77777777" w:rsidR="0041631E" w:rsidRDefault="0041631E" w:rsidP="0041631E">
      <w:pPr>
        <w:pStyle w:val="Standard"/>
      </w:pPr>
      <w:r>
        <w:lastRenderedPageBreak/>
        <w:t>***Corea y China antes de la guerra</w:t>
      </w:r>
    </w:p>
    <w:p w14:paraId="4AE6A49D" w14:textId="77777777" w:rsidR="0041631E" w:rsidRDefault="0041631E" w:rsidP="0041631E">
      <w:pPr>
        <w:pStyle w:val="Standard"/>
      </w:pPr>
      <w:r>
        <w:t xml:space="preserve">En 1392, el general coreano Yi </w:t>
      </w:r>
      <w:proofErr w:type="spellStart"/>
      <w:r>
        <w:t>Seong-gye</w:t>
      </w:r>
      <w:proofErr w:type="spellEnd"/>
      <w:r>
        <w:t xml:space="preserve"> lideró un golpe de Estado para derrocar al Rey U de la dinastía </w:t>
      </w:r>
      <w:proofErr w:type="spellStart"/>
      <w:r>
        <w:t>Goryeo</w:t>
      </w:r>
      <w:proofErr w:type="spellEnd"/>
      <w:r>
        <w:t>, estableciendo así la Dinastía Joseon. Esta dinastía recibió el reconocimiento de China y la integró a su sistema tributario bajo el precepto conocido como «Mandato del Cielo», filosofía mediante la cual justificaban la legitimidad o ilegitimidad de un gobierno.</w:t>
      </w:r>
    </w:p>
    <w:p w14:paraId="0D460A88" w14:textId="77777777" w:rsidR="0041631E" w:rsidRDefault="0041631E" w:rsidP="0041631E">
      <w:pPr>
        <w:pStyle w:val="Standard"/>
      </w:pPr>
    </w:p>
    <w:p w14:paraId="530EC1AC" w14:textId="77777777" w:rsidR="0041631E" w:rsidRDefault="0041631E" w:rsidP="0041631E">
      <w:pPr>
        <w:pStyle w:val="Standard"/>
      </w:pPr>
      <w:r>
        <w:rPr>
          <w:rFonts w:ascii="Arial" w:hAnsi="Arial" w:cs="Arial"/>
          <w:color w:val="222222"/>
          <w:sz w:val="21"/>
          <w:szCs w:val="21"/>
        </w:rPr>
        <w:t xml:space="preserve">Tanto la dinastía coreana de Joseon como la Ming de China compartían muchos aspectos: ambas emergieron durante el siglo XIV a la caída del gobierno mongol, ambas establecieron los principios del confucionismo como un ideal de sociedad y gobierno, además de que luchaban en contra de similares amenazas extranjeras (como los piratas </w:t>
      </w:r>
      <w:proofErr w:type="spellStart"/>
      <w:r>
        <w:rPr>
          <w:rFonts w:ascii="Arial" w:hAnsi="Arial" w:cs="Arial"/>
          <w:color w:val="222222"/>
          <w:sz w:val="21"/>
          <w:szCs w:val="21"/>
        </w:rPr>
        <w:t>Yurchen</w:t>
      </w:r>
      <w:proofErr w:type="spellEnd"/>
      <w:r>
        <w:rPr>
          <w:rFonts w:ascii="Arial" w:hAnsi="Arial" w:cs="Arial"/>
          <w:color w:val="222222"/>
          <w:sz w:val="21"/>
          <w:szCs w:val="21"/>
        </w:rPr>
        <w:t xml:space="preserve"> o los piratas </w:t>
      </w:r>
      <w:proofErr w:type="spellStart"/>
      <w:r>
        <w:rPr>
          <w:rFonts w:ascii="Arial" w:hAnsi="Arial" w:cs="Arial"/>
          <w:i/>
          <w:iCs/>
          <w:color w:val="222222"/>
          <w:sz w:val="21"/>
          <w:szCs w:val="21"/>
        </w:rPr>
        <w:t>wakō</w:t>
      </w:r>
      <w:proofErr w:type="spellEnd"/>
      <w:r>
        <w:rPr>
          <w:rFonts w:ascii="Arial" w:hAnsi="Arial" w:cs="Arial"/>
          <w:color w:val="222222"/>
          <w:sz w:val="21"/>
          <w:szCs w:val="21"/>
        </w:rPr>
        <w:t xml:space="preserve"> japoneses). Internamente, tanto China como Corea sufrían de disputas entre las diversas facciones políticas. Este factor tendría una influencia considerable en las decisiones tomadas por el gobierno coreano antes de la guerra y las tomadas por el gobierno chino durante ella. La mutua dependencia económica de ambos países, así como el tener enemigos en común resultó en una relación amistosa y próspera entre ellos.</w:t>
      </w:r>
    </w:p>
    <w:p w14:paraId="7828BB26" w14:textId="77777777" w:rsidR="0041631E" w:rsidRDefault="0041631E" w:rsidP="0041631E">
      <w:pPr>
        <w:pStyle w:val="Standard"/>
      </w:pPr>
      <w:r>
        <w:t xml:space="preserve">***Los preparativos de </w:t>
      </w:r>
      <w:proofErr w:type="spellStart"/>
      <w:r>
        <w:t>Hideyoshi</w:t>
      </w:r>
      <w:proofErr w:type="spellEnd"/>
    </w:p>
    <w:p w14:paraId="4DA08E93" w14:textId="3BCF2D3E" w:rsidR="0041631E" w:rsidRDefault="0041631E" w:rsidP="0041631E">
      <w:pPr>
        <w:pStyle w:val="Standard"/>
      </w:pPr>
      <w:r>
        <w:rPr>
          <w:noProof/>
        </w:rPr>
        <w:drawing>
          <wp:inline distT="0" distB="0" distL="0" distR="0" wp14:anchorId="4B1637F5" wp14:editId="7A12BC4F">
            <wp:extent cx="2094230" cy="2963545"/>
            <wp:effectExtent l="0" t="0" r="1270" b="825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4230" cy="2963545"/>
                    </a:xfrm>
                    <a:prstGeom prst="rect">
                      <a:avLst/>
                    </a:prstGeom>
                    <a:noFill/>
                    <a:ln>
                      <a:noFill/>
                    </a:ln>
                  </pic:spPr>
                </pic:pic>
              </a:graphicData>
            </a:graphic>
          </wp:inline>
        </w:drawing>
      </w:r>
    </w:p>
    <w:p w14:paraId="238A7B4A" w14:textId="77777777" w:rsidR="0041631E" w:rsidRDefault="0041631E" w:rsidP="0041631E">
      <w:pPr>
        <w:pStyle w:val="Standard"/>
      </w:pPr>
    </w:p>
    <w:p w14:paraId="12A89037" w14:textId="77777777" w:rsidR="0041631E" w:rsidRDefault="0041631E" w:rsidP="0041631E">
      <w:pPr>
        <w:pStyle w:val="Standard"/>
      </w:pPr>
      <w:r>
        <w:t xml:space="preserve">Retrato de </w:t>
      </w:r>
      <w:proofErr w:type="spellStart"/>
      <w:r>
        <w:t>Toyotomi</w:t>
      </w:r>
      <w:proofErr w:type="spellEnd"/>
      <w:r>
        <w:t xml:space="preserve"> </w:t>
      </w:r>
      <w:proofErr w:type="spellStart"/>
      <w:r>
        <w:t>Hideyoshi</w:t>
      </w:r>
      <w:proofErr w:type="spellEnd"/>
      <w:r>
        <w:t>, dibujado en 1601.</w:t>
      </w:r>
    </w:p>
    <w:p w14:paraId="67B148A6" w14:textId="77777777" w:rsidR="0041631E" w:rsidRDefault="0041631E" w:rsidP="0041631E">
      <w:pPr>
        <w:pStyle w:val="Standard"/>
        <w:rPr>
          <w:rFonts w:ascii="Arial" w:hAnsi="Arial" w:cs="Arial"/>
          <w:color w:val="222222"/>
          <w:sz w:val="21"/>
          <w:szCs w:val="21"/>
        </w:rPr>
      </w:pPr>
      <w:r>
        <w:rPr>
          <w:rFonts w:ascii="Arial" w:hAnsi="Arial" w:cs="Arial"/>
          <w:color w:val="222222"/>
          <w:sz w:val="21"/>
          <w:szCs w:val="21"/>
        </w:rPr>
        <w:t xml:space="preserve">Hacia finales del siglo XVI, </w:t>
      </w:r>
      <w:proofErr w:type="spellStart"/>
      <w:r>
        <w:rPr>
          <w:rFonts w:ascii="Arial" w:hAnsi="Arial" w:cs="Arial"/>
          <w:color w:val="222222"/>
          <w:sz w:val="21"/>
          <w:szCs w:val="21"/>
        </w:rPr>
        <w:t>Toyotomi</w:t>
      </w:r>
      <w:proofErr w:type="spellEnd"/>
      <w:r>
        <w:rPr>
          <w:rFonts w:ascii="Arial" w:hAnsi="Arial" w:cs="Arial"/>
          <w:color w:val="222222"/>
          <w:sz w:val="21"/>
          <w:szCs w:val="21"/>
        </w:rPr>
        <w:t xml:space="preserve"> </w:t>
      </w:r>
      <w:proofErr w:type="spellStart"/>
      <w:r>
        <w:rPr>
          <w:rFonts w:ascii="Arial" w:hAnsi="Arial" w:cs="Arial"/>
          <w:color w:val="222222"/>
          <w:sz w:val="21"/>
          <w:szCs w:val="21"/>
        </w:rPr>
        <w:t>Hideyoshi</w:t>
      </w:r>
      <w:proofErr w:type="spellEnd"/>
      <w:r>
        <w:rPr>
          <w:rFonts w:ascii="Arial" w:hAnsi="Arial" w:cs="Arial"/>
          <w:color w:val="222222"/>
          <w:sz w:val="21"/>
          <w:szCs w:val="21"/>
        </w:rPr>
        <w:t xml:space="preserve">, siguiendo los pasos de su antiguo señor, Oda </w:t>
      </w:r>
      <w:proofErr w:type="spellStart"/>
      <w:r>
        <w:rPr>
          <w:rFonts w:ascii="Arial" w:hAnsi="Arial" w:cs="Arial"/>
          <w:color w:val="222222"/>
          <w:sz w:val="21"/>
          <w:szCs w:val="21"/>
        </w:rPr>
        <w:t>Nobunaga</w:t>
      </w:r>
      <w:proofErr w:type="spellEnd"/>
      <w:r>
        <w:rPr>
          <w:rFonts w:ascii="Arial" w:hAnsi="Arial" w:cs="Arial"/>
          <w:color w:val="222222"/>
          <w:sz w:val="21"/>
          <w:szCs w:val="21"/>
        </w:rPr>
        <w:t xml:space="preserve">, había logrado unificar Japón momentáneamente, lo que significó un breve periodo de paz. Debido a que </w:t>
      </w:r>
      <w:proofErr w:type="spellStart"/>
      <w:r>
        <w:rPr>
          <w:rFonts w:ascii="Arial" w:hAnsi="Arial" w:cs="Arial"/>
          <w:color w:val="222222"/>
          <w:sz w:val="21"/>
          <w:szCs w:val="21"/>
        </w:rPr>
        <w:t>Hideyoshi</w:t>
      </w:r>
      <w:proofErr w:type="spellEnd"/>
      <w:r>
        <w:rPr>
          <w:rFonts w:ascii="Arial" w:hAnsi="Arial" w:cs="Arial"/>
          <w:color w:val="222222"/>
          <w:sz w:val="21"/>
          <w:szCs w:val="21"/>
        </w:rPr>
        <w:t xml:space="preserve"> no tenía una ascendencia real ni procedía de ninguno de los clanes japoneses históricos, nunca le fue otorgado el título de </w:t>
      </w:r>
      <w:proofErr w:type="spellStart"/>
      <w:r>
        <w:rPr>
          <w:rFonts w:ascii="Arial" w:hAnsi="Arial" w:cs="Arial"/>
          <w:i/>
          <w:iCs/>
          <w:color w:val="222222"/>
          <w:sz w:val="21"/>
          <w:szCs w:val="21"/>
        </w:rPr>
        <w:t>shōgun</w:t>
      </w:r>
      <w:proofErr w:type="spellEnd"/>
      <w:r>
        <w:rPr>
          <w:rFonts w:ascii="Arial" w:hAnsi="Arial" w:cs="Arial"/>
          <w:color w:val="222222"/>
          <w:sz w:val="21"/>
          <w:szCs w:val="21"/>
        </w:rPr>
        <w:t xml:space="preserve"> (</w:t>
      </w:r>
      <w:r>
        <w:rPr>
          <w:rFonts w:ascii="MS Gothic" w:eastAsia="MS Gothic" w:hAnsi="MS Gothic" w:cs="MS Gothic" w:hint="eastAsia"/>
          <w:color w:val="222222"/>
          <w:sz w:val="21"/>
          <w:szCs w:val="21"/>
          <w:lang w:eastAsia="ja-JP"/>
        </w:rPr>
        <w:t>将軍</w:t>
      </w:r>
      <w:r w:rsidR="00000000">
        <w:fldChar w:fldCharType="begin"/>
      </w:r>
      <w:r w:rsidR="00000000">
        <w:instrText>HYPERLINK "https://es.wikipedia.org/wiki/Ayuda:Idioma_japonés"</w:instrText>
      </w:r>
      <w:r w:rsidR="00000000">
        <w:fldChar w:fldCharType="separate"/>
      </w:r>
      <w:r>
        <w:rPr>
          <w:rFonts w:ascii="Arial" w:hAnsi="Arial" w:cs="Arial"/>
          <w:b/>
          <w:bCs/>
          <w:color w:val="00008B"/>
          <w:sz w:val="10"/>
          <w:szCs w:val="10"/>
          <w:vertAlign w:val="superscript"/>
        </w:rPr>
        <w:t>?</w:t>
      </w:r>
      <w:r w:rsidR="00000000">
        <w:rPr>
          <w:rFonts w:ascii="Arial" w:hAnsi="Arial" w:cs="Arial"/>
          <w:b/>
          <w:bCs/>
          <w:color w:val="00008B"/>
          <w:sz w:val="10"/>
          <w:szCs w:val="10"/>
          <w:vertAlign w:val="superscript"/>
        </w:rPr>
        <w:fldChar w:fldCharType="end"/>
      </w:r>
      <w:r>
        <w:rPr>
          <w:rFonts w:ascii="Arial" w:hAnsi="Arial" w:cs="Arial"/>
          <w:color w:val="222222"/>
          <w:sz w:val="21"/>
          <w:szCs w:val="21"/>
        </w:rPr>
        <w:t xml:space="preserve">); a cambio, recibió un título menor: el de </w:t>
      </w:r>
      <w:proofErr w:type="spellStart"/>
      <w:r>
        <w:rPr>
          <w:rFonts w:ascii="Arial" w:hAnsi="Arial" w:cs="Arial"/>
          <w:i/>
          <w:iCs/>
          <w:color w:val="222222"/>
          <w:sz w:val="21"/>
          <w:szCs w:val="21"/>
        </w:rPr>
        <w:t>kanpaku</w:t>
      </w:r>
      <w:proofErr w:type="spellEnd"/>
      <w:r>
        <w:rPr>
          <w:rFonts w:ascii="Arial" w:hAnsi="Arial" w:cs="Arial"/>
          <w:color w:val="222222"/>
          <w:sz w:val="21"/>
          <w:szCs w:val="21"/>
        </w:rPr>
        <w:t xml:space="preserve"> (</w:t>
      </w:r>
      <w:r>
        <w:rPr>
          <w:rFonts w:ascii="MS Gothic" w:eastAsia="MS Gothic" w:hAnsi="MS Gothic" w:cs="MS Gothic" w:hint="eastAsia"/>
          <w:color w:val="222222"/>
          <w:sz w:val="21"/>
          <w:szCs w:val="21"/>
          <w:lang w:eastAsia="ja-JP"/>
        </w:rPr>
        <w:t>関白</w:t>
      </w:r>
      <w:r>
        <w:rPr>
          <w:rFonts w:ascii="Arial" w:eastAsia="Arial" w:hAnsi="Arial" w:cs="Arial"/>
          <w:color w:val="222222"/>
          <w:sz w:val="21"/>
          <w:szCs w:val="21"/>
          <w:lang w:eastAsia="ja-JP"/>
        </w:rPr>
        <w:t xml:space="preserve"> </w:t>
      </w:r>
      <w:r>
        <w:rPr>
          <w:rFonts w:ascii="Arial" w:hAnsi="Arial" w:cs="Arial"/>
          <w:i/>
          <w:iCs/>
          <w:color w:val="222222"/>
          <w:sz w:val="21"/>
          <w:szCs w:val="21"/>
        </w:rPr>
        <w:t>regente</w:t>
      </w:r>
      <w:hyperlink r:id="rId10" w:history="1">
        <w:r>
          <w:rPr>
            <w:rFonts w:ascii="Arial" w:hAnsi="Arial" w:cs="Arial"/>
            <w:b/>
            <w:bCs/>
            <w:color w:val="00008B"/>
            <w:sz w:val="10"/>
            <w:szCs w:val="10"/>
            <w:vertAlign w:val="superscript"/>
          </w:rPr>
          <w:t>?</w:t>
        </w:r>
      </w:hyperlink>
      <w:r>
        <w:rPr>
          <w:rFonts w:ascii="Arial" w:hAnsi="Arial" w:cs="Arial"/>
          <w:color w:val="222222"/>
          <w:sz w:val="21"/>
          <w:szCs w:val="21"/>
        </w:rPr>
        <w:t xml:space="preserve">). Por esta razón buscó legitimar su gobierno a través del poder militar y al mismo tiempo disminuir la dependencia hacia el Emperador de Japón. Algunas fuentes aseguran que </w:t>
      </w:r>
      <w:proofErr w:type="spellStart"/>
      <w:r>
        <w:rPr>
          <w:rFonts w:ascii="Arial" w:hAnsi="Arial" w:cs="Arial"/>
          <w:color w:val="222222"/>
          <w:sz w:val="21"/>
          <w:szCs w:val="21"/>
        </w:rPr>
        <w:t>Hideyoshi</w:t>
      </w:r>
      <w:proofErr w:type="spellEnd"/>
      <w:r>
        <w:rPr>
          <w:rFonts w:ascii="Arial" w:hAnsi="Arial" w:cs="Arial"/>
          <w:color w:val="222222"/>
          <w:sz w:val="21"/>
          <w:szCs w:val="21"/>
        </w:rPr>
        <w:t xml:space="preserve"> planeó la invasión a China para cumplir la misión de </w:t>
      </w:r>
      <w:proofErr w:type="spellStart"/>
      <w:r>
        <w:rPr>
          <w:rFonts w:ascii="Arial" w:hAnsi="Arial" w:cs="Arial"/>
          <w:color w:val="222222"/>
          <w:sz w:val="21"/>
          <w:szCs w:val="21"/>
        </w:rPr>
        <w:t>Nobunaga</w:t>
      </w:r>
      <w:proofErr w:type="spellEnd"/>
      <w:r>
        <w:rPr>
          <w:rFonts w:ascii="Arial" w:hAnsi="Arial" w:cs="Arial"/>
          <w:color w:val="222222"/>
          <w:sz w:val="21"/>
          <w:szCs w:val="21"/>
        </w:rPr>
        <w:t xml:space="preserve">, así como para disminuir el riesgo de una posible rebelión interna debido al exceso de guerreros samurái y soldados en el país. Otra de las posibles motivaciones de </w:t>
      </w:r>
      <w:proofErr w:type="spellStart"/>
      <w:r>
        <w:rPr>
          <w:rFonts w:ascii="Arial" w:hAnsi="Arial" w:cs="Arial"/>
          <w:color w:val="222222"/>
          <w:sz w:val="21"/>
          <w:szCs w:val="21"/>
        </w:rPr>
        <w:t>Hideyoshi</w:t>
      </w:r>
      <w:proofErr w:type="spellEnd"/>
      <w:r>
        <w:rPr>
          <w:rFonts w:ascii="Arial" w:hAnsi="Arial" w:cs="Arial"/>
          <w:color w:val="222222"/>
          <w:sz w:val="21"/>
          <w:szCs w:val="21"/>
        </w:rPr>
        <w:t xml:space="preserve"> fue la de subyugar los estados menores vecinos (por </w:t>
      </w:r>
      <w:proofErr w:type="gramStart"/>
      <w:r>
        <w:rPr>
          <w:rFonts w:ascii="Arial" w:hAnsi="Arial" w:cs="Arial"/>
          <w:color w:val="222222"/>
          <w:sz w:val="21"/>
          <w:szCs w:val="21"/>
        </w:rPr>
        <w:t>ejemplo</w:t>
      </w:r>
      <w:proofErr w:type="gramEnd"/>
      <w:r>
        <w:rPr>
          <w:rFonts w:ascii="Arial" w:hAnsi="Arial" w:cs="Arial"/>
          <w:color w:val="222222"/>
          <w:sz w:val="21"/>
          <w:szCs w:val="21"/>
        </w:rPr>
        <w:t xml:space="preserve"> </w:t>
      </w:r>
      <w:proofErr w:type="spellStart"/>
      <w:r>
        <w:rPr>
          <w:rFonts w:ascii="Arial" w:hAnsi="Arial" w:cs="Arial"/>
          <w:color w:val="222222"/>
          <w:sz w:val="21"/>
          <w:szCs w:val="21"/>
        </w:rPr>
        <w:t>Ryūkyū</w:t>
      </w:r>
      <w:proofErr w:type="spellEnd"/>
      <w:r>
        <w:rPr>
          <w:rFonts w:ascii="Arial" w:hAnsi="Arial" w:cs="Arial"/>
          <w:color w:val="222222"/>
          <w:sz w:val="21"/>
          <w:szCs w:val="21"/>
        </w:rPr>
        <w:t>, Luzón, Taiwán y Corea).</w:t>
      </w:r>
    </w:p>
    <w:p w14:paraId="173CEAC3" w14:textId="77777777" w:rsidR="0041631E" w:rsidRDefault="0041631E" w:rsidP="0041631E">
      <w:pPr>
        <w:pStyle w:val="Standard"/>
      </w:pPr>
    </w:p>
    <w:p w14:paraId="1707083E" w14:textId="77777777" w:rsidR="0041631E" w:rsidRDefault="0041631E" w:rsidP="0041631E">
      <w:pPr>
        <w:pStyle w:val="Standard"/>
        <w:rPr>
          <w:rFonts w:ascii="Arial" w:hAnsi="Arial" w:cs="Arial"/>
          <w:color w:val="222222"/>
          <w:sz w:val="21"/>
          <w:szCs w:val="21"/>
        </w:rPr>
      </w:pPr>
      <w:r>
        <w:rPr>
          <w:rFonts w:ascii="Arial" w:hAnsi="Arial" w:cs="Arial"/>
          <w:color w:val="222222"/>
          <w:sz w:val="21"/>
          <w:szCs w:val="21"/>
        </w:rPr>
        <w:t xml:space="preserve">La derrota del clan </w:t>
      </w:r>
      <w:proofErr w:type="spellStart"/>
      <w:r>
        <w:rPr>
          <w:rFonts w:ascii="Arial" w:hAnsi="Arial" w:cs="Arial"/>
          <w:color w:val="222222"/>
          <w:sz w:val="21"/>
          <w:szCs w:val="21"/>
        </w:rPr>
        <w:t>Hōjō</w:t>
      </w:r>
      <w:proofErr w:type="spellEnd"/>
      <w:r>
        <w:rPr>
          <w:rFonts w:ascii="Arial" w:hAnsi="Arial" w:cs="Arial"/>
          <w:color w:val="222222"/>
          <w:sz w:val="21"/>
          <w:szCs w:val="21"/>
        </w:rPr>
        <w:t xml:space="preserve"> tardío en 1590 llevó finalmente al país a una segunda etapa de «pacificación», por lo que </w:t>
      </w:r>
      <w:proofErr w:type="spellStart"/>
      <w:r>
        <w:rPr>
          <w:rFonts w:ascii="Arial" w:hAnsi="Arial" w:cs="Arial"/>
          <w:color w:val="222222"/>
          <w:sz w:val="21"/>
          <w:szCs w:val="21"/>
        </w:rPr>
        <w:t>Hideyoshi</w:t>
      </w:r>
      <w:proofErr w:type="spellEnd"/>
      <w:r>
        <w:rPr>
          <w:rFonts w:ascii="Arial" w:hAnsi="Arial" w:cs="Arial"/>
          <w:color w:val="222222"/>
          <w:sz w:val="21"/>
          <w:szCs w:val="21"/>
        </w:rPr>
        <w:t xml:space="preserve"> comenzó los preparativos para la siguiente batalla. A comienzos de marzo de 1591, el </w:t>
      </w:r>
      <w:proofErr w:type="spellStart"/>
      <w:r>
        <w:rPr>
          <w:rFonts w:ascii="Arial" w:hAnsi="Arial" w:cs="Arial"/>
          <w:i/>
          <w:iCs/>
          <w:color w:val="222222"/>
          <w:sz w:val="21"/>
          <w:szCs w:val="21"/>
        </w:rPr>
        <w:t>daimyō</w:t>
      </w:r>
      <w:proofErr w:type="spellEnd"/>
      <w:r>
        <w:rPr>
          <w:rFonts w:ascii="Arial" w:hAnsi="Arial" w:cs="Arial"/>
          <w:color w:val="222222"/>
          <w:sz w:val="21"/>
          <w:szCs w:val="21"/>
        </w:rPr>
        <w:t xml:space="preserve"> de </w:t>
      </w:r>
      <w:proofErr w:type="spellStart"/>
      <w:r>
        <w:rPr>
          <w:rFonts w:ascii="Arial" w:hAnsi="Arial" w:cs="Arial"/>
          <w:color w:val="222222"/>
          <w:sz w:val="21"/>
          <w:szCs w:val="21"/>
        </w:rPr>
        <w:t>Kyūshū</w:t>
      </w:r>
      <w:proofErr w:type="spellEnd"/>
      <w:r>
        <w:rPr>
          <w:rFonts w:ascii="Arial" w:hAnsi="Arial" w:cs="Arial"/>
          <w:color w:val="222222"/>
          <w:sz w:val="21"/>
          <w:szCs w:val="21"/>
        </w:rPr>
        <w:t xml:space="preserve"> construyó el Castillo Nagoya, el cual estaba planeado para ser el centro de movilización de las tropas invasoras. En 1592 </w:t>
      </w:r>
      <w:proofErr w:type="spellStart"/>
      <w:r>
        <w:rPr>
          <w:rFonts w:ascii="Arial" w:hAnsi="Arial" w:cs="Arial"/>
          <w:color w:val="222222"/>
          <w:sz w:val="21"/>
          <w:szCs w:val="21"/>
        </w:rPr>
        <w:lastRenderedPageBreak/>
        <w:t>Hideyoshi</w:t>
      </w:r>
      <w:proofErr w:type="spellEnd"/>
      <w:r>
        <w:rPr>
          <w:rFonts w:ascii="Arial" w:hAnsi="Arial" w:cs="Arial"/>
          <w:color w:val="222222"/>
          <w:sz w:val="21"/>
          <w:szCs w:val="21"/>
        </w:rPr>
        <w:t xml:space="preserve"> envió una carta a Filipinas demandándole tributo y asegurando que Japón ya lo recibía de Corea y del Reino de </w:t>
      </w:r>
      <w:proofErr w:type="spellStart"/>
      <w:r>
        <w:rPr>
          <w:rFonts w:ascii="Arial" w:hAnsi="Arial" w:cs="Arial"/>
          <w:color w:val="222222"/>
          <w:sz w:val="21"/>
          <w:szCs w:val="21"/>
        </w:rPr>
        <w:t>Ryukyu</w:t>
      </w:r>
      <w:proofErr w:type="spellEnd"/>
      <w:r>
        <w:rPr>
          <w:rFonts w:ascii="Arial" w:hAnsi="Arial" w:cs="Arial"/>
          <w:color w:val="222222"/>
          <w:sz w:val="21"/>
          <w:szCs w:val="21"/>
        </w:rPr>
        <w:t>.</w:t>
      </w:r>
    </w:p>
    <w:p w14:paraId="03D3FE5B" w14:textId="77777777" w:rsidR="0041631E" w:rsidRDefault="0041631E" w:rsidP="0041631E">
      <w:pPr>
        <w:pStyle w:val="Standard"/>
      </w:pPr>
    </w:p>
    <w:p w14:paraId="76D195A3" w14:textId="77777777" w:rsidR="0041631E" w:rsidRDefault="0041631E" w:rsidP="0041631E">
      <w:pPr>
        <w:pStyle w:val="Standard"/>
      </w:pPr>
      <w:r>
        <w:rPr>
          <w:rFonts w:ascii="Arial" w:hAnsi="Arial" w:cs="Arial"/>
          <w:color w:val="222222"/>
          <w:sz w:val="21"/>
          <w:szCs w:val="21"/>
        </w:rPr>
        <w:t xml:space="preserve">Como preparativo para la guerra, desde comienzos de 1586 se había comenzado la construcción de 2.000 barcos. Para darse una idea de la fuerza militar coreana, </w:t>
      </w:r>
      <w:proofErr w:type="spellStart"/>
      <w:r>
        <w:rPr>
          <w:rFonts w:ascii="Arial" w:hAnsi="Arial" w:cs="Arial"/>
          <w:color w:val="222222"/>
          <w:sz w:val="21"/>
          <w:szCs w:val="21"/>
        </w:rPr>
        <w:t>Hideyoshi</w:t>
      </w:r>
      <w:proofErr w:type="spellEnd"/>
      <w:r>
        <w:rPr>
          <w:rFonts w:ascii="Arial" w:hAnsi="Arial" w:cs="Arial"/>
          <w:color w:val="222222"/>
          <w:sz w:val="21"/>
          <w:szCs w:val="21"/>
        </w:rPr>
        <w:t xml:space="preserve"> envió una fuerza de ataque de 26 barcos a la costa del sur de Corea en 1587. De este ataque concluyó que la armada coreana era incompetente. En el campo diplomático, </w:t>
      </w:r>
      <w:proofErr w:type="spellStart"/>
      <w:r>
        <w:rPr>
          <w:rFonts w:ascii="Arial" w:hAnsi="Arial" w:cs="Arial"/>
          <w:color w:val="222222"/>
          <w:sz w:val="21"/>
          <w:szCs w:val="21"/>
        </w:rPr>
        <w:t>Hideyoshi</w:t>
      </w:r>
      <w:proofErr w:type="spellEnd"/>
      <w:r>
        <w:rPr>
          <w:rFonts w:ascii="Arial" w:hAnsi="Arial" w:cs="Arial"/>
          <w:color w:val="222222"/>
          <w:sz w:val="21"/>
          <w:szCs w:val="21"/>
        </w:rPr>
        <w:t xml:space="preserve"> trató de favorecer relaciones amistosas con China y ayudó a vigilar las rutas de comercio en contra de los piratas </w:t>
      </w:r>
      <w:proofErr w:type="spellStart"/>
      <w:r>
        <w:rPr>
          <w:rFonts w:ascii="Arial" w:hAnsi="Arial" w:cs="Arial"/>
          <w:i/>
          <w:iCs/>
          <w:color w:val="222222"/>
          <w:sz w:val="21"/>
          <w:szCs w:val="21"/>
        </w:rPr>
        <w:t>wakō</w:t>
      </w:r>
      <w:proofErr w:type="spellEnd"/>
      <w:r>
        <w:rPr>
          <w:rFonts w:ascii="Arial" w:hAnsi="Arial" w:cs="Arial"/>
          <w:i/>
          <w:iCs/>
          <w:color w:val="222222"/>
          <w:sz w:val="21"/>
          <w:szCs w:val="21"/>
        </w:rPr>
        <w:t>.</w:t>
      </w:r>
    </w:p>
    <w:p w14:paraId="61669156" w14:textId="77777777" w:rsidR="0041631E" w:rsidRDefault="0041631E" w:rsidP="0041631E">
      <w:pPr>
        <w:pStyle w:val="Standard"/>
      </w:pPr>
      <w:r>
        <w:t>***Relaciones diplomáticas entre Japón y Corea</w:t>
      </w:r>
    </w:p>
    <w:p w14:paraId="36E28BA6" w14:textId="3A1C3FC5" w:rsidR="0041631E" w:rsidRDefault="0041631E" w:rsidP="0041631E">
      <w:pPr>
        <w:pStyle w:val="Standard"/>
      </w:pPr>
      <w:r>
        <w:rPr>
          <w:noProof/>
        </w:rPr>
        <w:drawing>
          <wp:inline distT="0" distB="0" distL="0" distR="0" wp14:anchorId="2E6D9583" wp14:editId="407A97BF">
            <wp:extent cx="2381885" cy="179070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885" cy="1790700"/>
                    </a:xfrm>
                    <a:prstGeom prst="rect">
                      <a:avLst/>
                    </a:prstGeom>
                    <a:noFill/>
                    <a:ln>
                      <a:noFill/>
                    </a:ln>
                  </pic:spPr>
                </pic:pic>
              </a:graphicData>
            </a:graphic>
          </wp:inline>
        </w:drawing>
      </w:r>
    </w:p>
    <w:p w14:paraId="2C143F5D" w14:textId="77777777" w:rsidR="0041631E" w:rsidRDefault="0041631E" w:rsidP="0041631E">
      <w:pPr>
        <w:pStyle w:val="Standard"/>
      </w:pPr>
    </w:p>
    <w:p w14:paraId="1FCFA762" w14:textId="77777777" w:rsidR="0041631E" w:rsidRDefault="0041631E" w:rsidP="0041631E">
      <w:pPr>
        <w:pStyle w:val="Standard"/>
      </w:pPr>
      <w:r>
        <w:t>Vestimenta utilizada en Corea durante el reinado de la dinastía Joseon.</w:t>
      </w:r>
    </w:p>
    <w:sectPr w:rsidR="0041631E" w:rsidSect="00385492">
      <w:pgSz w:w="11906" w:h="16838"/>
      <w:pgMar w:top="1417" w:right="1701" w:bottom="1417"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1729E" w14:textId="77777777" w:rsidR="005A264B" w:rsidRDefault="005A264B">
      <w:pPr>
        <w:rPr>
          <w:rFonts w:hint="eastAsia"/>
        </w:rPr>
      </w:pPr>
      <w:r>
        <w:separator/>
      </w:r>
    </w:p>
  </w:endnote>
  <w:endnote w:type="continuationSeparator" w:id="0">
    <w:p w14:paraId="2F23B4AA" w14:textId="77777777" w:rsidR="005A264B" w:rsidRDefault="005A26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Batang, 바탕">
    <w:altName w:val="Batang"/>
    <w:panose1 w:val="020B0604020202020204"/>
    <w:charset w:val="00"/>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SimSun, 宋体">
    <w:altName w:val="SimSun"/>
    <w:panose1 w:val="020B0604020202020204"/>
    <w:charset w:val="00"/>
    <w:family w:val="auto"/>
    <w:pitch w:val="variable"/>
  </w:font>
  <w:font w:name="Gulim, 굴림">
    <w:altName w:val="Gulim"/>
    <w:panose1 w:val="020B0604020202020204"/>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69D0B" w14:textId="77777777" w:rsidR="005A264B" w:rsidRDefault="005A264B">
      <w:pPr>
        <w:rPr>
          <w:rFonts w:hint="eastAsia"/>
        </w:rPr>
      </w:pPr>
      <w:r>
        <w:rPr>
          <w:color w:val="000000"/>
        </w:rPr>
        <w:separator/>
      </w:r>
    </w:p>
  </w:footnote>
  <w:footnote w:type="continuationSeparator" w:id="0">
    <w:p w14:paraId="7AB0BA57" w14:textId="77777777" w:rsidR="005A264B" w:rsidRDefault="005A264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E7319"/>
    <w:multiLevelType w:val="multilevel"/>
    <w:tmpl w:val="A9BAF234"/>
    <w:styleLink w:val="WW8Num1"/>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 w15:restartNumberingAfterBreak="0">
    <w:nsid w:val="5D4B54D5"/>
    <w:multiLevelType w:val="multilevel"/>
    <w:tmpl w:val="7A023C04"/>
    <w:lvl w:ilvl="0">
      <w:start w:val="1"/>
      <w:numFmt w:val="upperLetter"/>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1.%2.%3-"/>
      <w:lvlJc w:val="left"/>
      <w:pPr>
        <w:ind w:left="1353"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19021672">
    <w:abstractNumId w:val="0"/>
  </w:num>
  <w:num w:numId="2" w16cid:durableId="888105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86F"/>
    <w:rsid w:val="001143BC"/>
    <w:rsid w:val="0015762C"/>
    <w:rsid w:val="001A52A4"/>
    <w:rsid w:val="00242F26"/>
    <w:rsid w:val="002D1741"/>
    <w:rsid w:val="00362572"/>
    <w:rsid w:val="00385492"/>
    <w:rsid w:val="003D0FB4"/>
    <w:rsid w:val="0041631E"/>
    <w:rsid w:val="005052DD"/>
    <w:rsid w:val="005A264B"/>
    <w:rsid w:val="00772995"/>
    <w:rsid w:val="007A5C12"/>
    <w:rsid w:val="008640DB"/>
    <w:rsid w:val="00903941"/>
    <w:rsid w:val="0093486F"/>
    <w:rsid w:val="00986EE4"/>
    <w:rsid w:val="00A403B5"/>
    <w:rsid w:val="00A84FD6"/>
    <w:rsid w:val="00AB5B35"/>
    <w:rsid w:val="00BD11A1"/>
    <w:rsid w:val="00C7111F"/>
    <w:rsid w:val="00CE5A81"/>
    <w:rsid w:val="00DE37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69ADA"/>
  <w15:docId w15:val="{E40BD5D2-8B19-487D-95F6-866F3ED71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Mangal"/>
        <w:kern w:val="3"/>
        <w:sz w:val="24"/>
        <w:szCs w:val="24"/>
        <w:lang w:val="es-E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11F"/>
  </w:style>
  <w:style w:type="paragraph" w:styleId="Ttulo1">
    <w:name w:val="heading 1"/>
    <w:basedOn w:val="Standard"/>
    <w:next w:val="Textbody"/>
    <w:uiPriority w:val="9"/>
    <w:qFormat/>
    <w:pPr>
      <w:spacing w:before="280" w:after="280"/>
      <w:outlineLvl w:val="0"/>
    </w:pPr>
    <w:rPr>
      <w:b/>
      <w:bCs/>
      <w:sz w:val="48"/>
      <w:szCs w:val="48"/>
    </w:rPr>
  </w:style>
  <w:style w:type="paragraph" w:styleId="Ttulo2">
    <w:name w:val="heading 2"/>
    <w:basedOn w:val="Standard"/>
    <w:next w:val="Textbody"/>
    <w:uiPriority w:val="9"/>
    <w:semiHidden/>
    <w:unhideWhenUsed/>
    <w:qFormat/>
    <w:pPr>
      <w:spacing w:before="280" w:after="280"/>
      <w:outlineLvl w:val="1"/>
    </w:pPr>
    <w:rPr>
      <w:b/>
      <w:bCs/>
      <w:sz w:val="36"/>
      <w:szCs w:val="36"/>
    </w:rPr>
  </w:style>
  <w:style w:type="paragraph" w:styleId="Ttulo3">
    <w:name w:val="heading 3"/>
    <w:basedOn w:val="Standard"/>
    <w:next w:val="Textbody"/>
    <w:uiPriority w:val="9"/>
    <w:semiHidden/>
    <w:unhideWhenUsed/>
    <w:qFormat/>
    <w:pPr>
      <w:spacing w:before="280" w:after="280"/>
      <w:outlineLvl w:val="2"/>
    </w:pPr>
    <w:rPr>
      <w:b/>
      <w:bCs/>
      <w:sz w:val="27"/>
      <w:szCs w:val="27"/>
    </w:rPr>
  </w:style>
  <w:style w:type="paragraph" w:styleId="Ttulo4">
    <w:name w:val="heading 4"/>
    <w:basedOn w:val="Standard"/>
    <w:next w:val="Textbody"/>
    <w:uiPriority w:val="9"/>
    <w:semiHidden/>
    <w:unhideWhenUsed/>
    <w:qFormat/>
    <w:pPr>
      <w:spacing w:before="280" w:after="280"/>
      <w:outlineLvl w:val="3"/>
    </w:pPr>
    <w:rPr>
      <w:b/>
      <w:bCs/>
    </w:rPr>
  </w:style>
  <w:style w:type="paragraph" w:styleId="Ttulo5">
    <w:name w:val="heading 5"/>
    <w:basedOn w:val="Standard"/>
    <w:next w:val="Textbody"/>
    <w:uiPriority w:val="9"/>
    <w:semiHidden/>
    <w:unhideWhenUsed/>
    <w:qFormat/>
    <w:pPr>
      <w:spacing w:before="280" w:after="280"/>
      <w:outlineLvl w:val="4"/>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rFonts w:ascii="Times New Roman" w:eastAsia="Times New Roman" w:hAnsi="Times New Roman" w:cs="Times New Roman"/>
      <w:lang w:bidi="ar-SA"/>
    </w:rPr>
  </w:style>
  <w:style w:type="paragraph" w:customStyle="1" w:styleId="Heading">
    <w:name w:val="Heading"/>
    <w:basedOn w:val="Standard"/>
    <w:next w:val="Textbody"/>
    <w:pPr>
      <w:keepNext/>
      <w:spacing w:before="240" w:after="120"/>
    </w:pPr>
    <w:rPr>
      <w:rFonts w:ascii="Liberation Sans" w:eastAsia="Microsoft YaHei" w:hAnsi="Liberation Sans" w:cs="Mangal"/>
      <w:sz w:val="28"/>
      <w:szCs w:val="28"/>
    </w:rPr>
  </w:style>
  <w:style w:type="paragraph" w:customStyle="1" w:styleId="Textbody">
    <w:name w:val="Text body"/>
    <w:basedOn w:val="Standard"/>
    <w:pPr>
      <w:spacing w:after="140" w:line="288" w:lineRule="auto"/>
    </w:pPr>
  </w:style>
  <w:style w:type="paragraph" w:styleId="Lista">
    <w:name w:val="List"/>
    <w:basedOn w:val="Textbody"/>
    <w:rPr>
      <w:rFonts w:cs="Mangal"/>
    </w:rPr>
  </w:style>
  <w:style w:type="paragraph" w:styleId="Descripcin">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Internetlink">
    <w:name w:val="Internet link"/>
    <w:basedOn w:val="Fuentedeprrafopredeter"/>
    <w:rPr>
      <w:color w:val="0000FF"/>
      <w:u w:val="single"/>
    </w:rPr>
  </w:style>
  <w:style w:type="character" w:customStyle="1" w:styleId="VisitedInternetLink">
    <w:name w:val="Visited Internet Link"/>
    <w:basedOn w:val="Fuentedeprrafopredeter"/>
    <w:rPr>
      <w:color w:val="0000FF"/>
      <w:u w:val="single"/>
    </w:rPr>
  </w:style>
  <w:style w:type="character" w:customStyle="1" w:styleId="plainlinks">
    <w:name w:val="plainlinks"/>
    <w:basedOn w:val="Fuentedeprrafopredeter"/>
  </w:style>
  <w:style w:type="character" w:customStyle="1" w:styleId="toctoggle">
    <w:name w:val="toctoggle"/>
    <w:basedOn w:val="Fuentedeprrafopredeter"/>
  </w:style>
  <w:style w:type="character" w:customStyle="1" w:styleId="tocnumber">
    <w:name w:val="tocnumber"/>
    <w:basedOn w:val="Fuentedeprrafopredeter"/>
  </w:style>
  <w:style w:type="character" w:customStyle="1" w:styleId="toctext">
    <w:name w:val="toctext"/>
    <w:basedOn w:val="Fuentedeprrafopredeter"/>
  </w:style>
  <w:style w:type="numbering" w:customStyle="1" w:styleId="WW8Num1">
    <w:name w:val="WW8Num1"/>
    <w:basedOn w:val="Sinlista"/>
    <w:pPr>
      <w:numPr>
        <w:numId w:val="1"/>
      </w:numPr>
    </w:pPr>
  </w:style>
  <w:style w:type="paragraph" w:styleId="TDC1">
    <w:name w:val="toc 1"/>
    <w:basedOn w:val="Normal"/>
    <w:next w:val="Normal"/>
    <w:autoRedefine/>
    <w:uiPriority w:val="39"/>
    <w:unhideWhenUsed/>
    <w:rsid w:val="0015762C"/>
    <w:pPr>
      <w:spacing w:after="100"/>
    </w:pPr>
    <w:rPr>
      <w:szCs w:val="21"/>
    </w:rPr>
  </w:style>
  <w:style w:type="paragraph" w:styleId="TDC2">
    <w:name w:val="toc 2"/>
    <w:basedOn w:val="Normal"/>
    <w:next w:val="Normal"/>
    <w:autoRedefine/>
    <w:uiPriority w:val="39"/>
    <w:unhideWhenUsed/>
    <w:rsid w:val="0015762C"/>
    <w:pPr>
      <w:spacing w:after="100"/>
      <w:ind w:left="240"/>
    </w:pPr>
    <w:rPr>
      <w:szCs w:val="21"/>
    </w:rPr>
  </w:style>
  <w:style w:type="paragraph" w:styleId="TDC3">
    <w:name w:val="toc 3"/>
    <w:basedOn w:val="Normal"/>
    <w:next w:val="Normal"/>
    <w:autoRedefine/>
    <w:uiPriority w:val="39"/>
    <w:unhideWhenUsed/>
    <w:rsid w:val="0015762C"/>
    <w:pPr>
      <w:spacing w:after="100"/>
      <w:ind w:left="480"/>
    </w:pPr>
    <w:rPr>
      <w:szCs w:val="21"/>
    </w:rPr>
  </w:style>
  <w:style w:type="character" w:styleId="Hipervnculo">
    <w:name w:val="Hyperlink"/>
    <w:basedOn w:val="Fuentedeprrafopredeter"/>
    <w:uiPriority w:val="99"/>
    <w:unhideWhenUsed/>
    <w:rsid w:val="0015762C"/>
    <w:rPr>
      <w:color w:val="0563C1" w:themeColor="hyperlink"/>
      <w:u w:val="single"/>
    </w:rPr>
  </w:style>
  <w:style w:type="character" w:styleId="Nmerodelnea">
    <w:name w:val="line number"/>
    <w:basedOn w:val="Fuentedeprrafopredeter"/>
    <w:uiPriority w:val="99"/>
    <w:semiHidden/>
    <w:unhideWhenUsed/>
    <w:rsid w:val="002D1741"/>
  </w:style>
  <w:style w:type="paragraph" w:styleId="Encabezado">
    <w:name w:val="header"/>
    <w:basedOn w:val="Normal"/>
    <w:link w:val="EncabezadoCar"/>
    <w:uiPriority w:val="99"/>
    <w:unhideWhenUsed/>
    <w:rsid w:val="002D1741"/>
    <w:pPr>
      <w:tabs>
        <w:tab w:val="center" w:pos="4252"/>
        <w:tab w:val="right" w:pos="8504"/>
      </w:tabs>
    </w:pPr>
    <w:rPr>
      <w:szCs w:val="21"/>
    </w:rPr>
  </w:style>
  <w:style w:type="character" w:customStyle="1" w:styleId="EncabezadoCar">
    <w:name w:val="Encabezado Car"/>
    <w:basedOn w:val="Fuentedeprrafopredeter"/>
    <w:link w:val="Encabezado"/>
    <w:uiPriority w:val="99"/>
    <w:rsid w:val="002D1741"/>
    <w:rPr>
      <w:szCs w:val="21"/>
    </w:rPr>
  </w:style>
  <w:style w:type="paragraph" w:styleId="Piedepgina">
    <w:name w:val="footer"/>
    <w:basedOn w:val="Normal"/>
    <w:link w:val="PiedepginaCar"/>
    <w:uiPriority w:val="99"/>
    <w:unhideWhenUsed/>
    <w:rsid w:val="002D1741"/>
    <w:pPr>
      <w:tabs>
        <w:tab w:val="center" w:pos="4252"/>
        <w:tab w:val="right" w:pos="8504"/>
      </w:tabs>
    </w:pPr>
    <w:rPr>
      <w:szCs w:val="21"/>
    </w:rPr>
  </w:style>
  <w:style w:type="character" w:customStyle="1" w:styleId="PiedepginaCar">
    <w:name w:val="Pie de página Car"/>
    <w:basedOn w:val="Fuentedeprrafopredeter"/>
    <w:link w:val="Piedepgina"/>
    <w:uiPriority w:val="99"/>
    <w:rsid w:val="002D1741"/>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4306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https://es.wikipedia.org/wiki/Ayuda:Idioma_japon&#233;s"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F1CCE-B211-4175-9DB4-1B62CFBEF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4</Pages>
  <Words>1187</Words>
  <Characters>6534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Historia de Japón</vt:lpstr>
    </vt:vector>
  </TitlesOfParts>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 de Japón</dc:title>
  <dc:creator>pjgarcias</dc:creator>
  <cp:lastModifiedBy>Daniel Martín González</cp:lastModifiedBy>
  <cp:revision>22</cp:revision>
  <dcterms:created xsi:type="dcterms:W3CDTF">2021-03-10T08:58:00Z</dcterms:created>
  <dcterms:modified xsi:type="dcterms:W3CDTF">2024-06-13T11:12:00Z</dcterms:modified>
</cp:coreProperties>
</file>