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t>ALERTA TEMPRANA DE PRÓRROGAS EN CONTRATOS PÚBLICOS</w:t>
      </w:r>
    </w:p>
    <w:p>
      <w:pPr>
        <w:spacing w:after="0"/>
        <w:jc w:val="center"/>
      </w:pPr>
      <w:r>
        <w:rPr>
          <w:rFonts w:ascii="Franklin Gothic Book" w:hAnsi="Franklin Gothic Book" w:cs="Franklin Gothic Book" w:eastAsia="Franklin Gothic Book"/>
          <w:color w:val="000000"/>
          <w:sz w:val="28"/>
        </w:rPr>
        <w:t>Probabilidad de prórroga al momento de la firma en contratos</w:t>
      </w:r>
    </w:p>
    <w:p>
      <w:pPr>
        <w:spacing w:after="200"/>
        <w:jc w:val="center"/>
      </w:pPr>
      <w:r>
        <w:rPr>
          <w:rFonts w:ascii="Franklin Gothic Book" w:hAnsi="Franklin Gothic Book" w:cs="Franklin Gothic Book" w:eastAsia="Franklin Gothic Book"/>
          <w:color w:val="000000"/>
          <w:sz w:val="28"/>
        </w:rPr>
        <w:t>SECOP II, Colombia (2023–2024)</w:t>
      </w:r>
    </w:p>
    <w:p>
      <w:pPr>
        <w:jc w:val="center"/>
      </w:pPr>
      <w:r>
        <w:drawing>
          <wp:inline xmlns:a="http://schemas.openxmlformats.org/drawingml/2006/main" xmlns:pic="http://schemas.openxmlformats.org/drawingml/2006/picture">
            <wp:extent cx="3240000" cy="36000"/>
            <wp:docPr id="1" name="Picture 1"/>
            <wp:cNvGraphicFramePr>
              <a:graphicFrameLocks noChangeAspect="1"/>
            </wp:cNvGraphicFramePr>
            <a:graphic>
              <a:graphicData uri="http://schemas.openxmlformats.org/drawingml/2006/picture">
                <pic:pic>
                  <pic:nvPicPr>
                    <pic:cNvPr id="0" name="rule.png"/>
                    <pic:cNvPicPr/>
                  </pic:nvPicPr>
                  <pic:blipFill>
                    <a:blip r:embed="rId11"/>
                    <a:stretch>
                      <a:fillRect/>
                    </a:stretch>
                  </pic:blipFill>
                  <pic:spPr>
                    <a:xfrm>
                      <a:off x="0" y="0"/>
                      <a:ext cx="3240000" cy="36000"/>
                    </a:xfrm>
                    <a:prstGeom prst="rect"/>
                  </pic:spPr>
                </pic:pic>
              </a:graphicData>
            </a:graphic>
          </wp:inline>
        </w:drawing>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jc w:val="center"/>
      </w:pPr>
      <w:r>
        <w:drawing>
          <wp:inline xmlns:a="http://schemas.openxmlformats.org/drawingml/2006/main" xmlns:pic="http://schemas.openxmlformats.org/drawingml/2006/picture">
            <wp:extent cx="1655999" cy="933172"/>
            <wp:docPr id="2" name="Picture 2"/>
            <wp:cNvGraphicFramePr>
              <a:graphicFrameLocks noChangeAspect="1"/>
            </wp:cNvGraphicFramePr>
            <a:graphic>
              <a:graphicData uri="http://schemas.openxmlformats.org/drawingml/2006/picture">
                <pic:pic>
                  <pic:nvPicPr>
                    <pic:cNvPr id="0" name="logo_14.jpeg"/>
                    <pic:cNvPicPr/>
                  </pic:nvPicPr>
                  <pic:blipFill>
                    <a:blip r:embed="rId12"/>
                    <a:stretch>
                      <a:fillRect/>
                    </a:stretch>
                  </pic:blipFill>
                  <pic:spPr>
                    <a:xfrm>
                      <a:off x="0" y="0"/>
                      <a:ext cx="1655999" cy="933172"/>
                    </a:xfrm>
                    <a:prstGeom prst="rect"/>
                  </pic:spPr>
                </pic:pic>
              </a:graphicData>
            </a:graphic>
          </wp:inline>
        </w:drawing>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Book" w:hAnsi="Franklin Gothic Book" w:cs="Franklin Gothic Book" w:eastAsia="Franklin Gothic Book"/>
          <w:color w:val="000000"/>
          <w:sz w:val="26"/>
        </w:rPr>
        <w:t>UNIVERSIDAD DE LOS ANDES</w:t>
      </w:r>
    </w:p>
    <w:p>
      <w:pPr>
        <w:spacing w:after="0"/>
        <w:jc w:val="center"/>
      </w:pPr>
      <w:r>
        <w:rPr>
          <w:rFonts w:ascii="Franklin Gothic Book" w:hAnsi="Franklin Gothic Book" w:cs="Franklin Gothic Book" w:eastAsia="Franklin Gothic Book"/>
          <w:color w:val="000000"/>
          <w:sz w:val="26"/>
        </w:rPr>
        <w:t>Maestría en Inteligencia Analítica de Datos (MIAD)</w:t>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Book" w:hAnsi="Franklin Gothic Book" w:cs="Franklin Gothic Book" w:eastAsia="Franklin Gothic Book"/>
          <w:color w:val="000000"/>
          <w:sz w:val="26"/>
        </w:rPr>
        <w:t>Despliegue de Soluciones Analíticas</w:t>
      </w:r>
    </w:p>
    <w:p>
      <w:pPr>
        <w:spacing w:after="0"/>
        <w:jc w:val="center"/>
      </w:pPr>
      <w:r>
        <w:rPr>
          <w:rFonts w:ascii="Franklin Gothic Book" w:hAnsi="Franklin Gothic Book" w:cs="Franklin Gothic Book" w:eastAsia="Franklin Gothic Book"/>
          <w:color w:val="000000"/>
          <w:sz w:val="26"/>
        </w:rPr>
        <w:t>Proyecto – Entrega 1</w:t>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Book" w:hAnsi="Franklin Gothic Book" w:cs="Franklin Gothic Book" w:eastAsia="Franklin Gothic Book"/>
          <w:color w:val="000000"/>
          <w:sz w:val="26"/>
        </w:rPr>
        <w:t>Julián David Castañeda Plazas</w:t>
      </w:r>
    </w:p>
    <w:p>
      <w:pPr>
        <w:spacing w:after="0"/>
        <w:jc w:val="center"/>
      </w:pPr>
      <w:r>
        <w:rPr>
          <w:rFonts w:ascii="Franklin Gothic Book" w:hAnsi="Franklin Gothic Book" w:cs="Franklin Gothic Book" w:eastAsia="Franklin Gothic Book"/>
          <w:color w:val="000000"/>
          <w:sz w:val="26"/>
        </w:rPr>
        <w:t>Camilo Arlex Naranjo Mejía</w:t>
      </w:r>
    </w:p>
    <w:p>
      <w:pPr>
        <w:spacing w:after="0"/>
        <w:jc w:val="center"/>
      </w:pPr>
      <w:r>
        <w:rPr>
          <w:rFonts w:ascii="Franklin Gothic Book" w:hAnsi="Franklin Gothic Book" w:cs="Franklin Gothic Book" w:eastAsia="Franklin Gothic Book"/>
          <w:color w:val="000000"/>
          <w:sz w:val="26"/>
        </w:rPr>
        <w:t>Leydi Patricia Pichón Pacheco</w:t>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Medium" w:hAnsi="Franklin Gothic Medium" w:cs="Franklin Gothic Medium" w:eastAsia="Franklin Gothic Medium"/>
          <w:color w:val="000000"/>
          <w:sz w:val="28"/>
        </w:rPr>
      </w:r>
    </w:p>
    <w:p>
      <w:pPr>
        <w:spacing w:after="0"/>
        <w:jc w:val="center"/>
      </w:pPr>
      <w:r>
        <w:rPr>
          <w:rFonts w:ascii="Franklin Gothic Book" w:hAnsi="Franklin Gothic Book" w:cs="Franklin Gothic Book" w:eastAsia="Franklin Gothic Book"/>
          <w:color w:val="000000"/>
          <w:sz w:val="26"/>
        </w:rPr>
        <w:t>Bogotá D.C. · Octubre de 2026</w:t>
      </w:r>
    </w:p>
    <w:p>
      <w:r>
        <w:br w:type="page"/>
      </w:r>
    </w:p>
    <w:p>
      <w:pPr>
        <w:pStyle w:val="Heading1"/>
        <w:jc w:val="center"/>
      </w:pPr>
      <w:r>
        <w:t>RESUMEN EJECUTIVO</w:t>
      </w:r>
    </w:p>
    <w:p>
      <w:r>
        <w:t>Uno de cada ocho contratos públicos registrados en SECOP II termina prorrogado. Este proyecto construye un prototipo que estima, con la información disponible al firmar, la probabilidad de que un contrato reciba una adición de tiempo, para que órganos de control y equipos de auditoría prioricen qué contratos vigilar. Los datos son abiertos y se actualizan a diario en datos.gov.co: 1,70 millones de contratos firmados en 2023–2024 y ya terminados, unidos con sus procesos y proveedores. La exploración muestra que la prórroga es predecible antes de la firma (tipo de contrato, duración pactada, monto y entidad) e identifica una fuga de información en el valor del contrato, que ya se controla en el pipeline versionado con Git y DVC.</w:t>
      </w:r>
    </w:p>
    <w:p>
      <w:pPr>
        <w:pStyle w:val="Heading1"/>
      </w:pPr>
      <w:r>
        <w:t>1</w:t>
        <w:tab/>
        <w:t>PROBLEMA Y CONTEXTO</w:t>
      </w:r>
    </w:p>
    <w:p>
      <w:r>
        <w:t>Uno de cada ocho contratos públicos registrados en SECOP II termina prorrogado: de 1,70 millones de contratos firmados en 2023–2024 y ya terminados, 207 mil (12,2 %) recibieron una adición de tiempo, con una mediana de 35 días.</w:t>
      </w:r>
    </w:p>
    <w:p>
      <w:r>
        <w:t>Una prórroga retrasa la entrega de bienes, obras y servicios a la ciudadanía y suele venir acompañada de adiciones de dinero. En contratos de obra con precio base superior a 1.000 millones de pesos la tasa llega a 43 %, y en interventorías de ese tamaño a 64 %.</w:t>
      </w:r>
    </w:p>
    <w:p>
      <w:r>
        <w:t>Los órganos de control (contralorías, personerías, veedurías ciudadanas) y los equipos de auditoría y revisoría fiscal no pueden revisar cientos de miles de contratos al año. Hoy priorizan con criterios generales (monto, sector) o reaccionan cuando la prórroga ya ocurrió.</w:t>
      </w:r>
    </w:p>
    <w:p>
      <w:r>
        <w:t>Un modelo supervisado que estime, al momento de la firma, la probabilidad de que un contrato sea prorrogado permite ordenar la vigilancia preventiva: concentrar el seguimiento en los contratos con mayor riesgo antes de que se materialice. Para las entidades contratantes también es una señal para revisar plazos que podrían estar subestimados. La fuente es pública, nacional y se actualiza a diario, lo que permite un producto que se mantiene vigente y se reentrena con datos nuevos.</w:t>
      </w:r>
    </w:p>
    <w:p>
      <w:pPr>
        <w:pStyle w:val="Heading1"/>
      </w:pPr>
      <w:r>
        <w:t>2</w:t>
        <w:tab/>
        <w:t>PREGUNTA DE NEGOCIO Y ALCANCE</w:t>
      </w:r>
    </w:p>
    <w:p>
      <w:r>
        <w:rPr>
          <w:rFonts w:ascii="Franklin Gothic Medium" w:hAnsi="Franklin Gothic Medium" w:cs="Franklin Gothic Medium" w:eastAsia="Franklin Gothic Medium"/>
        </w:rPr>
        <w:t xml:space="preserve">Pregunta de negocio: </w:t>
      </w:r>
      <w:r>
        <w:t>con la información disponible al firmar un contrato en SECOP II, ¿qué tan probable es que requiera una prórroga, y qué contratos deberían priorizarse para seguimiento?</w:t>
      </w:r>
    </w:p>
    <w:p>
      <w:r>
        <w:rPr>
          <w:rFonts w:ascii="Franklin Gothic Medium" w:hAnsi="Franklin Gothic Medium" w:cs="Franklin Gothic Medium" w:eastAsia="Franklin Gothic Medium"/>
        </w:rPr>
        <w:t xml:space="preserve">Usuario principal: </w:t>
      </w:r>
      <w:r>
        <w:t>analista de un órgano de control o equipo de auditoría que decide qué contratos vigilar. Usuario secundario: la entidad contratante al planear plazos.</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4419"/>
        <w:gridCol w:w="4419"/>
      </w:tblGrid>
      <w:tr>
        <w:trPr>
          <w:tblHeader/>
          <w:cantSplit/>
        </w:trPr>
        <w:tc>
          <w:tcPr>
            <w:tcW w:type="dxa" w:w="2041"/>
            <w:vAlign w:val="top"/>
            <w:shd w:val="clear" w:color="auto" w:fill="011430"/>
          </w:tcPr>
          <w:p>
            <w:pPr>
              <w:spacing w:after="0"/>
              <w:jc w:val="left"/>
            </w:pPr>
            <w:r>
              <w:rPr>
                <w:rFonts w:ascii="Franklin Gothic Medium" w:hAnsi="Franklin Gothic Medium" w:cs="Franklin Gothic Medium" w:eastAsia="Franklin Gothic Medium"/>
                <w:color w:val="FFFFFF"/>
                <w:sz w:val="21"/>
              </w:rPr>
              <w:t>Elemento</w:t>
            </w:r>
          </w:p>
        </w:tc>
        <w:tc>
          <w:tcPr>
            <w:tcW w:type="dxa" w:w="6803"/>
            <w:vAlign w:val="top"/>
            <w:shd w:val="clear" w:color="auto" w:fill="011430"/>
          </w:tcPr>
          <w:p>
            <w:pPr>
              <w:spacing w:after="0"/>
              <w:jc w:val="left"/>
            </w:pPr>
            <w:r>
              <w:rPr>
                <w:rFonts w:ascii="Franklin Gothic Medium" w:hAnsi="Franklin Gothic Medium" w:cs="Franklin Gothic Medium" w:eastAsia="Franklin Gothic Medium"/>
                <w:color w:val="FFFFFF"/>
                <w:sz w:val="21"/>
              </w:rPr>
              <w:t>Definición</w:t>
            </w:r>
          </w:p>
        </w:tc>
      </w:tr>
      <w:tr>
        <w:trPr>
          <w:cantSplit/>
        </w:trPr>
        <w:tc>
          <w:tcPr>
            <w:tcW w:type="dxa" w:w="2041"/>
            <w:vAlign w:val="top"/>
            <w:shd w:val="clear" w:color="auto" w:fill="D9D9DE"/>
          </w:tcPr>
          <w:p>
            <w:pPr>
              <w:spacing w:after="0"/>
              <w:jc w:val="left"/>
            </w:pPr>
            <w:r>
              <w:rPr>
                <w:rFonts w:ascii="Franklin Gothic Medium" w:hAnsi="Franklin Gothic Medium" w:cs="Franklin Gothic Medium" w:eastAsia="Franklin Gothic Medium"/>
                <w:color w:val="000000"/>
                <w:sz w:val="21"/>
              </w:rPr>
              <w:t>Variable objetivo</w:t>
            </w:r>
          </w:p>
        </w:tc>
        <w:tc>
          <w:tcPr>
            <w:tcW w:type="dxa" w:w="6803"/>
            <w:vAlign w:val="top"/>
            <w:shd w:val="clear" w:color="auto" w:fill="D9D9DE"/>
          </w:tcPr>
          <w:p>
            <w:pPr>
              <w:spacing w:after="0"/>
              <w:jc w:val="left"/>
            </w:pPr>
            <w:r>
              <w:rPr>
                <w:rFonts w:ascii="Franklin Gothic Book" w:hAnsi="Franklin Gothic Book" w:cs="Franklin Gothic Book" w:eastAsia="Franklin Gothic Book"/>
                <w:color w:val="28303B"/>
                <w:sz w:val="21"/>
              </w:rPr>
              <w:t xml:space="preserve">prorrogado = 1 si </w:t>
            </w:r>
            <w:r>
              <w:rPr>
                <w:rFonts w:ascii="Consolas" w:hAnsi="Consolas" w:cs="Consolas" w:eastAsia="Consolas"/>
                <w:color w:val="28303B"/>
                <w:sz w:val="19"/>
              </w:rPr>
              <w:t>dias_adicionados</w:t>
            </w:r>
            <w:r>
              <w:rPr>
                <w:rFonts w:ascii="Franklin Gothic Book" w:hAnsi="Franklin Gothic Book" w:cs="Franklin Gothic Book" w:eastAsia="Franklin Gothic Book"/>
                <w:color w:val="28303B"/>
                <w:sz w:val="21"/>
              </w:rPr>
              <w:t xml:space="preserve"> &gt; 0 (clasificación binaria)</w:t>
            </w:r>
          </w:p>
        </w:tc>
      </w:tr>
      <w:tr>
        <w:trPr>
          <w:cantSplit/>
        </w:trPr>
        <w:tc>
          <w:tcPr>
            <w:tcW w:type="dxa" w:w="2041"/>
            <w:vAlign w:val="top"/>
          </w:tcPr>
          <w:p>
            <w:pPr>
              <w:spacing w:after="0"/>
              <w:jc w:val="left"/>
            </w:pPr>
            <w:r>
              <w:rPr>
                <w:rFonts w:ascii="Franklin Gothic Medium" w:hAnsi="Franklin Gothic Medium" w:cs="Franklin Gothic Medium" w:eastAsia="Franklin Gothic Medium"/>
                <w:color w:val="000000"/>
                <w:sz w:val="21"/>
              </w:rPr>
              <w:t>Población</w:t>
            </w:r>
          </w:p>
        </w:tc>
        <w:tc>
          <w:tcPr>
            <w:tcW w:type="dxa" w:w="6803"/>
            <w:vAlign w:val="top"/>
          </w:tcPr>
          <w:p>
            <w:pPr>
              <w:spacing w:after="0"/>
              <w:jc w:val="left"/>
            </w:pPr>
            <w:r>
              <w:rPr>
                <w:rFonts w:ascii="Franklin Gothic Book" w:hAnsi="Franklin Gothic Book" w:cs="Franklin Gothic Book" w:eastAsia="Franklin Gothic Book"/>
                <w:color w:val="28303B"/>
                <w:sz w:val="21"/>
              </w:rPr>
              <w:t>Contratos SECOP II firmados entre ene-2023 y dic-2024, con fecha de fin anterior al corte (1-oct-2026)</w:t>
            </w:r>
          </w:p>
        </w:tc>
      </w:tr>
      <w:tr>
        <w:trPr>
          <w:cantSplit/>
        </w:trPr>
        <w:tc>
          <w:tcPr>
            <w:tcW w:type="dxa" w:w="2041"/>
            <w:vAlign w:val="top"/>
            <w:shd w:val="clear" w:color="auto" w:fill="D9D9DE"/>
          </w:tcPr>
          <w:p>
            <w:pPr>
              <w:spacing w:after="0"/>
              <w:jc w:val="left"/>
            </w:pPr>
            <w:r>
              <w:rPr>
                <w:rFonts w:ascii="Franklin Gothic Medium" w:hAnsi="Franklin Gothic Medium" w:cs="Franklin Gothic Medium" w:eastAsia="Franklin Gothic Medium"/>
                <w:color w:val="000000"/>
                <w:sz w:val="21"/>
              </w:rPr>
              <w:t>Entradas del modelo</w:t>
            </w:r>
          </w:p>
        </w:tc>
        <w:tc>
          <w:tcPr>
            <w:tcW w:type="dxa" w:w="6803"/>
            <w:vAlign w:val="top"/>
            <w:shd w:val="clear" w:color="auto" w:fill="D9D9DE"/>
          </w:tcPr>
          <w:p>
            <w:pPr>
              <w:spacing w:after="0"/>
              <w:jc w:val="left"/>
            </w:pPr>
            <w:r>
              <w:rPr>
                <w:rFonts w:ascii="Franklin Gothic Book" w:hAnsi="Franklin Gothic Book" w:cs="Franklin Gothic Book" w:eastAsia="Franklin Gothic Book"/>
                <w:color w:val="28303B"/>
                <w:sz w:val="21"/>
              </w:rPr>
              <w:t>Solo variables conocidas antes de la firma: tipo, modalidad, precio base del proceso, duración pactada, entidad, orden, sector, departamento, origen de recursos, competencia del proceso y perfil del proveedor</w:t>
            </w:r>
          </w:p>
        </w:tc>
      </w:tr>
      <w:tr>
        <w:trPr>
          <w:cantSplit/>
        </w:trPr>
        <w:tc>
          <w:tcPr>
            <w:tcW w:type="dxa" w:w="2041"/>
            <w:vAlign w:val="top"/>
          </w:tcPr>
          <w:p>
            <w:pPr>
              <w:spacing w:after="0"/>
              <w:jc w:val="left"/>
            </w:pPr>
            <w:r>
              <w:rPr>
                <w:rFonts w:ascii="Franklin Gothic Medium" w:hAnsi="Franklin Gothic Medium" w:cs="Franklin Gothic Medium" w:eastAsia="Franklin Gothic Medium"/>
                <w:color w:val="000000"/>
                <w:sz w:val="21"/>
              </w:rPr>
              <w:t>Métricas</w:t>
            </w:r>
          </w:p>
        </w:tc>
        <w:tc>
          <w:tcPr>
            <w:tcW w:type="dxa" w:w="6803"/>
            <w:vAlign w:val="top"/>
          </w:tcPr>
          <w:p>
            <w:pPr>
              <w:spacing w:after="0"/>
              <w:jc w:val="left"/>
            </w:pPr>
            <w:r>
              <w:rPr>
                <w:rFonts w:ascii="Franklin Gothic Book" w:hAnsi="Franklin Gothic Book" w:cs="Franklin Gothic Book" w:eastAsia="Franklin Gothic Book"/>
                <w:color w:val="28303B"/>
                <w:sz w:val="21"/>
              </w:rPr>
              <w:t>AUC-PR y recall en la clase prorrogada (clase minoritaria, 12 %); validación temporal (entrenar 2023, probar 2024)</w:t>
            </w:r>
          </w:p>
        </w:tc>
      </w:tr>
      <w:tr>
        <w:trPr>
          <w:cantSplit/>
        </w:trPr>
        <w:tc>
          <w:tcPr>
            <w:tcW w:type="dxa" w:w="2041"/>
            <w:vAlign w:val="top"/>
            <w:shd w:val="clear" w:color="auto" w:fill="D9D9DE"/>
          </w:tcPr>
          <w:p>
            <w:pPr>
              <w:spacing w:after="0"/>
              <w:jc w:val="left"/>
            </w:pPr>
            <w:r>
              <w:rPr>
                <w:rFonts w:ascii="Franklin Gothic Medium" w:hAnsi="Franklin Gothic Medium" w:cs="Franklin Gothic Medium" w:eastAsia="Franklin Gothic Medium"/>
                <w:color w:val="000000"/>
                <w:sz w:val="21"/>
              </w:rPr>
              <w:t>Producto</w:t>
            </w:r>
          </w:p>
        </w:tc>
        <w:tc>
          <w:tcPr>
            <w:tcW w:type="dxa" w:w="6803"/>
            <w:vAlign w:val="top"/>
            <w:shd w:val="clear" w:color="auto" w:fill="D9D9DE"/>
          </w:tcPr>
          <w:p>
            <w:pPr>
              <w:spacing w:after="0"/>
              <w:jc w:val="left"/>
            </w:pPr>
            <w:r>
              <w:rPr>
                <w:rFonts w:ascii="Franklin Gothic Book" w:hAnsi="Franklin Gothic Book" w:cs="Franklin Gothic Book" w:eastAsia="Franklin Gothic Book"/>
                <w:color w:val="28303B"/>
                <w:sz w:val="21"/>
              </w:rPr>
              <w:t>Modelo empaquetado, API de inferencia y tablero que consume la API y muestra el panorama descriptivo, desplegados con Docker en AWS</w:t>
            </w:r>
          </w:p>
        </w:tc>
      </w:tr>
    </w:tbl>
    <w:p>
      <w:pPr>
        <w:spacing w:after="0"/>
      </w:pPr>
    </w:p>
    <w:p>
      <w:r>
        <w:rPr>
          <w:rFonts w:ascii="Franklin Gothic Medium" w:hAnsi="Franklin Gothic Medium" w:cs="Franklin Gothic Medium" w:eastAsia="Franklin Gothic Medium"/>
        </w:rPr>
        <w:t xml:space="preserve">Fuera del alcance: </w:t>
      </w:r>
      <w:r>
        <w:t>predecir cuántos días se prorrogará el contrato, calificar a entidades o contratistas y cualquier conclusión sobre irregularidades. La salida es una señal estadística para priorizar revisión, no un juicio.</w:t>
      </w:r>
    </w:p>
    <w:p>
      <w:pPr>
        <w:pStyle w:val="Heading1"/>
      </w:pPr>
      <w:r>
        <w:t>3</w:t>
        <w:tab/>
        <w:t>CONJUNTOS DE DATOS</w:t>
      </w:r>
    </w:p>
    <w:p>
      <w:r>
        <w:t>Se usan datos abiertos de Colombia Compra Eficiente publicados en datos.gov.co (API Socrata, actualización diaria). Los seis conjuntos identificados se relacionan entre sí; el modelo v1 usa los tres primeros.</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1768"/>
        <w:gridCol w:w="1768"/>
        <w:gridCol w:w="1768"/>
        <w:gridCol w:w="1768"/>
        <w:gridCol w:w="1768"/>
      </w:tblGrid>
      <w:tr>
        <w:trPr>
          <w:tblHeader/>
          <w:cantSplit/>
        </w:trPr>
        <w:tc>
          <w:tcPr>
            <w:tcW w:type="dxa" w:w="2835"/>
            <w:vAlign w:val="top"/>
            <w:shd w:val="clear" w:color="auto" w:fill="011430"/>
          </w:tcPr>
          <w:p>
            <w:pPr>
              <w:spacing w:after="0"/>
              <w:jc w:val="left"/>
            </w:pPr>
            <w:r>
              <w:rPr>
                <w:rFonts w:ascii="Franklin Gothic Medium" w:hAnsi="Franklin Gothic Medium" w:cs="Franklin Gothic Medium" w:eastAsia="Franklin Gothic Medium"/>
                <w:color w:val="FFFFFF"/>
                <w:sz w:val="19"/>
              </w:rPr>
              <w:t>Conjunto (ID)</w:t>
            </w:r>
          </w:p>
        </w:tc>
        <w:tc>
          <w:tcPr>
            <w:tcW w:type="dxa" w:w="850"/>
            <w:vAlign w:val="top"/>
            <w:shd w:val="clear" w:color="auto" w:fill="011430"/>
          </w:tcPr>
          <w:p>
            <w:pPr>
              <w:spacing w:after="0"/>
              <w:jc w:val="left"/>
            </w:pPr>
            <w:r>
              <w:rPr>
                <w:rFonts w:ascii="Franklin Gothic Medium" w:hAnsi="Franklin Gothic Medium" w:cs="Franklin Gothic Medium" w:eastAsia="Franklin Gothic Medium"/>
                <w:color w:val="FFFFFF"/>
                <w:sz w:val="19"/>
              </w:rPr>
              <w:t>Filas</w:t>
            </w:r>
          </w:p>
        </w:tc>
        <w:tc>
          <w:tcPr>
            <w:tcW w:type="dxa" w:w="1134"/>
            <w:vAlign w:val="top"/>
            <w:shd w:val="clear" w:color="auto" w:fill="011430"/>
          </w:tcPr>
          <w:p>
            <w:pPr>
              <w:spacing w:after="0"/>
              <w:jc w:val="left"/>
            </w:pPr>
            <w:r>
              <w:rPr>
                <w:rFonts w:ascii="Franklin Gothic Medium" w:hAnsi="Franklin Gothic Medium" w:cs="Franklin Gothic Medium" w:eastAsia="Franklin Gothic Medium"/>
                <w:color w:val="FFFFFF"/>
                <w:sz w:val="19"/>
              </w:rPr>
              <w:t>Histórico</w:t>
            </w:r>
          </w:p>
        </w:tc>
        <w:tc>
          <w:tcPr>
            <w:tcW w:type="dxa" w:w="1247"/>
            <w:vAlign w:val="top"/>
            <w:shd w:val="clear" w:color="auto" w:fill="011430"/>
          </w:tcPr>
          <w:p>
            <w:pPr>
              <w:spacing w:after="0"/>
              <w:jc w:val="left"/>
            </w:pPr>
            <w:r>
              <w:rPr>
                <w:rFonts w:ascii="Franklin Gothic Medium" w:hAnsi="Franklin Gothic Medium" w:cs="Franklin Gothic Medium" w:eastAsia="Franklin Gothic Medium"/>
                <w:color w:val="FFFFFF"/>
                <w:sz w:val="19"/>
              </w:rPr>
              <w:t>Grano</w:t>
            </w:r>
          </w:p>
        </w:tc>
        <w:tc>
          <w:tcPr>
            <w:tcW w:type="dxa" w:w="2778"/>
            <w:vAlign w:val="top"/>
            <w:shd w:val="clear" w:color="auto" w:fill="011430"/>
          </w:tcPr>
          <w:p>
            <w:pPr>
              <w:spacing w:after="0"/>
              <w:jc w:val="left"/>
            </w:pPr>
            <w:r>
              <w:rPr>
                <w:rFonts w:ascii="Franklin Gothic Medium" w:hAnsi="Franklin Gothic Medium" w:cs="Franklin Gothic Medium" w:eastAsia="Franklin Gothic Medium"/>
                <w:color w:val="FFFFFF"/>
                <w:sz w:val="19"/>
              </w:rPr>
              <w:t>Uso</w:t>
            </w:r>
          </w:p>
        </w:tc>
      </w:tr>
      <w:tr>
        <w:trPr>
          <w:cantSplit/>
        </w:trPr>
        <w:tc>
          <w:tcPr>
            <w:tcW w:type="dxa" w:w="2835"/>
            <w:vAlign w:val="top"/>
            <w:shd w:val="clear" w:color="auto" w:fill="D9D9DE"/>
          </w:tcPr>
          <w:p>
            <w:pPr>
              <w:spacing w:after="0"/>
              <w:jc w:val="left"/>
            </w:pPr>
            <w:r>
              <w:rPr>
                <w:rFonts w:ascii="Franklin Gothic Medium" w:hAnsi="Franklin Gothic Medium" w:cs="Franklin Gothic Medium" w:eastAsia="Franklin Gothic Medium"/>
                <w:color w:val="000000"/>
                <w:sz w:val="19"/>
              </w:rPr>
              <w:t>SECOP II – Contratos Electrónicos (jbjy-vk9h)</w:t>
            </w:r>
          </w:p>
        </w:tc>
        <w:tc>
          <w:tcPr>
            <w:tcW w:type="dxa" w:w="850"/>
            <w:vAlign w:val="top"/>
            <w:shd w:val="clear" w:color="auto" w:fill="D9D9DE"/>
          </w:tcPr>
          <w:p>
            <w:pPr>
              <w:spacing w:after="0"/>
              <w:jc w:val="left"/>
            </w:pPr>
            <w:r>
              <w:rPr>
                <w:rFonts w:ascii="Franklin Gothic Book" w:hAnsi="Franklin Gothic Book" w:cs="Franklin Gothic Book" w:eastAsia="Franklin Gothic Book"/>
                <w:color w:val="28303B"/>
                <w:sz w:val="19"/>
              </w:rPr>
              <w:t>5,6 M</w:t>
            </w:r>
          </w:p>
        </w:tc>
        <w:tc>
          <w:tcPr>
            <w:tcW w:type="dxa" w:w="1134"/>
            <w:vAlign w:val="top"/>
            <w:shd w:val="clear" w:color="auto" w:fill="D9D9DE"/>
          </w:tcPr>
          <w:p>
            <w:pPr>
              <w:spacing w:after="0"/>
              <w:jc w:val="left"/>
            </w:pPr>
            <w:r>
              <w:rPr>
                <w:rFonts w:ascii="Franklin Gothic Book" w:hAnsi="Franklin Gothic Book" w:cs="Franklin Gothic Book" w:eastAsia="Franklin Gothic Book"/>
                <w:color w:val="28303B"/>
                <w:sz w:val="19"/>
              </w:rPr>
              <w:t>2015–hoy</w:t>
            </w:r>
          </w:p>
        </w:tc>
        <w:tc>
          <w:tcPr>
            <w:tcW w:type="dxa" w:w="1247"/>
            <w:vAlign w:val="top"/>
            <w:shd w:val="clear" w:color="auto" w:fill="D9D9DE"/>
          </w:tcPr>
          <w:p>
            <w:pPr>
              <w:spacing w:after="0"/>
              <w:jc w:val="left"/>
            </w:pPr>
            <w:r>
              <w:rPr>
                <w:rFonts w:ascii="Franklin Gothic Book" w:hAnsi="Franklin Gothic Book" w:cs="Franklin Gothic Book" w:eastAsia="Franklin Gothic Book"/>
                <w:color w:val="28303B"/>
                <w:sz w:val="19"/>
              </w:rPr>
              <w:t>contrato</w:t>
            </w:r>
          </w:p>
        </w:tc>
        <w:tc>
          <w:tcPr>
            <w:tcW w:type="dxa" w:w="2778"/>
            <w:vAlign w:val="top"/>
            <w:shd w:val="clear" w:color="auto" w:fill="D9D9DE"/>
          </w:tcPr>
          <w:p>
            <w:pPr>
              <w:spacing w:after="0"/>
              <w:jc w:val="left"/>
            </w:pPr>
            <w:r>
              <w:rPr>
                <w:rFonts w:ascii="Franklin Gothic Book" w:hAnsi="Franklin Gothic Book" w:cs="Franklin Gothic Book" w:eastAsia="Franklin Gothic Book"/>
                <w:color w:val="28303B"/>
                <w:sz w:val="19"/>
              </w:rPr>
              <w:t>Tabla principal y variable objetivo</w:t>
            </w:r>
          </w:p>
        </w:tc>
      </w:tr>
      <w:tr>
        <w:trPr>
          <w:cantSplit/>
        </w:trPr>
        <w:tc>
          <w:tcPr>
            <w:tcW w:type="dxa" w:w="2835"/>
            <w:vAlign w:val="top"/>
          </w:tcPr>
          <w:p>
            <w:pPr>
              <w:spacing w:after="0"/>
              <w:jc w:val="left"/>
            </w:pPr>
            <w:r>
              <w:rPr>
                <w:rFonts w:ascii="Franklin Gothic Medium" w:hAnsi="Franklin Gothic Medium" w:cs="Franklin Gothic Medium" w:eastAsia="Franklin Gothic Medium"/>
                <w:color w:val="000000"/>
                <w:sz w:val="19"/>
              </w:rPr>
              <w:t>SECOP II – Procesos de Contratación (p6dx-8zbt)</w:t>
            </w:r>
          </w:p>
        </w:tc>
        <w:tc>
          <w:tcPr>
            <w:tcW w:type="dxa" w:w="850"/>
            <w:vAlign w:val="top"/>
          </w:tcPr>
          <w:p>
            <w:pPr>
              <w:spacing w:after="0"/>
              <w:jc w:val="left"/>
            </w:pPr>
            <w:r>
              <w:rPr>
                <w:rFonts w:ascii="Franklin Gothic Book" w:hAnsi="Franklin Gothic Book" w:cs="Franklin Gothic Book" w:eastAsia="Franklin Gothic Book"/>
                <w:color w:val="28303B"/>
                <w:sz w:val="19"/>
              </w:rPr>
              <w:t>9,4 M</w:t>
            </w:r>
          </w:p>
        </w:tc>
        <w:tc>
          <w:tcPr>
            <w:tcW w:type="dxa" w:w="1134"/>
            <w:vAlign w:val="top"/>
          </w:tcPr>
          <w:p>
            <w:pPr>
              <w:spacing w:after="0"/>
              <w:jc w:val="left"/>
            </w:pPr>
            <w:r>
              <w:rPr>
                <w:rFonts w:ascii="Franklin Gothic Book" w:hAnsi="Franklin Gothic Book" w:cs="Franklin Gothic Book" w:eastAsia="Franklin Gothic Book"/>
                <w:color w:val="28303B"/>
                <w:sz w:val="19"/>
              </w:rPr>
              <w:t>2015–hoy</w:t>
            </w:r>
          </w:p>
        </w:tc>
        <w:tc>
          <w:tcPr>
            <w:tcW w:type="dxa" w:w="1247"/>
            <w:vAlign w:val="top"/>
          </w:tcPr>
          <w:p>
            <w:pPr>
              <w:spacing w:after="0"/>
              <w:jc w:val="left"/>
            </w:pPr>
            <w:r>
              <w:rPr>
                <w:rFonts w:ascii="Franklin Gothic Book" w:hAnsi="Franklin Gothic Book" w:cs="Franklin Gothic Book" w:eastAsia="Franklin Gothic Book"/>
                <w:color w:val="28303B"/>
                <w:sz w:val="19"/>
              </w:rPr>
              <w:t>proceso o lote</w:t>
            </w:r>
          </w:p>
        </w:tc>
        <w:tc>
          <w:tcPr>
            <w:tcW w:type="dxa" w:w="2778"/>
            <w:vAlign w:val="top"/>
          </w:tcPr>
          <w:p>
            <w:pPr>
              <w:spacing w:after="0"/>
              <w:jc w:val="left"/>
            </w:pPr>
            <w:r>
              <w:rPr>
                <w:rFonts w:ascii="Franklin Gothic Book" w:hAnsi="Franklin Gothic Book" w:cs="Franklin Gothic Book" w:eastAsia="Franklin Gothic Book"/>
                <w:color w:val="28303B"/>
                <w:sz w:val="19"/>
              </w:rPr>
              <w:t>Precio base, ofertas, invitados</w:t>
            </w:r>
          </w:p>
        </w:tc>
      </w:tr>
      <w:tr>
        <w:trPr>
          <w:cantSplit/>
        </w:trPr>
        <w:tc>
          <w:tcPr>
            <w:tcW w:type="dxa" w:w="2835"/>
            <w:vAlign w:val="top"/>
            <w:shd w:val="clear" w:color="auto" w:fill="D9D9DE"/>
          </w:tcPr>
          <w:p>
            <w:pPr>
              <w:spacing w:after="0"/>
              <w:jc w:val="left"/>
            </w:pPr>
            <w:r>
              <w:rPr>
                <w:rFonts w:ascii="Franklin Gothic Medium" w:hAnsi="Franklin Gothic Medium" w:cs="Franklin Gothic Medium" w:eastAsia="Franklin Gothic Medium"/>
                <w:color w:val="000000"/>
                <w:sz w:val="19"/>
              </w:rPr>
              <w:t>SECOP II – Proveedores Registrados (qmzu-gj57)</w:t>
            </w:r>
          </w:p>
        </w:tc>
        <w:tc>
          <w:tcPr>
            <w:tcW w:type="dxa" w:w="850"/>
            <w:vAlign w:val="top"/>
            <w:shd w:val="clear" w:color="auto" w:fill="D9D9DE"/>
          </w:tcPr>
          <w:p>
            <w:pPr>
              <w:spacing w:after="0"/>
              <w:jc w:val="left"/>
            </w:pPr>
            <w:r>
              <w:rPr>
                <w:rFonts w:ascii="Franklin Gothic Book" w:hAnsi="Franklin Gothic Book" w:cs="Franklin Gothic Book" w:eastAsia="Franklin Gothic Book"/>
                <w:color w:val="28303B"/>
                <w:sz w:val="19"/>
              </w:rPr>
              <w:t>1,6 M</w:t>
            </w:r>
          </w:p>
        </w:tc>
        <w:tc>
          <w:tcPr>
            <w:tcW w:type="dxa" w:w="1134"/>
            <w:vAlign w:val="top"/>
            <w:shd w:val="clear" w:color="auto" w:fill="D9D9DE"/>
          </w:tcPr>
          <w:p>
            <w:pPr>
              <w:spacing w:after="0"/>
              <w:jc w:val="left"/>
            </w:pPr>
            <w:r>
              <w:rPr>
                <w:rFonts w:ascii="Franklin Gothic Book" w:hAnsi="Franklin Gothic Book" w:cs="Franklin Gothic Book" w:eastAsia="Franklin Gothic Book"/>
                <w:color w:val="28303B"/>
                <w:sz w:val="19"/>
              </w:rPr>
              <w:t>2015–hoy</w:t>
            </w:r>
          </w:p>
        </w:tc>
        <w:tc>
          <w:tcPr>
            <w:tcW w:type="dxa" w:w="1247"/>
            <w:vAlign w:val="top"/>
            <w:shd w:val="clear" w:color="auto" w:fill="D9D9DE"/>
          </w:tcPr>
          <w:p>
            <w:pPr>
              <w:spacing w:after="0"/>
              <w:jc w:val="left"/>
            </w:pPr>
            <w:r>
              <w:rPr>
                <w:rFonts w:ascii="Franklin Gothic Book" w:hAnsi="Franklin Gothic Book" w:cs="Franklin Gothic Book" w:eastAsia="Franklin Gothic Book"/>
                <w:color w:val="28303B"/>
                <w:sz w:val="19"/>
              </w:rPr>
              <w:t>proveedor</w:t>
            </w:r>
          </w:p>
        </w:tc>
        <w:tc>
          <w:tcPr>
            <w:tcW w:type="dxa" w:w="2778"/>
            <w:vAlign w:val="top"/>
            <w:shd w:val="clear" w:color="auto" w:fill="D9D9DE"/>
          </w:tcPr>
          <w:p>
            <w:pPr>
              <w:spacing w:after="0"/>
              <w:jc w:val="left"/>
            </w:pPr>
            <w:r>
              <w:rPr>
                <w:rFonts w:ascii="Franklin Gothic Book" w:hAnsi="Franklin Gothic Book" w:cs="Franklin Gothic Book" w:eastAsia="Franklin Gothic Book"/>
                <w:color w:val="28303B"/>
                <w:sz w:val="19"/>
              </w:rPr>
              <w:t>Antigüedad, pyme, tipo de empresa</w:t>
            </w:r>
          </w:p>
        </w:tc>
      </w:tr>
      <w:tr>
        <w:trPr>
          <w:cantSplit/>
        </w:trPr>
        <w:tc>
          <w:tcPr>
            <w:tcW w:type="dxa" w:w="2835"/>
            <w:vAlign w:val="top"/>
          </w:tcPr>
          <w:p>
            <w:pPr>
              <w:spacing w:after="0"/>
              <w:jc w:val="left"/>
            </w:pPr>
            <w:r>
              <w:rPr>
                <w:rFonts w:ascii="Franklin Gothic Medium" w:hAnsi="Franklin Gothic Medium" w:cs="Franklin Gothic Medium" w:eastAsia="Franklin Gothic Medium"/>
                <w:color w:val="000000"/>
                <w:sz w:val="19"/>
              </w:rPr>
              <w:t>SECOP II – Facturas (ibyt-yi2f)</w:t>
            </w:r>
          </w:p>
        </w:tc>
        <w:tc>
          <w:tcPr>
            <w:tcW w:type="dxa" w:w="850"/>
            <w:vAlign w:val="top"/>
          </w:tcPr>
          <w:p>
            <w:pPr>
              <w:spacing w:after="0"/>
              <w:jc w:val="left"/>
            </w:pPr>
            <w:r>
              <w:rPr>
                <w:rFonts w:ascii="Franklin Gothic Book" w:hAnsi="Franklin Gothic Book" w:cs="Franklin Gothic Book" w:eastAsia="Franklin Gothic Book"/>
                <w:color w:val="28303B"/>
                <w:sz w:val="19"/>
              </w:rPr>
              <w:t>23,0 M</w:t>
            </w:r>
          </w:p>
        </w:tc>
        <w:tc>
          <w:tcPr>
            <w:tcW w:type="dxa" w:w="1134"/>
            <w:vAlign w:val="top"/>
          </w:tcPr>
          <w:p>
            <w:pPr>
              <w:spacing w:after="0"/>
              <w:jc w:val="left"/>
            </w:pPr>
            <w:r>
              <w:rPr>
                <w:rFonts w:ascii="Franklin Gothic Book" w:hAnsi="Franklin Gothic Book" w:cs="Franklin Gothic Book" w:eastAsia="Franklin Gothic Book"/>
                <w:color w:val="28303B"/>
                <w:sz w:val="19"/>
              </w:rPr>
              <w:t>2020–hoy</w:t>
            </w:r>
          </w:p>
        </w:tc>
        <w:tc>
          <w:tcPr>
            <w:tcW w:type="dxa" w:w="1247"/>
            <w:vAlign w:val="top"/>
          </w:tcPr>
          <w:p>
            <w:pPr>
              <w:spacing w:after="0"/>
              <w:jc w:val="left"/>
            </w:pPr>
            <w:r>
              <w:rPr>
                <w:rFonts w:ascii="Franklin Gothic Book" w:hAnsi="Franklin Gothic Book" w:cs="Franklin Gothic Book" w:eastAsia="Franklin Gothic Book"/>
                <w:color w:val="28303B"/>
                <w:sz w:val="19"/>
              </w:rPr>
              <w:t>factura</w:t>
            </w:r>
          </w:p>
        </w:tc>
        <w:tc>
          <w:tcPr>
            <w:tcW w:type="dxa" w:w="2778"/>
            <w:vAlign w:val="top"/>
          </w:tcPr>
          <w:p>
            <w:pPr>
              <w:spacing w:after="0"/>
              <w:jc w:val="left"/>
            </w:pPr>
            <w:r>
              <w:rPr>
                <w:rFonts w:ascii="Franklin Gothic Book" w:hAnsi="Franklin Gothic Book" w:cs="Franklin Gothic Book" w:eastAsia="Franklin Gothic Book"/>
                <w:color w:val="28303B"/>
                <w:sz w:val="19"/>
              </w:rPr>
              <w:t>Tablero de ejecución (posterior a la firma)</w:t>
            </w:r>
          </w:p>
        </w:tc>
      </w:tr>
      <w:tr>
        <w:trPr>
          <w:cantSplit/>
        </w:trPr>
        <w:tc>
          <w:tcPr>
            <w:tcW w:type="dxa" w:w="2835"/>
            <w:vAlign w:val="top"/>
            <w:shd w:val="clear" w:color="auto" w:fill="D9D9DE"/>
          </w:tcPr>
          <w:p>
            <w:pPr>
              <w:spacing w:after="0"/>
              <w:jc w:val="left"/>
            </w:pPr>
            <w:r>
              <w:rPr>
                <w:rFonts w:ascii="Franklin Gothic Medium" w:hAnsi="Franklin Gothic Medium" w:cs="Franklin Gothic Medium" w:eastAsia="Franklin Gothic Medium"/>
                <w:color w:val="000000"/>
                <w:sz w:val="19"/>
              </w:rPr>
              <w:t>SECOP Integrado (rpmr-utcd)</w:t>
            </w:r>
          </w:p>
        </w:tc>
        <w:tc>
          <w:tcPr>
            <w:tcW w:type="dxa" w:w="850"/>
            <w:vAlign w:val="top"/>
            <w:shd w:val="clear" w:color="auto" w:fill="D9D9DE"/>
          </w:tcPr>
          <w:p>
            <w:pPr>
              <w:spacing w:after="0"/>
              <w:jc w:val="left"/>
            </w:pPr>
            <w:r>
              <w:rPr>
                <w:rFonts w:ascii="Franklin Gothic Book" w:hAnsi="Franklin Gothic Book" w:cs="Franklin Gothic Book" w:eastAsia="Franklin Gothic Book"/>
                <w:color w:val="28303B"/>
                <w:sz w:val="19"/>
              </w:rPr>
              <w:t>22,9 M</w:t>
            </w:r>
          </w:p>
        </w:tc>
        <w:tc>
          <w:tcPr>
            <w:tcW w:type="dxa" w:w="1134"/>
            <w:vAlign w:val="top"/>
            <w:shd w:val="clear" w:color="auto" w:fill="D9D9DE"/>
          </w:tcPr>
          <w:p>
            <w:pPr>
              <w:spacing w:after="0"/>
              <w:jc w:val="left"/>
            </w:pPr>
            <w:r>
              <w:rPr>
                <w:rFonts w:ascii="Franklin Gothic Book" w:hAnsi="Franklin Gothic Book" w:cs="Franklin Gothic Book" w:eastAsia="Franklin Gothic Book"/>
                <w:color w:val="28303B"/>
                <w:sz w:val="19"/>
              </w:rPr>
              <w:t>2000–hoy</w:t>
            </w:r>
          </w:p>
        </w:tc>
        <w:tc>
          <w:tcPr>
            <w:tcW w:type="dxa" w:w="1247"/>
            <w:vAlign w:val="top"/>
            <w:shd w:val="clear" w:color="auto" w:fill="D9D9DE"/>
          </w:tcPr>
          <w:p>
            <w:pPr>
              <w:spacing w:after="0"/>
              <w:jc w:val="left"/>
            </w:pPr>
            <w:r>
              <w:rPr>
                <w:rFonts w:ascii="Franklin Gothic Book" w:hAnsi="Franklin Gothic Book" w:cs="Franklin Gothic Book" w:eastAsia="Franklin Gothic Book"/>
                <w:color w:val="28303B"/>
                <w:sz w:val="19"/>
              </w:rPr>
              <w:t>contrato</w:t>
            </w:r>
          </w:p>
        </w:tc>
        <w:tc>
          <w:tcPr>
            <w:tcW w:type="dxa" w:w="2778"/>
            <w:vAlign w:val="top"/>
            <w:shd w:val="clear" w:color="auto" w:fill="D9D9DE"/>
          </w:tcPr>
          <w:p>
            <w:pPr>
              <w:spacing w:after="0"/>
              <w:jc w:val="left"/>
            </w:pPr>
            <w:r>
              <w:rPr>
                <w:rFonts w:ascii="Franklin Gothic Book" w:hAnsi="Franklin Gothic Book" w:cs="Franklin Gothic Book" w:eastAsia="Franklin Gothic Book"/>
                <w:color w:val="28303B"/>
                <w:sz w:val="19"/>
              </w:rPr>
              <w:t>Contexto histórico SECOP I + II</w:t>
            </w:r>
          </w:p>
        </w:tc>
      </w:tr>
      <w:tr>
        <w:trPr>
          <w:cantSplit/>
        </w:trPr>
        <w:tc>
          <w:tcPr>
            <w:tcW w:type="dxa" w:w="2835"/>
            <w:vAlign w:val="top"/>
          </w:tcPr>
          <w:p>
            <w:pPr>
              <w:spacing w:after="0"/>
              <w:jc w:val="left"/>
            </w:pPr>
            <w:r>
              <w:rPr>
                <w:rFonts w:ascii="Franklin Gothic Medium" w:hAnsi="Franklin Gothic Medium" w:cs="Franklin Gothic Medium" w:eastAsia="Franklin Gothic Medium"/>
                <w:color w:val="000000"/>
                <w:sz w:val="19"/>
              </w:rPr>
              <w:t>Convenios Interadministrativos (s484-c9k3)</w:t>
            </w:r>
          </w:p>
        </w:tc>
        <w:tc>
          <w:tcPr>
            <w:tcW w:type="dxa" w:w="850"/>
            <w:vAlign w:val="top"/>
          </w:tcPr>
          <w:p>
            <w:pPr>
              <w:spacing w:after="0"/>
              <w:jc w:val="left"/>
            </w:pPr>
            <w:r>
              <w:rPr>
                <w:rFonts w:ascii="Franklin Gothic Book" w:hAnsi="Franklin Gothic Book" w:cs="Franklin Gothic Book" w:eastAsia="Franklin Gothic Book"/>
                <w:color w:val="28303B"/>
                <w:sz w:val="19"/>
              </w:rPr>
              <w:t>88 mil</w:t>
            </w:r>
          </w:p>
        </w:tc>
        <w:tc>
          <w:tcPr>
            <w:tcW w:type="dxa" w:w="1134"/>
            <w:vAlign w:val="top"/>
          </w:tcPr>
          <w:p>
            <w:pPr>
              <w:spacing w:after="0"/>
              <w:jc w:val="left"/>
            </w:pPr>
            <w:r>
              <w:rPr>
                <w:rFonts w:ascii="Franklin Gothic Book" w:hAnsi="Franklin Gothic Book" w:cs="Franklin Gothic Book" w:eastAsia="Franklin Gothic Book"/>
                <w:color w:val="28303B"/>
                <w:sz w:val="19"/>
              </w:rPr>
              <w:t>2019–hoy</w:t>
            </w:r>
          </w:p>
        </w:tc>
        <w:tc>
          <w:tcPr>
            <w:tcW w:type="dxa" w:w="1247"/>
            <w:vAlign w:val="top"/>
          </w:tcPr>
          <w:p>
            <w:pPr>
              <w:spacing w:after="0"/>
              <w:jc w:val="left"/>
            </w:pPr>
            <w:r>
              <w:rPr>
                <w:rFonts w:ascii="Franklin Gothic Book" w:hAnsi="Franklin Gothic Book" w:cs="Franklin Gothic Book" w:eastAsia="Franklin Gothic Book"/>
                <w:color w:val="28303B"/>
                <w:sz w:val="19"/>
              </w:rPr>
              <w:t>convenio</w:t>
            </w:r>
          </w:p>
        </w:tc>
        <w:tc>
          <w:tcPr>
            <w:tcW w:type="dxa" w:w="2778"/>
            <w:vAlign w:val="top"/>
          </w:tcPr>
          <w:p>
            <w:pPr>
              <w:spacing w:after="0"/>
              <w:jc w:val="left"/>
            </w:pPr>
            <w:r>
              <w:rPr>
                <w:rFonts w:ascii="Franklin Gothic Book" w:hAnsi="Franklin Gothic Book" w:cs="Franklin Gothic Book" w:eastAsia="Franklin Gothic Book"/>
                <w:color w:val="28303B"/>
                <w:sz w:val="19"/>
              </w:rPr>
              <w:t>Contexto</w:t>
            </w:r>
          </w:p>
        </w:tc>
      </w:tr>
    </w:tbl>
    <w:p>
      <w:pPr>
        <w:spacing w:after="0"/>
      </w:pPr>
    </w:p>
    <w:p>
      <w:pPr>
        <w:keepNext/>
        <w:spacing w:after="40"/>
        <w:jc w:val="center"/>
      </w:pPr>
      <w:r>
        <w:drawing>
          <wp:inline xmlns:a="http://schemas.openxmlformats.org/drawingml/2006/main" xmlns:pic="http://schemas.openxmlformats.org/drawingml/2006/picture">
            <wp:extent cx="4140000" cy="2131607"/>
            <wp:docPr id="3" name="Picture 3"/>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4140000" cy="2131607"/>
                    </a:xfrm>
                    <a:prstGeom prst="rect"/>
                  </pic:spPr>
                </pic:pic>
              </a:graphicData>
            </a:graphic>
          </wp:inline>
        </w:drawing>
      </w:r>
    </w:p>
    <w:p>
      <w:pPr>
        <w:spacing w:after="160"/>
        <w:jc w:val="left"/>
      </w:pPr>
      <w:r>
        <w:rPr>
          <w:rFonts w:ascii="Franklin Gothic Medium" w:hAnsi="Franklin Gothic Medium" w:cs="Franklin Gothic Medium" w:eastAsia="Franklin Gothic Medium"/>
          <w:color w:val="662C91"/>
          <w:sz w:val="18"/>
        </w:rPr>
        <w:t xml:space="preserve">Figura 1. </w:t>
      </w:r>
      <w:r>
        <w:rPr>
          <w:rFonts w:ascii="Franklin Gothic Book" w:hAnsi="Franklin Gothic Book" w:cs="Franklin Gothic Book" w:eastAsia="Franklin Gothic Book"/>
          <w:i/>
          <w:color w:val="28303B"/>
          <w:sz w:val="18"/>
        </w:rPr>
        <w:t>Relaciones entre los seis conjuntos SECOP de datos.gov.co; las llaves se verificaron con contratos reales de 2024.</w:t>
      </w:r>
    </w:p>
    <w:p>
      <w:r>
        <w:rPr>
          <w:rFonts w:ascii="Franklin Gothic Medium" w:hAnsi="Franklin Gothic Medium" w:cs="Franklin Gothic Medium" w:eastAsia="Franklin Gothic Medium"/>
        </w:rPr>
        <w:t xml:space="preserve">Extracción v1: </w:t>
      </w:r>
      <w:r>
        <w:t>contratos firmados en 2023–2024 (1.717.440 descargados), los procesos seleccionados o adjudicados publicados desde jul-2022 (2.107.019) y los proveedores que aparecen en esos contratos (704.257). Tras quitar duplicados, contratos sin fecha de fin, con fin posterior al corte o con valor cero quedan 1.697.301 contratos; el 99,6 % cruza con Procesos y el 98,1 % con Proveedores.</w:t>
      </w:r>
    </w:p>
    <w:p>
      <w:r>
        <w:rPr>
          <w:rFonts w:ascii="Franklin Gothic Medium" w:hAnsi="Franklin Gothic Medium" w:cs="Franklin Gothic Medium" w:eastAsia="Franklin Gothic Medium"/>
        </w:rPr>
        <w:t xml:space="preserve">Datos personales: </w:t>
      </w:r>
      <w:r>
        <w:t>Contratos trae nombres y documentos de representantes legales, supervisores y ordenadores del gasto, y números de cuenta bancaria. Ninguna de esas columnas se descarga; el proveedor se identifica solo por su código interno de SECOP.</w:t>
      </w:r>
    </w:p>
    <w:p>
      <w:pPr>
        <w:pStyle w:val="Heading1"/>
      </w:pPr>
      <w:r>
        <w:t>4</w:t>
        <w:tab/>
        <w:t>EXPLORACIÓN DE DATOS</w:t>
      </w:r>
    </w:p>
    <w:p>
      <w:r>
        <w:t xml:space="preserve">La exploración confirma que la prórroga es predecible con información previa a la firma: depende sobre todo del tipo de contrato, la duración pactada, el monto y la entidad. El análisis completo, con diez figuras, está en </w:t>
      </w:r>
      <w:r>
        <w:rPr>
          <w:rFonts w:ascii="Consolas" w:hAnsi="Consolas" w:cs="Consolas" w:eastAsia="Consolas"/>
          <w:sz w:val="21"/>
        </w:rPr>
        <w:t>notebooks/01_exploracion_secop.ipynb</w:t>
      </w:r>
      <w:r>
        <w:t>.</w:t>
      </w:r>
    </w:p>
    <w:p>
      <w:pPr>
        <w:pStyle w:val="Heading2"/>
      </w:pPr>
      <w:r>
        <w:t>4.1</w:t>
        <w:tab/>
        <w:t>Calidad de los datos</w:t>
      </w:r>
    </w:p>
    <w:p>
      <w:pPr>
        <w:pStyle w:val="ListBullet"/>
      </w:pPr>
      <w:r>
        <w:rPr>
          <w:rFonts w:ascii="Franklin Gothic Medium" w:hAnsi="Franklin Gothic Medium" w:cs="Franklin Gothic Medium" w:eastAsia="Franklin Gothic Medium"/>
        </w:rPr>
        <w:t xml:space="preserve">Completitud: </w:t>
      </w:r>
      <w:r>
        <w:t>las variables del modelo tienen menos de 2 % de nulos; las fechas de recepción y adjudicación del proceso faltan en 91 % de los casos (contratación directa, que no las usa) y no se usarán.</w:t>
      </w:r>
    </w:p>
    <w:p>
      <w:pPr>
        <w:pStyle w:val="ListBullet"/>
      </w:pPr>
      <w:r>
        <w:rPr>
          <w:rFonts w:ascii="Franklin Gothic Medium" w:hAnsi="Franklin Gothic Medium" w:cs="Franklin Gothic Medium" w:eastAsia="Franklin Gothic Medium"/>
        </w:rPr>
        <w:t xml:space="preserve">Valores centinela: </w:t>
      </w:r>
      <w:r>
        <w:t>“No Definido” aparece en 90 % del tamaño de empresa del proveedor y en 30 % de su departamento; se tratarán como categoría propia o se descartarán.</w:t>
      </w:r>
    </w:p>
    <w:p>
      <w:pPr>
        <w:pStyle w:val="ListBullet"/>
      </w:pPr>
      <w:r>
        <w:rPr>
          <w:rFonts w:ascii="Franklin Gothic Medium" w:hAnsi="Franklin Gothic Medium" w:cs="Franklin Gothic Medium" w:eastAsia="Franklin Gothic Medium"/>
        </w:rPr>
        <w:t xml:space="preserve">Extremos: </w:t>
      </w:r>
      <w:r>
        <w:t>hay precios de hasta 6,4×10¹⁵ pesos y duraciones de millones de días, claros errores de digitación. El percentil 99 de duración es 390 días; los valores por fuera de los percentiles 1 y 99 se reemplazarán por ese límite.</w:t>
      </w:r>
    </w:p>
    <w:p>
      <w:pPr>
        <w:pStyle w:val="ListBullet"/>
      </w:pPr>
      <w:r>
        <w:rPr>
          <w:rFonts w:ascii="Franklin Gothic Medium" w:hAnsi="Franklin Gothic Medium" w:cs="Franklin Gothic Medium" w:eastAsia="Franklin Gothic Medium"/>
        </w:rPr>
        <w:t xml:space="preserve">Duplicados: </w:t>
      </w:r>
      <w:r>
        <w:t>127 contratos repetidos de 1,72 millones, eliminados.</w:t>
      </w:r>
    </w:p>
    <w:p>
      <w:pPr>
        <w:pStyle w:val="Heading2"/>
      </w:pPr>
      <w:r>
        <w:t>4.2</w:t>
        <w:tab/>
        <w:t>Variable objetivo</w:t>
      </w:r>
    </w:p>
    <w:p>
      <w:r>
        <w:t>La clase positiva es minoritaria (12,2 %), por lo que se usarán métricas para desbalance (AUC-PR, recall) y no exactitud. La tasa mensual oscila entre 6,5 % y 17,4 %, sin tendencia clara entre 2023 y 2024. Entre los contratos prorrogados, la mediana de días adicionados es 35 (p25 = 24, p75 = 61).</w:t>
      </w:r>
    </w:p>
    <w:p>
      <w:pPr>
        <w:pStyle w:val="Heading2"/>
      </w:pPr>
      <w:r>
        <w:t>4.3</w:t>
        <w:tab/>
        <w:t>Factores asociados a la prórroga</w:t>
      </w:r>
    </w:p>
    <w:p>
      <w:pPr>
        <w:keepNext/>
        <w:spacing w:after="40"/>
        <w:jc w:val="center"/>
      </w:pPr>
      <w:r>
        <w:drawing>
          <wp:inline xmlns:a="http://schemas.openxmlformats.org/drawingml/2006/main" xmlns:pic="http://schemas.openxmlformats.org/drawingml/2006/picture">
            <wp:extent cx="3960000" cy="2133214"/>
            <wp:docPr id="4" name="Picture 4"/>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3960000" cy="2133214"/>
                    </a:xfrm>
                    <a:prstGeom prst="rect"/>
                  </pic:spPr>
                </pic:pic>
              </a:graphicData>
            </a:graphic>
          </wp:inline>
        </w:drawing>
      </w:r>
    </w:p>
    <w:p>
      <w:pPr>
        <w:spacing w:after="160"/>
        <w:jc w:val="left"/>
      </w:pPr>
      <w:r>
        <w:rPr>
          <w:rFonts w:ascii="Franklin Gothic Medium" w:hAnsi="Franklin Gothic Medium" w:cs="Franklin Gothic Medium" w:eastAsia="Franklin Gothic Medium"/>
          <w:color w:val="662C91"/>
          <w:sz w:val="18"/>
        </w:rPr>
        <w:t xml:space="preserve">Figura 2. </w:t>
      </w:r>
      <w:r>
        <w:rPr>
          <w:rFonts w:ascii="Franklin Gothic Book" w:hAnsi="Franklin Gothic Book" w:cs="Franklin Gothic Book" w:eastAsia="Franklin Gothic Book"/>
          <w:i/>
          <w:color w:val="28303B"/>
          <w:sz w:val="18"/>
        </w:rPr>
        <w:t>Tasa de prórroga por tipo de contrato (tipos con 500 o más contratos). Fuente: datos.gov.co, SECOP II Contratos (jbjy-vk9h).</w:t>
      </w:r>
    </w:p>
    <w:p>
      <w:r>
        <w:t>La modalidad marca diferencias similares: licitación de obra pública (44 %) y concurso de méritos (41 %) frente a contratación directa (11 %) y mínima cuantía (8 %). Por sector, Salud y Protección Social lidera con 18 %.</w:t>
      </w:r>
    </w:p>
    <w:p>
      <w:pPr>
        <w:keepNext/>
        <w:spacing w:after="40"/>
        <w:jc w:val="center"/>
      </w:pPr>
      <w:r>
        <w:drawing>
          <wp:inline xmlns:a="http://schemas.openxmlformats.org/drawingml/2006/main" xmlns:pic="http://schemas.openxmlformats.org/drawingml/2006/picture">
            <wp:extent cx="3600000" cy="1853571"/>
            <wp:docPr id="5" name="Picture 5"/>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3600000" cy="1853571"/>
                    </a:xfrm>
                    <a:prstGeom prst="rect"/>
                  </pic:spPr>
                </pic:pic>
              </a:graphicData>
            </a:graphic>
          </wp:inline>
        </w:drawing>
      </w:r>
    </w:p>
    <w:p>
      <w:pPr>
        <w:spacing w:after="160"/>
        <w:jc w:val="left"/>
      </w:pPr>
      <w:r>
        <w:rPr>
          <w:rFonts w:ascii="Franklin Gothic Medium" w:hAnsi="Franklin Gothic Medium" w:cs="Franklin Gothic Medium" w:eastAsia="Franklin Gothic Medium"/>
          <w:color w:val="662C91"/>
          <w:sz w:val="18"/>
        </w:rPr>
        <w:t xml:space="preserve">Figura 3. </w:t>
      </w:r>
      <w:r>
        <w:rPr>
          <w:rFonts w:ascii="Franklin Gothic Book" w:hAnsi="Franklin Gothic Book" w:cs="Franklin Gothic Book" w:eastAsia="Franklin Gothic Book"/>
          <w:i/>
          <w:color w:val="28303B"/>
          <w:sz w:val="18"/>
        </w:rPr>
        <w:t>Tasa de prórroga por duración pactada al firmar; la duración se convirtió a días desde el texto pactado. Fuente: datos.gov.co, SECOP II Contratos (jbjy-vk9h).</w:t>
      </w:r>
    </w:p>
    <w:p>
      <w:r>
        <w:t>El monto también importa: la tasa sube de 9 % en el decil más bajo de precio base a 20 % en el más alto. La interacción con el tipo es fuerte: en obra pasa de 4 % (menos de 10 millones) a 43 % (más de 1.000 millones), y en interventoría de 32 % a 64 %. Un modelo de árboles captura estas interacciones mejor que uno lineal.</w:t>
      </w:r>
    </w:p>
    <w:p>
      <w:pPr>
        <w:pStyle w:val="Heading2"/>
      </w:pPr>
      <w:r>
        <w:t>4.4</w:t>
        <w:tab/>
        <w:t>La entidad contratante</w:t>
      </w:r>
    </w:p>
    <w:p>
      <w:r>
        <w:t>Entre las 1.612 entidades con al menos 100 contratos, la tasa de prórroga va de 0 % (percentil 10) a 22 % (percentil 90). Es persistente: la tasa de cada entidad en 2023 se correlaciona 0,53 con la de 2024. Por eso se creará la variable tasa histórica de prórroga de la entidad, calculada solo con contratos terminados antes de cada firma.</w:t>
      </w:r>
    </w:p>
    <w:p>
      <w:pPr>
        <w:pStyle w:val="Heading2"/>
      </w:pPr>
      <w:r>
        <w:t>4.5</w:t>
        <w:tab/>
        <w:t>Competencia y proveedor</w:t>
      </w:r>
    </w:p>
    <w:p>
      <w:r>
        <w:t>Los procesos con más de cinco ofertas se prorrogan más (18 %) que los de una o dos (11 %), probablemente porque son contratos más grandes. La antigüedad del proveedor y su condición de pyme cambian la tasa en menos de 4 puntos: aportan poco por sí solas.</w:t>
      </w:r>
    </w:p>
    <w:p>
      <w:pPr>
        <w:pStyle w:val="Heading2"/>
      </w:pPr>
      <w:r>
        <w:t>4.6</w:t>
        <w:tab/>
        <w:t>Fuga de información</w:t>
      </w:r>
    </w:p>
    <w:p>
      <w:r>
        <w:t xml:space="preserve">Es el hallazgo más importante para el modelo: </w:t>
      </w:r>
      <w:r>
        <w:rPr>
          <w:rFonts w:ascii="Consolas" w:hAnsi="Consolas" w:cs="Consolas" w:eastAsia="Consolas"/>
          <w:sz w:val="21"/>
        </w:rPr>
        <w:t>valor_del_contrato</w:t>
      </w:r>
      <w:r>
        <w:t xml:space="preserve"> se actualiza con las adiciones. Cuando el valor final es igual al precio base del proceso, solo 2 % de los contratos se prorroga; cuando lo supera, entre 36 % y 53 %. Usarlo inflaría artificialmente el desempeño.</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4419"/>
        <w:gridCol w:w="4419"/>
      </w:tblGrid>
      <w:tr>
        <w:trPr>
          <w:tblHeader/>
          <w:cantSplit/>
        </w:trPr>
        <w:tc>
          <w:tcPr>
            <w:tcW w:type="dxa" w:w="4535"/>
            <w:vAlign w:val="top"/>
            <w:shd w:val="clear" w:color="auto" w:fill="011430"/>
          </w:tcPr>
          <w:p>
            <w:pPr>
              <w:spacing w:after="0"/>
              <w:jc w:val="left"/>
            </w:pPr>
            <w:r>
              <w:rPr>
                <w:rFonts w:ascii="Franklin Gothic Medium" w:hAnsi="Franklin Gothic Medium" w:cs="Franklin Gothic Medium" w:eastAsia="Franklin Gothic Medium"/>
                <w:color w:val="FFFFFF"/>
                <w:sz w:val="21"/>
              </w:rPr>
              <w:t>Excluida del modelo</w:t>
            </w:r>
          </w:p>
        </w:tc>
        <w:tc>
          <w:tcPr>
            <w:tcW w:type="dxa" w:w="4309"/>
            <w:vAlign w:val="top"/>
            <w:shd w:val="clear" w:color="auto" w:fill="011430"/>
          </w:tcPr>
          <w:p>
            <w:pPr>
              <w:spacing w:after="0"/>
              <w:jc w:val="left"/>
            </w:pPr>
            <w:r>
              <w:rPr>
                <w:rFonts w:ascii="Franklin Gothic Medium" w:hAnsi="Franklin Gothic Medium" w:cs="Franklin Gothic Medium" w:eastAsia="Franklin Gothic Medium"/>
                <w:color w:val="FFFFFF"/>
                <w:sz w:val="21"/>
              </w:rPr>
              <w:t>Motivo</w:t>
            </w:r>
          </w:p>
        </w:tc>
      </w:tr>
      <w:tr>
        <w:trPr>
          <w:cantSplit/>
        </w:trPr>
        <w:tc>
          <w:tcPr>
            <w:tcW w:type="dxa" w:w="4535"/>
            <w:vAlign w:val="top"/>
            <w:shd w:val="clear" w:color="auto" w:fill="D9D9DE"/>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valor_del_contrato</w:t>
            </w:r>
            <w:r>
              <w:rPr>
                <w:rFonts w:ascii="Franklin Gothic Book" w:hAnsi="Franklin Gothic Book" w:cs="Franklin Gothic Book" w:eastAsia="Franklin Gothic Book"/>
                <w:color w:val="28303B"/>
                <w:sz w:val="21"/>
              </w:rPr>
              <w:t xml:space="preserve"> y derivados</w:t>
            </w:r>
          </w:p>
        </w:tc>
        <w:tc>
          <w:tcPr>
            <w:tcW w:type="dxa" w:w="4309"/>
            <w:vAlign w:val="top"/>
            <w:shd w:val="clear" w:color="auto" w:fill="D9D9DE"/>
          </w:tcPr>
          <w:p>
            <w:pPr>
              <w:spacing w:after="0"/>
              <w:jc w:val="left"/>
            </w:pPr>
            <w:r>
              <w:rPr>
                <w:rFonts w:ascii="Franklin Gothic Book" w:hAnsi="Franklin Gothic Book" w:cs="Franklin Gothic Book" w:eastAsia="Franklin Gothic Book"/>
                <w:color w:val="28303B"/>
                <w:sz w:val="21"/>
              </w:rPr>
              <w:t>Incluye adiciones posteriores; se usa el precio base del proceso</w:t>
            </w:r>
          </w:p>
        </w:tc>
      </w:tr>
      <w:tr>
        <w:trPr>
          <w:cantSplit/>
        </w:trPr>
        <w:tc>
          <w:tcPr>
            <w:tcW w:type="dxa" w:w="4535"/>
            <w:vAlign w:val="top"/>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valor_pagado</w:t>
            </w:r>
            <w:r>
              <w:rPr>
                <w:rFonts w:ascii="Franklin Gothic Book" w:hAnsi="Franklin Gothic Book" w:cs="Franklin Gothic Book" w:eastAsia="Franklin Gothic Book"/>
                <w:color w:val="28303B"/>
                <w:sz w:val="21"/>
              </w:rPr>
              <w:t xml:space="preserve">, </w:t>
            </w:r>
            <w:r>
              <w:rPr>
                <w:rFonts w:ascii="Consolas" w:hAnsi="Consolas" w:cs="Consolas" w:eastAsia="Consolas"/>
                <w:color w:val="28303B"/>
                <w:sz w:val="19"/>
              </w:rPr>
              <w:t>valor_facturado</w:t>
            </w:r>
            <w:r>
              <w:rPr>
                <w:rFonts w:ascii="Franklin Gothic Book" w:hAnsi="Franklin Gothic Book" w:cs="Franklin Gothic Book" w:eastAsia="Franklin Gothic Book"/>
                <w:color w:val="28303B"/>
                <w:sz w:val="21"/>
              </w:rPr>
              <w:t xml:space="preserve">, </w:t>
            </w:r>
            <w:r>
              <w:rPr>
                <w:rFonts w:ascii="Consolas" w:hAnsi="Consolas" w:cs="Consolas" w:eastAsia="Consolas"/>
                <w:color w:val="28303B"/>
                <w:sz w:val="19"/>
              </w:rPr>
              <w:t>valor_pendiente_de_ejecucion</w:t>
            </w:r>
            <w:r>
              <w:rPr>
                <w:rFonts w:ascii="Franklin Gothic Book" w:hAnsi="Franklin Gothic Book" w:cs="Franklin Gothic Book" w:eastAsia="Franklin Gothic Book"/>
                <w:color w:val="28303B"/>
                <w:sz w:val="21"/>
              </w:rPr>
            </w:r>
          </w:p>
        </w:tc>
        <w:tc>
          <w:tcPr>
            <w:tcW w:type="dxa" w:w="4309"/>
            <w:vAlign w:val="top"/>
          </w:tcPr>
          <w:p>
            <w:pPr>
              <w:spacing w:after="0"/>
              <w:jc w:val="left"/>
            </w:pPr>
            <w:r>
              <w:rPr>
                <w:rFonts w:ascii="Franklin Gothic Book" w:hAnsi="Franklin Gothic Book" w:cs="Franklin Gothic Book" w:eastAsia="Franklin Gothic Book"/>
                <w:color w:val="28303B"/>
                <w:sz w:val="21"/>
              </w:rPr>
              <w:t>Ejecución posterior a la firma</w:t>
            </w:r>
          </w:p>
        </w:tc>
      </w:tr>
      <w:tr>
        <w:trPr>
          <w:cantSplit/>
        </w:trPr>
        <w:tc>
          <w:tcPr>
            <w:tcW w:type="dxa" w:w="4535"/>
            <w:vAlign w:val="top"/>
            <w:shd w:val="clear" w:color="auto" w:fill="D9D9DE"/>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estado_contrato</w:t>
            </w:r>
            <w:r>
              <w:rPr>
                <w:rFonts w:ascii="Franklin Gothic Book" w:hAnsi="Franklin Gothic Book" w:cs="Franklin Gothic Book" w:eastAsia="Franklin Gothic Book"/>
                <w:color w:val="28303B"/>
                <w:sz w:val="21"/>
              </w:rPr>
              <w:t xml:space="preserve">, </w:t>
            </w:r>
            <w:r>
              <w:rPr>
                <w:rFonts w:ascii="Consolas" w:hAnsi="Consolas" w:cs="Consolas" w:eastAsia="Consolas"/>
                <w:color w:val="28303B"/>
                <w:sz w:val="19"/>
              </w:rPr>
              <w:t>liquidacion</w:t>
            </w:r>
            <w:r>
              <w:rPr>
                <w:rFonts w:ascii="Franklin Gothic Book" w:hAnsi="Franklin Gothic Book" w:cs="Franklin Gothic Book" w:eastAsia="Franklin Gothic Book"/>
                <w:color w:val="28303B"/>
                <w:sz w:val="21"/>
              </w:rPr>
              <w:t xml:space="preserve">, </w:t>
            </w:r>
            <w:r>
              <w:rPr>
                <w:rFonts w:ascii="Consolas" w:hAnsi="Consolas" w:cs="Consolas" w:eastAsia="Consolas"/>
                <w:color w:val="28303B"/>
                <w:sz w:val="19"/>
              </w:rPr>
              <w:t>ultima_actualizacion</w:t>
            </w:r>
            <w:r>
              <w:rPr>
                <w:rFonts w:ascii="Franklin Gothic Book" w:hAnsi="Franklin Gothic Book" w:cs="Franklin Gothic Book" w:eastAsia="Franklin Gothic Book"/>
                <w:color w:val="28303B"/>
                <w:sz w:val="21"/>
              </w:rPr>
            </w:r>
          </w:p>
        </w:tc>
        <w:tc>
          <w:tcPr>
            <w:tcW w:type="dxa" w:w="4309"/>
            <w:vAlign w:val="top"/>
            <w:shd w:val="clear" w:color="auto" w:fill="D9D9DE"/>
          </w:tcPr>
          <w:p>
            <w:pPr>
              <w:spacing w:after="0"/>
              <w:jc w:val="left"/>
            </w:pPr>
            <w:r>
              <w:rPr>
                <w:rFonts w:ascii="Franklin Gothic Book" w:hAnsi="Franklin Gothic Book" w:cs="Franklin Gothic Book" w:eastAsia="Franklin Gothic Book"/>
                <w:color w:val="28303B"/>
                <w:sz w:val="21"/>
              </w:rPr>
              <w:t>Estado posterior a la firma</w:t>
            </w:r>
          </w:p>
        </w:tc>
      </w:tr>
      <w:tr>
        <w:trPr>
          <w:cantSplit/>
        </w:trPr>
        <w:tc>
          <w:tcPr>
            <w:tcW w:type="dxa" w:w="4535"/>
            <w:vAlign w:val="top"/>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fecha_de_fin_del_contrato</w:t>
            </w:r>
            <w:r>
              <w:rPr>
                <w:rFonts w:ascii="Franklin Gothic Book" w:hAnsi="Franklin Gothic Book" w:cs="Franklin Gothic Book" w:eastAsia="Franklin Gothic Book"/>
                <w:color w:val="28303B"/>
                <w:sz w:val="21"/>
              </w:rPr>
              <w:t>, duración real</w:t>
            </w:r>
          </w:p>
        </w:tc>
        <w:tc>
          <w:tcPr>
            <w:tcW w:type="dxa" w:w="4309"/>
            <w:vAlign w:val="top"/>
          </w:tcPr>
          <w:p>
            <w:pPr>
              <w:spacing w:after="0"/>
              <w:jc w:val="left"/>
            </w:pPr>
            <w:r>
              <w:rPr>
                <w:rFonts w:ascii="Franklin Gothic Book" w:hAnsi="Franklin Gothic Book" w:cs="Franklin Gothic Book" w:eastAsia="Franklin Gothic Book"/>
                <w:color w:val="28303B"/>
                <w:sz w:val="21"/>
              </w:rPr>
              <w:t>Puede incluir la prórroga</w:t>
            </w:r>
          </w:p>
        </w:tc>
      </w:tr>
    </w:tbl>
    <w:p>
      <w:pPr>
        <w:spacing w:after="0"/>
      </w:pPr>
    </w:p>
    <w:p>
      <w:pPr>
        <w:pStyle w:val="Heading1"/>
      </w:pPr>
      <w:r>
        <w:t>5</w:t>
        <w:tab/>
        <w:t>MAQUETA DEL PROTOTIPO</w:t>
      </w:r>
    </w:p>
    <w:p>
      <w:r>
        <w:t>El prototipo tiene dos pantallas que responden a la pregunta de negocio: una evalúa el riesgo de un contrato a través de la API del modelo (predictivo) y la otra muestra el panorama descriptivo para orientar la vigilancia. La maqueta navegable está publicada en canaranjom.github.io/secop-alerta-prorrogas.</w:t>
      </w:r>
    </w:p>
    <w:p>
      <w:pPr>
        <w:keepNext/>
        <w:spacing w:after="40"/>
        <w:jc w:val="center"/>
      </w:pPr>
      <w:r>
        <w:drawing>
          <wp:inline xmlns:a="http://schemas.openxmlformats.org/drawingml/2006/main" xmlns:pic="http://schemas.openxmlformats.org/drawingml/2006/picture">
            <wp:extent cx="4320000" cy="2720250"/>
            <wp:docPr id="6" name="Picture 6"/>
            <wp:cNvGraphicFramePr>
              <a:graphicFrameLocks noChangeAspect="1"/>
            </wp:cNvGraphicFramePr>
            <a:graphic>
              <a:graphicData uri="http://schemas.openxmlformats.org/drawingml/2006/picture">
                <pic:pic>
                  <pic:nvPicPr>
                    <pic:cNvPr id="0" name="m_index.png"/>
                    <pic:cNvPicPr/>
                  </pic:nvPicPr>
                  <pic:blipFill>
                    <a:blip r:embed="rId16"/>
                    <a:stretch>
                      <a:fillRect/>
                    </a:stretch>
                  </pic:blipFill>
                  <pic:spPr>
                    <a:xfrm>
                      <a:off x="0" y="0"/>
                      <a:ext cx="4320000" cy="2720250"/>
                    </a:xfrm>
                    <a:prstGeom prst="rect"/>
                  </pic:spPr>
                </pic:pic>
              </a:graphicData>
            </a:graphic>
          </wp:inline>
        </w:drawing>
      </w:r>
    </w:p>
    <w:p>
      <w:pPr>
        <w:spacing w:after="160"/>
        <w:jc w:val="left"/>
      </w:pPr>
      <w:r>
        <w:rPr>
          <w:rFonts w:ascii="Franklin Gothic Medium" w:hAnsi="Franklin Gothic Medium" w:cs="Franklin Gothic Medium" w:eastAsia="Franklin Gothic Medium"/>
          <w:color w:val="662C91"/>
          <w:sz w:val="18"/>
        </w:rPr>
        <w:t xml:space="preserve">Figura 4. </w:t>
      </w:r>
      <w:r>
        <w:rPr>
          <w:rFonts w:ascii="Franklin Gothic Book" w:hAnsi="Franklin Gothic Book" w:cs="Franklin Gothic Book" w:eastAsia="Franklin Gothic Book"/>
          <w:i/>
          <w:color w:val="28303B"/>
          <w:sz w:val="18"/>
        </w:rPr>
        <w:t>Pantalla 1 – Evaluar contrato. Los valores son ilustrativos hasta tener el modelo de la Entrega 2.</w:t>
      </w:r>
    </w:p>
    <w:p>
      <w:r>
        <w:rPr>
          <w:rFonts w:ascii="Franklin Gothic Medium" w:hAnsi="Franklin Gothic Medium" w:cs="Franklin Gothic Medium" w:eastAsia="Franklin Gothic Medium"/>
        </w:rPr>
        <w:t xml:space="preserve">Pantalla 1. </w:t>
      </w:r>
      <w:r>
        <w:t xml:space="preserve">El analista ingresa solo datos conocidos al firmar: entidad, tipo, modalidad, precio base, duración pactada, departamento, orden, sector y fecha. El tablero llama a </w:t>
      </w:r>
      <w:r>
        <w:rPr>
          <w:rFonts w:ascii="Consolas" w:hAnsi="Consolas" w:cs="Consolas" w:eastAsia="Consolas"/>
          <w:sz w:val="21"/>
        </w:rPr>
        <w:t>POST /predict</w:t>
      </w:r>
      <w:r>
        <w:t xml:space="preserve"> y muestra:</w:t>
      </w:r>
    </w:p>
    <w:p>
      <w:pPr>
        <w:pStyle w:val="ListBullet"/>
      </w:pPr>
      <w:r>
        <w:t>la probabilidad de prórroga y su nivel (bajo &lt; 25 %, medio 25–50 %, alto &gt; 50 %; umbrales a calibrar en la Entrega 2);</w:t>
      </w:r>
    </w:p>
    <w:p>
      <w:pPr>
        <w:pStyle w:val="ListBullet"/>
      </w:pPr>
      <w:r>
        <w:t>la comparación con la tasa nacional, la de contratos similares y la histórica de la entidad;</w:t>
      </w:r>
    </w:p>
    <w:p>
      <w:pPr>
        <w:pStyle w:val="ListBullet"/>
      </w:pPr>
      <w:r>
        <w:t>los tres factores que más elevan el riesgo, para que la señal sea explicable;</w:t>
      </w:r>
    </w:p>
    <w:p>
      <w:pPr>
        <w:pStyle w:val="ListBullet"/>
      </w:pPr>
      <w:r>
        <w:t>la advertencia de que es una señal estadística, no un juicio sobre la entidad o el contratista.</w:t>
      </w:r>
    </w:p>
    <w:p>
      <w:pPr>
        <w:keepNext/>
        <w:spacing w:after="40"/>
        <w:jc w:val="center"/>
      </w:pPr>
      <w:r>
        <w:drawing>
          <wp:inline xmlns:a="http://schemas.openxmlformats.org/drawingml/2006/main" xmlns:pic="http://schemas.openxmlformats.org/drawingml/2006/picture">
            <wp:extent cx="4140000" cy="3312000"/>
            <wp:docPr id="7" name="Picture 7"/>
            <wp:cNvGraphicFramePr>
              <a:graphicFrameLocks noChangeAspect="1"/>
            </wp:cNvGraphicFramePr>
            <a:graphic>
              <a:graphicData uri="http://schemas.openxmlformats.org/drawingml/2006/picture">
                <pic:pic>
                  <pic:nvPicPr>
                    <pic:cNvPr id="0" name="m_panorama.png"/>
                    <pic:cNvPicPr/>
                  </pic:nvPicPr>
                  <pic:blipFill>
                    <a:blip r:embed="rId17"/>
                    <a:stretch>
                      <a:fillRect/>
                    </a:stretch>
                  </pic:blipFill>
                  <pic:spPr>
                    <a:xfrm>
                      <a:off x="0" y="0"/>
                      <a:ext cx="4140000" cy="3312000"/>
                    </a:xfrm>
                    <a:prstGeom prst="rect"/>
                  </pic:spPr>
                </pic:pic>
              </a:graphicData>
            </a:graphic>
          </wp:inline>
        </w:drawing>
      </w:r>
    </w:p>
    <w:p>
      <w:pPr>
        <w:spacing w:after="160"/>
        <w:jc w:val="left"/>
      </w:pPr>
      <w:r>
        <w:rPr>
          <w:rFonts w:ascii="Franklin Gothic Medium" w:hAnsi="Franklin Gothic Medium" w:cs="Franklin Gothic Medium" w:eastAsia="Franklin Gothic Medium"/>
          <w:color w:val="662C91"/>
          <w:sz w:val="18"/>
        </w:rPr>
        <w:t xml:space="preserve">Figura 5. </w:t>
      </w:r>
      <w:r>
        <w:rPr>
          <w:rFonts w:ascii="Franklin Gothic Book" w:hAnsi="Franklin Gothic Book" w:cs="Franklin Gothic Book" w:eastAsia="Franklin Gothic Book"/>
          <w:i/>
          <w:color w:val="28303B"/>
          <w:sz w:val="18"/>
        </w:rPr>
        <w:t>Pantalla 2 – Panorama descriptivo con las tasas reales de la exploración.</w:t>
      </w:r>
    </w:p>
    <w:p>
      <w:r>
        <w:rPr>
          <w:rFonts w:ascii="Franklin Gothic Medium" w:hAnsi="Franklin Gothic Medium" w:cs="Franklin Gothic Medium" w:eastAsia="Franklin Gothic Medium"/>
        </w:rPr>
        <w:t xml:space="preserve">Pantalla 2. </w:t>
      </w:r>
      <w:r>
        <w:t>indicadores generales (contratos analizados, tasa de prórroga, mediana de días adicionados), tasa por tipo de contrato y por duración, mapa por departamento y la lista de contratos en ejecución con mayor probabilidad de prórroga, con filtros por año, departamento y sector.</w:t>
      </w:r>
    </w:p>
    <w:p>
      <w:pPr>
        <w:keepNext/>
        <w:spacing w:after="40"/>
        <w:jc w:val="center"/>
      </w:pPr>
      <w:r>
        <w:drawing>
          <wp:inline xmlns:a="http://schemas.openxmlformats.org/drawingml/2006/main" xmlns:pic="http://schemas.openxmlformats.org/drawingml/2006/picture">
            <wp:extent cx="4500000" cy="1821429"/>
            <wp:docPr id="8" name="Picture 8"/>
            <wp:cNvGraphicFramePr>
              <a:graphicFrameLocks noChangeAspect="1"/>
            </wp:cNvGraphicFramePr>
            <a:graphic>
              <a:graphicData uri="http://schemas.openxmlformats.org/drawingml/2006/picture">
                <pic:pic>
                  <pic:nvPicPr>
                    <pic:cNvPr id="0" name="image4.png"/>
                    <pic:cNvPicPr/>
                  </pic:nvPicPr>
                  <pic:blipFill>
                    <a:blip r:embed="rId18"/>
                    <a:stretch>
                      <a:fillRect/>
                    </a:stretch>
                  </pic:blipFill>
                  <pic:spPr>
                    <a:xfrm>
                      <a:off x="0" y="0"/>
                      <a:ext cx="4500000" cy="1821429"/>
                    </a:xfrm>
                    <a:prstGeom prst="rect"/>
                  </pic:spPr>
                </pic:pic>
              </a:graphicData>
            </a:graphic>
          </wp:inline>
        </w:drawing>
      </w:r>
    </w:p>
    <w:p>
      <w:pPr>
        <w:spacing w:after="160"/>
        <w:jc w:val="left"/>
      </w:pPr>
      <w:r>
        <w:rPr>
          <w:rFonts w:ascii="Franklin Gothic Medium" w:hAnsi="Franklin Gothic Medium" w:cs="Franklin Gothic Medium" w:eastAsia="Franklin Gothic Medium"/>
          <w:color w:val="662C91"/>
          <w:sz w:val="18"/>
        </w:rPr>
        <w:t xml:space="preserve">Figura 6. </w:t>
      </w:r>
      <w:r>
        <w:rPr>
          <w:rFonts w:ascii="Franklin Gothic Book" w:hAnsi="Franklin Gothic Book" w:cs="Franklin Gothic Book" w:eastAsia="Franklin Gothic Book"/>
          <w:i/>
          <w:color w:val="28303B"/>
          <w:sz w:val="18"/>
        </w:rPr>
        <w:t>Arquitectura propuesta del prototipo: tablero, API y modelo en contenedores Docker sobre AWS.</w:t>
      </w:r>
    </w:p>
    <w:p>
      <w:r>
        <w:t>Dos decisiones de diseño se apoyan en la exploración: el formulario pide el precio base del proceso, conocido antes de firmar, en lugar del valor del contrato, que incluye adiciones posteriores (sección 4.6); y el resultado muestra la tasa histórica de la entidad, porque es persistente entre años (sección 4.4).</w:t>
      </w:r>
    </w:p>
    <w:p>
      <w:pPr>
        <w:pStyle w:val="Heading1"/>
      </w:pPr>
      <w:r>
        <w:t>6</w:t>
        <w:tab/>
        <w:t>REPOSITORIOS GIT Y DVC</w:t>
      </w:r>
    </w:p>
    <w:p>
      <w:r>
        <w:t>El código está en GitHub y los datos se versionan con DVC.</w:t>
      </w:r>
    </w:p>
    <w:p>
      <w:pPr>
        <w:pStyle w:val="ListBullet"/>
      </w:pPr>
      <w:r>
        <w:rPr>
          <w:rFonts w:ascii="Franklin Gothic Medium" w:hAnsi="Franklin Gothic Medium" w:cs="Franklin Gothic Medium" w:eastAsia="Franklin Gothic Medium"/>
        </w:rPr>
        <w:t xml:space="preserve">Repositorio: </w:t>
      </w:r>
      <w:r>
        <w:t>github.com/canaranjom/secop-alerta-prorrogas</w:t>
      </w:r>
    </w:p>
    <w:p>
      <w:pPr>
        <w:pStyle w:val="ListBullet"/>
      </w:pPr>
      <w:r>
        <w:rPr>
          <w:rFonts w:ascii="Franklin Gothic Medium" w:hAnsi="Franklin Gothic Medium" w:cs="Franklin Gothic Medium" w:eastAsia="Franklin Gothic Medium"/>
        </w:rPr>
        <w:t xml:space="preserve">Maqueta publicada: </w:t>
      </w:r>
      <w:r>
        <w:t>canaranjom.github.io/secop-alerta-prorrogas</w:t>
      </w:r>
    </w:p>
    <w:p>
      <w:r>
        <w:rPr>
          <w:rFonts w:ascii="Franklin Gothic Medium" w:hAnsi="Franklin Gothic Medium" w:cs="Franklin Gothic Medium" w:eastAsia="Franklin Gothic Medium"/>
        </w:rPr>
        <w:t xml:space="preserve">Por qué DVC: </w:t>
      </w:r>
      <w:r>
        <w:t>los datos pesan cerca de 330 MB y GitHub no acepta archivos de más de 100 MB. DVC guarda en el repositorio solo la huella de cada archivo (</w:t>
      </w:r>
      <w:r>
        <w:rPr>
          <w:rFonts w:ascii="Consolas" w:hAnsi="Consolas" w:cs="Consolas" w:eastAsia="Consolas"/>
          <w:sz w:val="21"/>
        </w:rPr>
        <w:t>dvc.lock</w:t>
      </w:r>
      <w:r>
        <w:t xml:space="preserve">) y deja los datos en un almacenamiento aparte, que en esta entrega es una carpeta local configurada como remoto. Cualquier integrante obtiene la versión exacta con </w:t>
      </w:r>
      <w:r>
        <w:rPr>
          <w:rFonts w:ascii="Consolas" w:hAnsi="Consolas" w:cs="Consolas" w:eastAsia="Consolas"/>
          <w:sz w:val="21"/>
        </w:rPr>
        <w:t>dvc pull</w:t>
      </w:r>
      <w:r>
        <w:t xml:space="preserve"> o la regenera desde la API con </w:t>
      </w:r>
      <w:r>
        <w:rPr>
          <w:rFonts w:ascii="Consolas" w:hAnsi="Consolas" w:cs="Consolas" w:eastAsia="Consolas"/>
          <w:sz w:val="21"/>
        </w:rPr>
        <w:t>dvc repro</w:t>
      </w:r>
      <w:r>
        <w:t>.</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4419"/>
        <w:gridCol w:w="4419"/>
      </w:tblGrid>
      <w:tr>
        <w:trPr>
          <w:tblHeader/>
          <w:cantSplit/>
        </w:trPr>
        <w:tc>
          <w:tcPr>
            <w:tcW w:type="dxa" w:w="3742"/>
            <w:vAlign w:val="top"/>
            <w:shd w:val="clear" w:color="auto" w:fill="011430"/>
          </w:tcPr>
          <w:p>
            <w:pPr>
              <w:spacing w:after="0"/>
              <w:jc w:val="left"/>
            </w:pPr>
            <w:r>
              <w:rPr>
                <w:rFonts w:ascii="Franklin Gothic Medium" w:hAnsi="Franklin Gothic Medium" w:cs="Franklin Gothic Medium" w:eastAsia="Franklin Gothic Medium"/>
                <w:color w:val="FFFFFF"/>
                <w:sz w:val="21"/>
              </w:rPr>
              <w:t>Archivo</w:t>
            </w:r>
          </w:p>
        </w:tc>
        <w:tc>
          <w:tcPr>
            <w:tcW w:type="dxa" w:w="5102"/>
            <w:vAlign w:val="top"/>
            <w:shd w:val="clear" w:color="auto" w:fill="011430"/>
          </w:tcPr>
          <w:p>
            <w:pPr>
              <w:spacing w:after="0"/>
              <w:jc w:val="left"/>
            </w:pPr>
            <w:r>
              <w:rPr>
                <w:rFonts w:ascii="Franklin Gothic Medium" w:hAnsi="Franklin Gothic Medium" w:cs="Franklin Gothic Medium" w:eastAsia="Franklin Gothic Medium"/>
                <w:color w:val="FFFFFF"/>
                <w:sz w:val="21"/>
              </w:rPr>
              <w:t>Función</w:t>
            </w:r>
          </w:p>
        </w:tc>
      </w:tr>
      <w:tr>
        <w:trPr>
          <w:cantSplit/>
        </w:trPr>
        <w:tc>
          <w:tcPr>
            <w:tcW w:type="dxa" w:w="3742"/>
            <w:vAlign w:val="top"/>
            <w:shd w:val="clear" w:color="auto" w:fill="D9D9DE"/>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params.yaml</w:t>
            </w:r>
            <w:r>
              <w:rPr>
                <w:rFonts w:ascii="Franklin Gothic Book" w:hAnsi="Franklin Gothic Book" w:cs="Franklin Gothic Book" w:eastAsia="Franklin Gothic Book"/>
                <w:color w:val="28303B"/>
                <w:sz w:val="21"/>
              </w:rPr>
            </w:r>
          </w:p>
        </w:tc>
        <w:tc>
          <w:tcPr>
            <w:tcW w:type="dxa" w:w="5102"/>
            <w:vAlign w:val="top"/>
            <w:shd w:val="clear" w:color="auto" w:fill="D9D9DE"/>
          </w:tcPr>
          <w:p>
            <w:pPr>
              <w:spacing w:after="0"/>
              <w:jc w:val="left"/>
            </w:pPr>
            <w:r>
              <w:rPr>
                <w:rFonts w:ascii="Franklin Gothic Book" w:hAnsi="Franklin Gothic Book" w:cs="Franklin Gothic Book" w:eastAsia="Franklin Gothic Book"/>
                <w:color w:val="28303B"/>
                <w:sz w:val="21"/>
              </w:rPr>
              <w:t>Parámetros de la extracción: ventana de fechas de firma y fecha de corte</w:t>
            </w:r>
          </w:p>
        </w:tc>
      </w:tr>
      <w:tr>
        <w:trPr>
          <w:cantSplit/>
        </w:trPr>
        <w:tc>
          <w:tcPr>
            <w:tcW w:type="dxa" w:w="3742"/>
            <w:vAlign w:val="top"/>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src/download_secop.py</w:t>
            </w:r>
            <w:r>
              <w:rPr>
                <w:rFonts w:ascii="Franklin Gothic Book" w:hAnsi="Franklin Gothic Book" w:cs="Franklin Gothic Book" w:eastAsia="Franklin Gothic Book"/>
                <w:color w:val="28303B"/>
                <w:sz w:val="21"/>
              </w:rPr>
            </w:r>
          </w:p>
        </w:tc>
        <w:tc>
          <w:tcPr>
            <w:tcW w:type="dxa" w:w="5102"/>
            <w:vAlign w:val="top"/>
          </w:tcPr>
          <w:p>
            <w:pPr>
              <w:spacing w:after="0"/>
              <w:jc w:val="left"/>
            </w:pPr>
            <w:r>
              <w:rPr>
                <w:rFonts w:ascii="Franklin Gothic Book" w:hAnsi="Franklin Gothic Book" w:cs="Franklin Gothic Book" w:eastAsia="Franklin Gothic Book"/>
                <w:color w:val="28303B"/>
                <w:sz w:val="21"/>
              </w:rPr>
              <w:t>Descarga los datos desde la API de datos.gov.co</w:t>
            </w:r>
          </w:p>
        </w:tc>
      </w:tr>
      <w:tr>
        <w:trPr>
          <w:cantSplit/>
        </w:trPr>
        <w:tc>
          <w:tcPr>
            <w:tcW w:type="dxa" w:w="3742"/>
            <w:vAlign w:val="top"/>
            <w:shd w:val="clear" w:color="auto" w:fill="D9D9DE"/>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src/build_dataset.py</w:t>
            </w:r>
            <w:r>
              <w:rPr>
                <w:rFonts w:ascii="Franklin Gothic Book" w:hAnsi="Franklin Gothic Book" w:cs="Franklin Gothic Book" w:eastAsia="Franklin Gothic Book"/>
                <w:color w:val="28303B"/>
                <w:sz w:val="21"/>
              </w:rPr>
            </w:r>
          </w:p>
        </w:tc>
        <w:tc>
          <w:tcPr>
            <w:tcW w:type="dxa" w:w="5102"/>
            <w:vAlign w:val="top"/>
            <w:shd w:val="clear" w:color="auto" w:fill="D9D9DE"/>
          </w:tcPr>
          <w:p>
            <w:pPr>
              <w:spacing w:after="0"/>
              <w:jc w:val="left"/>
            </w:pPr>
            <w:r>
              <w:rPr>
                <w:rFonts w:ascii="Franklin Gothic Book" w:hAnsi="Franklin Gothic Book" w:cs="Franklin Gothic Book" w:eastAsia="Franklin Gothic Book"/>
                <w:color w:val="28303B"/>
                <w:sz w:val="21"/>
              </w:rPr>
              <w:t>Une las tablas y crea la variable objetivo</w:t>
            </w:r>
          </w:p>
        </w:tc>
      </w:tr>
      <w:tr>
        <w:trPr>
          <w:cantSplit/>
        </w:trPr>
        <w:tc>
          <w:tcPr>
            <w:tcW w:type="dxa" w:w="3742"/>
            <w:vAlign w:val="top"/>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dvc.yaml</w:t>
            </w:r>
            <w:r>
              <w:rPr>
                <w:rFonts w:ascii="Franklin Gothic Book" w:hAnsi="Franklin Gothic Book" w:cs="Franklin Gothic Book" w:eastAsia="Franklin Gothic Book"/>
                <w:color w:val="28303B"/>
                <w:sz w:val="21"/>
              </w:rPr>
              <w:t xml:space="preserve"> / </w:t>
            </w:r>
            <w:r>
              <w:rPr>
                <w:rFonts w:ascii="Consolas" w:hAnsi="Consolas" w:cs="Consolas" w:eastAsia="Consolas"/>
                <w:color w:val="28303B"/>
                <w:sz w:val="19"/>
              </w:rPr>
              <w:t>dvc.lock</w:t>
            </w:r>
            <w:r>
              <w:rPr>
                <w:rFonts w:ascii="Franklin Gothic Book" w:hAnsi="Franklin Gothic Book" w:cs="Franklin Gothic Book" w:eastAsia="Franklin Gothic Book"/>
                <w:color w:val="28303B"/>
                <w:sz w:val="21"/>
              </w:rPr>
            </w:r>
          </w:p>
        </w:tc>
        <w:tc>
          <w:tcPr>
            <w:tcW w:type="dxa" w:w="5102"/>
            <w:vAlign w:val="top"/>
          </w:tcPr>
          <w:p>
            <w:pPr>
              <w:spacing w:after="0"/>
              <w:jc w:val="left"/>
            </w:pPr>
            <w:r>
              <w:rPr>
                <w:rFonts w:ascii="Franklin Gothic Book" w:hAnsi="Franklin Gothic Book" w:cs="Franklin Gothic Book" w:eastAsia="Franklin Gothic Book"/>
                <w:color w:val="28303B"/>
                <w:sz w:val="21"/>
              </w:rPr>
              <w:t>Pipeline (descarga y construcción) y huella de los datos generados</w:t>
            </w:r>
          </w:p>
        </w:tc>
      </w:tr>
      <w:tr>
        <w:trPr>
          <w:cantSplit/>
        </w:trPr>
        <w:tc>
          <w:tcPr>
            <w:tcW w:type="dxa" w:w="3742"/>
            <w:vAlign w:val="top"/>
            <w:shd w:val="clear" w:color="auto" w:fill="D9D9DE"/>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notebooks/01_exploracion_secop.ipynb</w:t>
            </w:r>
            <w:r>
              <w:rPr>
                <w:rFonts w:ascii="Franklin Gothic Book" w:hAnsi="Franklin Gothic Book" w:cs="Franklin Gothic Book" w:eastAsia="Franklin Gothic Book"/>
                <w:color w:val="28303B"/>
                <w:sz w:val="21"/>
              </w:rPr>
            </w:r>
          </w:p>
        </w:tc>
        <w:tc>
          <w:tcPr>
            <w:tcW w:type="dxa" w:w="5102"/>
            <w:vAlign w:val="top"/>
            <w:shd w:val="clear" w:color="auto" w:fill="D9D9DE"/>
          </w:tcPr>
          <w:p>
            <w:pPr>
              <w:spacing w:after="0"/>
              <w:jc w:val="left"/>
            </w:pPr>
            <w:r>
              <w:rPr>
                <w:rFonts w:ascii="Franklin Gothic Book" w:hAnsi="Franklin Gothic Book" w:cs="Franklin Gothic Book" w:eastAsia="Franklin Gothic Book"/>
                <w:color w:val="28303B"/>
                <w:sz w:val="21"/>
              </w:rPr>
              <w:t>Exploración de la sección 4</w:t>
            </w:r>
          </w:p>
        </w:tc>
      </w:tr>
      <w:tr>
        <w:trPr>
          <w:cantSplit/>
        </w:trPr>
        <w:tc>
          <w:tcPr>
            <w:tcW w:type="dxa" w:w="3742"/>
            <w:vAlign w:val="top"/>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docs/</w:t>
            </w:r>
            <w:r>
              <w:rPr>
                <w:rFonts w:ascii="Franklin Gothic Book" w:hAnsi="Franklin Gothic Book" w:cs="Franklin Gothic Book" w:eastAsia="Franklin Gothic Book"/>
                <w:color w:val="28303B"/>
                <w:sz w:val="21"/>
              </w:rPr>
            </w:r>
          </w:p>
        </w:tc>
        <w:tc>
          <w:tcPr>
            <w:tcW w:type="dxa" w:w="5102"/>
            <w:vAlign w:val="top"/>
          </w:tcPr>
          <w:p>
            <w:pPr>
              <w:spacing w:after="0"/>
              <w:jc w:val="left"/>
            </w:pPr>
            <w:r>
              <w:rPr>
                <w:rFonts w:ascii="Franklin Gothic Book" w:hAnsi="Franklin Gothic Book" w:cs="Franklin Gothic Book" w:eastAsia="Franklin Gothic Book"/>
                <w:color w:val="28303B"/>
                <w:sz w:val="21"/>
              </w:rPr>
              <w:t>Maqueta publicada en GitHub Pages</w:t>
            </w:r>
          </w:p>
        </w:tc>
      </w:tr>
      <w:tr>
        <w:trPr>
          <w:cantSplit/>
        </w:trPr>
        <w:tc>
          <w:tcPr>
            <w:tcW w:type="dxa" w:w="3742"/>
            <w:vAlign w:val="top"/>
            <w:shd w:val="clear" w:color="auto" w:fill="D9D9DE"/>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entrega/</w:t>
            </w:r>
            <w:r>
              <w:rPr>
                <w:rFonts w:ascii="Franklin Gothic Book" w:hAnsi="Franklin Gothic Book" w:cs="Franklin Gothic Book" w:eastAsia="Franklin Gothic Book"/>
                <w:color w:val="28303B"/>
                <w:sz w:val="21"/>
              </w:rPr>
            </w:r>
          </w:p>
        </w:tc>
        <w:tc>
          <w:tcPr>
            <w:tcW w:type="dxa" w:w="5102"/>
            <w:vAlign w:val="top"/>
            <w:shd w:val="clear" w:color="auto" w:fill="D9D9DE"/>
          </w:tcPr>
          <w:p>
            <w:pPr>
              <w:spacing w:after="0"/>
              <w:jc w:val="left"/>
            </w:pPr>
            <w:r>
              <w:rPr>
                <w:rFonts w:ascii="Franklin Gothic Book" w:hAnsi="Franklin Gothic Book" w:cs="Franklin Gothic Book" w:eastAsia="Franklin Gothic Book"/>
                <w:color w:val="28303B"/>
                <w:sz w:val="21"/>
              </w:rPr>
              <w:t>Este reporte</w:t>
            </w:r>
          </w:p>
        </w:tc>
      </w:tr>
    </w:tbl>
    <w:p>
      <w:pPr>
        <w:spacing w:after="0"/>
      </w:pPr>
    </w:p>
    <w:p>
      <w:pPr>
        <w:keepNext/>
        <w:spacing w:after="40"/>
        <w:jc w:val="center"/>
      </w:pPr>
      <w:r>
        <w:drawing>
          <wp:inline xmlns:a="http://schemas.openxmlformats.org/drawingml/2006/main" xmlns:pic="http://schemas.openxmlformats.org/drawingml/2006/picture">
            <wp:extent cx="4140000" cy="1875938"/>
            <wp:docPr id="9" name="Picture 9"/>
            <wp:cNvGraphicFramePr>
              <a:graphicFrameLocks noChangeAspect="1"/>
            </wp:cNvGraphicFramePr>
            <a:graphic>
              <a:graphicData uri="http://schemas.openxmlformats.org/drawingml/2006/picture">
                <pic:pic>
                  <pic:nvPicPr>
                    <pic:cNvPr id="0" name="m_github.png"/>
                    <pic:cNvPicPr/>
                  </pic:nvPicPr>
                  <pic:blipFill>
                    <a:blip r:embed="rId19"/>
                    <a:stretch>
                      <a:fillRect/>
                    </a:stretch>
                  </pic:blipFill>
                  <pic:spPr>
                    <a:xfrm>
                      <a:off x="0" y="0"/>
                      <a:ext cx="4140000" cy="1875938"/>
                    </a:xfrm>
                    <a:prstGeom prst="rect"/>
                  </pic:spPr>
                </pic:pic>
              </a:graphicData>
            </a:graphic>
          </wp:inline>
        </w:drawing>
      </w:r>
    </w:p>
    <w:p>
      <w:pPr>
        <w:spacing w:after="160"/>
        <w:jc w:val="left"/>
      </w:pPr>
      <w:r>
        <w:rPr>
          <w:rFonts w:ascii="Franklin Gothic Medium" w:hAnsi="Franklin Gothic Medium" w:cs="Franklin Gothic Medium" w:eastAsia="Franklin Gothic Medium"/>
          <w:color w:val="662C91"/>
          <w:sz w:val="18"/>
        </w:rPr>
        <w:t xml:space="preserve">Figura 7. </w:t>
      </w:r>
      <w:r>
        <w:rPr>
          <w:rFonts w:ascii="Franklin Gothic Book" w:hAnsi="Franklin Gothic Book" w:cs="Franklin Gothic Book" w:eastAsia="Franklin Gothic Book"/>
          <w:i/>
          <w:color w:val="28303B"/>
          <w:sz w:val="18"/>
        </w:rPr>
        <w:t>Repositorio público en GitHub con la estructura del proyecto (25-oct-2026).</w:t>
      </w:r>
    </w:p>
    <w:p>
      <w:pPr>
        <w:keepNext/>
        <w:spacing w:after="40"/>
        <w:jc w:val="center"/>
      </w:pPr>
      <w:r>
        <w:drawing>
          <wp:inline xmlns:a="http://schemas.openxmlformats.org/drawingml/2006/main" xmlns:pic="http://schemas.openxmlformats.org/drawingml/2006/picture">
            <wp:extent cx="4500000" cy="1662632"/>
            <wp:docPr id="10" name="Picture 10"/>
            <wp:cNvGraphicFramePr>
              <a:graphicFrameLocks noChangeAspect="1"/>
            </wp:cNvGraphicFramePr>
            <a:graphic>
              <a:graphicData uri="http://schemas.openxmlformats.org/drawingml/2006/picture">
                <pic:pic>
                  <pic:nvPicPr>
                    <pic:cNvPr id="0" name="m_terminal.png"/>
                    <pic:cNvPicPr/>
                  </pic:nvPicPr>
                  <pic:blipFill>
                    <a:blip r:embed="rId20"/>
                    <a:stretch>
                      <a:fillRect/>
                    </a:stretch>
                  </pic:blipFill>
                  <pic:spPr>
                    <a:xfrm>
                      <a:off x="0" y="0"/>
                      <a:ext cx="4500000" cy="1662632"/>
                    </a:xfrm>
                    <a:prstGeom prst="rect"/>
                  </pic:spPr>
                </pic:pic>
              </a:graphicData>
            </a:graphic>
          </wp:inline>
        </w:drawing>
      </w:r>
    </w:p>
    <w:p>
      <w:pPr>
        <w:spacing w:after="160"/>
        <w:jc w:val="left"/>
      </w:pPr>
      <w:r>
        <w:rPr>
          <w:rFonts w:ascii="Franklin Gothic Medium" w:hAnsi="Franklin Gothic Medium" w:cs="Franklin Gothic Medium" w:eastAsia="Franklin Gothic Medium"/>
          <w:color w:val="662C91"/>
          <w:sz w:val="18"/>
        </w:rPr>
        <w:t xml:space="preserve">Figura 8. </w:t>
      </w:r>
      <w:r>
        <w:rPr>
          <w:rFonts w:ascii="Franklin Gothic Book" w:hAnsi="Franklin Gothic Book" w:cs="Franklin Gothic Book" w:eastAsia="Franklin Gothic Book"/>
          <w:i/>
          <w:color w:val="28303B"/>
          <w:sz w:val="18"/>
        </w:rPr>
        <w:t>Salida de git log, cat .dvc/config y dvc status: historial de commits, remoto DVC configurado y pipeline al día.</w:t>
      </w:r>
    </w:p>
    <w:p>
      <w:pPr>
        <w:pStyle w:val="Heading1"/>
      </w:pPr>
      <w:r>
        <w:t>7</w:t>
        <w:tab/>
        <w:t>CONCLUSIONES Y SIGUIENTES PASOS</w:t>
      </w:r>
    </w:p>
    <w:p>
      <w:r>
        <w:t>El problema es viable para un modelo supervisado: la variable objetivo es observable, hay 1,7 millones de ejemplos etiquetados y las variables previas a la firma separan grupos con tasas de prórroga entre 7 % y 50 %.</w:t>
      </w:r>
    </w:p>
    <w:p>
      <w:pPr>
        <w:pStyle w:val="ListBullet"/>
      </w:pPr>
      <w:r>
        <w:t>Los mayores diferenciadores son el tipo de contrato, la duración pactada, el precio base y la entidad; las variables del proveedor aportan poco por sí solas.</w:t>
      </w:r>
    </w:p>
    <w:p>
      <w:pPr>
        <w:pStyle w:val="ListBullet"/>
      </w:pPr>
      <w:r>
        <w:t xml:space="preserve">La fuga de información en </w:t>
      </w:r>
      <w:r>
        <w:rPr>
          <w:rFonts w:ascii="Consolas" w:hAnsi="Consolas" w:cs="Consolas" w:eastAsia="Consolas"/>
          <w:sz w:val="21"/>
        </w:rPr>
        <w:t>valor_del_contrato</w:t>
      </w:r>
      <w:r>
        <w:t xml:space="preserve"> era el principal riesgo de sobreestimar el desempeño y ya está controlada en el pipeline.</w:t>
      </w:r>
    </w:p>
    <w:p>
      <w:pPr>
        <w:pStyle w:val="ListBullet"/>
      </w:pPr>
      <w:r>
        <w:t>La actualización diaria de la fuente permite reentrenar y monitorear deriva, que se versionará con DVC.</w:t>
      </w:r>
    </w:p>
    <w:p>
      <w:pPr>
        <w:spacing w:before="120"/>
      </w:pPr>
      <w:r>
        <w:t>Ideas de desarrollo para la siguiente entrega:</w:t>
      </w:r>
    </w:p>
    <w:p>
      <w:pPr>
        <w:pStyle w:val="ListBullet"/>
      </w:pPr>
      <w:r>
        <w:rPr>
          <w:rFonts w:ascii="Franklin Gothic Medium" w:hAnsi="Franklin Gothic Medium" w:cs="Franklin Gothic Medium" w:eastAsia="Franklin Gothic Medium"/>
        </w:rPr>
        <w:t xml:space="preserve">Ingeniería de variables: </w:t>
      </w:r>
      <w:r>
        <w:t>tasa histórica de la entidad sin fuga temporal, recorte de extremos y agrupación de categorías poco frecuentes.</w:t>
      </w:r>
    </w:p>
    <w:p>
      <w:pPr>
        <w:pStyle w:val="ListBullet"/>
      </w:pPr>
      <w:r>
        <w:rPr>
          <w:rFonts w:ascii="Franklin Gothic Medium" w:hAnsi="Franklin Gothic Medium" w:cs="Franklin Gothic Medium" w:eastAsia="Franklin Gothic Medium"/>
        </w:rPr>
        <w:t xml:space="preserve">Modelos: </w:t>
      </w:r>
      <w:r>
        <w:t>línea base (regresión logística) frente a modelos de árboles (random forest, gradient boosting), con validación temporal 2023 → 2024 y experimentos registrados en MLflow.</w:t>
      </w:r>
    </w:p>
    <w:p>
      <w:pPr>
        <w:pStyle w:val="ListBullet"/>
      </w:pPr>
      <w:r>
        <w:rPr>
          <w:rFonts w:ascii="Franklin Gothic Medium" w:hAnsi="Franklin Gothic Medium" w:cs="Franklin Gothic Medium" w:eastAsia="Franklin Gothic Medium"/>
        </w:rPr>
        <w:t xml:space="preserve">Tablero: </w:t>
      </w:r>
      <w:r>
        <w:t>pantalla de panorama funcionando sobre los datos reales.</w:t>
      </w:r>
    </w:p>
    <w:p>
      <w:pPr>
        <w:pStyle w:val="Heading1"/>
        <w:jc w:val="center"/>
      </w:pPr>
      <w:r>
        <w:t>REFERENCIAS</w:t>
      </w:r>
    </w:p>
    <w:p>
      <w:pPr>
        <w:spacing w:after="200"/>
        <w:ind w:left="720" w:hanging="720"/>
        <w:jc w:val="left"/>
      </w:pPr>
      <w:r>
        <w:t>Colombia Compra Eficiente. (2026). SECOP II – Contratos electrónicos [Conjunto de datos]. Datos Abiertos Colombia. Consultado el 24 de octubre de 2026. https://www.datos.gov.co/d/jbjy-vk9h</w:t>
      </w:r>
    </w:p>
    <w:p>
      <w:pPr>
        <w:spacing w:after="200"/>
        <w:ind w:left="720" w:hanging="720"/>
        <w:jc w:val="left"/>
      </w:pPr>
      <w:r>
        <w:t>Colombia Compra Eficiente. (2026). SECOP II – Procesos de contratación [Conjunto de datos]. Datos Abiertos Colombia. https://www.datos.gov.co/d/p6dx-8zbt</w:t>
      </w:r>
    </w:p>
    <w:p>
      <w:pPr>
        <w:spacing w:after="200"/>
        <w:ind w:left="720" w:hanging="720"/>
        <w:jc w:val="left"/>
      </w:pPr>
      <w:r>
        <w:t>Colombia Compra Eficiente. (2026). SECOP II – Proveedores registrados [Conjunto de datos]. Datos Abiertos Colombia. https://www.datos.gov.co/d/qmzu-gj57</w:t>
      </w:r>
    </w:p>
    <w:p>
      <w:pPr>
        <w:spacing w:after="200"/>
        <w:ind w:left="720" w:hanging="720"/>
        <w:jc w:val="left"/>
      </w:pPr>
      <w:r>
        <w:t>Colombia Compra Eficiente. (2026). SECOP II – Facturas [Conjunto de datos]. Datos Abiertos Colombia. https://www.datos.gov.co/d/ibyt-yi2f</w:t>
      </w:r>
    </w:p>
    <w:p>
      <w:pPr>
        <w:spacing w:after="200"/>
        <w:ind w:left="720" w:hanging="720"/>
        <w:jc w:val="left"/>
      </w:pPr>
      <w:r>
        <w:t>Colombia Compra Eficiente. (2026). SECOP Integrado [Conjunto de datos]. Datos Abiertos Colombia. https://www.datos.gov.co/d/rpmr-utcd</w:t>
      </w:r>
    </w:p>
    <w:p>
      <w:pPr>
        <w:spacing w:after="200"/>
        <w:ind w:left="720" w:hanging="720"/>
        <w:jc w:val="left"/>
      </w:pPr>
      <w:r>
        <w:t>Colombia Compra Eficiente. (2026). SECOP – Convenios interadministrativos [Conjunto de datos]. Datos Abiertos Colombia. https://www.datos.gov.co/d/s484-c9k3</w:t>
      </w:r>
    </w:p>
    <w:p>
      <w:pPr>
        <w:spacing w:after="200"/>
        <w:ind w:left="720" w:hanging="720"/>
        <w:jc w:val="left"/>
      </w:pPr>
      <w:r>
        <w:t>Maestría en Inteligencia Analítica de Datos (MIAD). (2026). Proyecto – Entrega 1. Despliegue de Soluciones Analíticas [Material de curso]. Universidad de los Andes.</w:t>
      </w:r>
    </w:p>
    <w:p>
      <w:r>
        <w:br w:type="page"/>
      </w:r>
    </w:p>
    <w:p>
      <w:pPr>
        <w:pStyle w:val="Heading1"/>
        <w:jc w:val="center"/>
      </w:pPr>
      <w:r>
        <w:t>ANEXO. REPORTE DE TRABAJO EN EQUIPO</w:t>
      </w:r>
    </w:p>
    <w:p>
      <w:r>
        <w:t>Cada responsabilidad se soporta con los commits de su autor en el repositorio.</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2946"/>
        <w:gridCol w:w="2946"/>
        <w:gridCol w:w="2946"/>
      </w:tblGrid>
      <w:tr>
        <w:trPr>
          <w:tblHeader/>
          <w:cantSplit/>
        </w:trPr>
        <w:tc>
          <w:tcPr>
            <w:tcW w:type="dxa" w:w="2268"/>
            <w:vAlign w:val="top"/>
            <w:shd w:val="clear" w:color="auto" w:fill="011430"/>
          </w:tcPr>
          <w:p>
            <w:pPr>
              <w:spacing w:after="0"/>
              <w:jc w:val="left"/>
            </w:pPr>
            <w:r>
              <w:rPr>
                <w:rFonts w:ascii="Franklin Gothic Medium" w:hAnsi="Franklin Gothic Medium" w:cs="Franklin Gothic Medium" w:eastAsia="Franklin Gothic Medium"/>
                <w:color w:val="FFFFFF"/>
                <w:sz w:val="21"/>
              </w:rPr>
              <w:t>Integrante</w:t>
            </w:r>
          </w:p>
        </w:tc>
        <w:tc>
          <w:tcPr>
            <w:tcW w:type="dxa" w:w="3855"/>
            <w:vAlign w:val="top"/>
            <w:shd w:val="clear" w:color="auto" w:fill="011430"/>
          </w:tcPr>
          <w:p>
            <w:pPr>
              <w:spacing w:after="0"/>
              <w:jc w:val="left"/>
            </w:pPr>
            <w:r>
              <w:rPr>
                <w:rFonts w:ascii="Franklin Gothic Medium" w:hAnsi="Franklin Gothic Medium" w:cs="Franklin Gothic Medium" w:eastAsia="Franklin Gothic Medium"/>
                <w:color w:val="FFFFFF"/>
                <w:sz w:val="21"/>
              </w:rPr>
              <w:t>Responsabilidades</w:t>
            </w:r>
          </w:p>
        </w:tc>
        <w:tc>
          <w:tcPr>
            <w:tcW w:type="dxa" w:w="2721"/>
            <w:vAlign w:val="top"/>
            <w:shd w:val="clear" w:color="auto" w:fill="011430"/>
          </w:tcPr>
          <w:p>
            <w:pPr>
              <w:spacing w:after="0"/>
              <w:jc w:val="left"/>
            </w:pPr>
            <w:r>
              <w:rPr>
                <w:rFonts w:ascii="Franklin Gothic Medium" w:hAnsi="Franklin Gothic Medium" w:cs="Franklin Gothic Medium" w:eastAsia="Franklin Gothic Medium"/>
                <w:color w:val="FFFFFF"/>
                <w:sz w:val="21"/>
              </w:rPr>
              <w:t>Evidencia en el repositorio</w:t>
            </w:r>
          </w:p>
        </w:tc>
      </w:tr>
      <w:tr>
        <w:trPr>
          <w:cantSplit/>
        </w:trPr>
        <w:tc>
          <w:tcPr>
            <w:tcW w:type="dxa" w:w="2268"/>
            <w:vAlign w:val="top"/>
            <w:shd w:val="clear" w:color="auto" w:fill="D9D9DE"/>
          </w:tcPr>
          <w:p>
            <w:pPr>
              <w:spacing w:after="0"/>
              <w:jc w:val="left"/>
            </w:pPr>
            <w:r>
              <w:rPr>
                <w:rFonts w:ascii="Franklin Gothic Medium" w:hAnsi="Franklin Gothic Medium" w:cs="Franklin Gothic Medium" w:eastAsia="Franklin Gothic Medium"/>
                <w:color w:val="000000"/>
                <w:sz w:val="21"/>
              </w:rPr>
              <w:t>Julián David Castañeda Plazas</w:t>
            </w:r>
          </w:p>
        </w:tc>
        <w:tc>
          <w:tcPr>
            <w:tcW w:type="dxa" w:w="3855"/>
            <w:vAlign w:val="top"/>
            <w:shd w:val="clear" w:color="auto" w:fill="D9D9DE"/>
          </w:tcPr>
          <w:p>
            <w:pPr>
              <w:spacing w:after="0"/>
              <w:jc w:val="left"/>
            </w:pPr>
            <w:r>
              <w:rPr>
                <w:rFonts w:ascii="Franklin Gothic Book" w:hAnsi="Franklin Gothic Book" w:cs="Franklin Gothic Book" w:eastAsia="Franklin Gothic Book"/>
                <w:color w:val="28303B"/>
                <w:sz w:val="21"/>
              </w:rPr>
              <w:t>Análisis de las variables candidatas y sus hipótesis de negocio; revisión de la pregunta de negocio y del alcance</w:t>
            </w:r>
          </w:p>
        </w:tc>
        <w:tc>
          <w:tcPr>
            <w:tcW w:type="dxa" w:w="2721"/>
            <w:vAlign w:val="top"/>
            <w:shd w:val="clear" w:color="auto" w:fill="D9D9DE"/>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reports/hipotesis_variables.md</w:t>
            </w:r>
            <w:r>
              <w:rPr>
                <w:rFonts w:ascii="Franklin Gothic Book" w:hAnsi="Franklin Gothic Book" w:cs="Franklin Gothic Book" w:eastAsia="Franklin Gothic Book"/>
                <w:color w:val="28303B"/>
                <w:sz w:val="21"/>
              </w:rPr>
              <w:t xml:space="preserve"> (commit af83e36) y </w:t>
            </w:r>
            <w:r>
              <w:rPr>
                <w:rFonts w:ascii="Consolas" w:hAnsi="Consolas" w:cs="Consolas" w:eastAsia="Consolas"/>
                <w:color w:val="28303B"/>
                <w:sz w:val="19"/>
              </w:rPr>
              <w:t>reports/revision_pregunta_alcance.md</w:t>
            </w:r>
            <w:r>
              <w:rPr>
                <w:rFonts w:ascii="Franklin Gothic Book" w:hAnsi="Franklin Gothic Book" w:cs="Franklin Gothic Book" w:eastAsia="Franklin Gothic Book"/>
                <w:color w:val="28303B"/>
                <w:sz w:val="21"/>
              </w:rPr>
              <w:t xml:space="preserve"> (commit 9b7b73f)</w:t>
            </w:r>
          </w:p>
        </w:tc>
      </w:tr>
      <w:tr>
        <w:trPr>
          <w:cantSplit/>
        </w:trPr>
        <w:tc>
          <w:tcPr>
            <w:tcW w:type="dxa" w:w="2268"/>
            <w:vAlign w:val="top"/>
          </w:tcPr>
          <w:p>
            <w:pPr>
              <w:spacing w:after="0"/>
              <w:jc w:val="left"/>
            </w:pPr>
            <w:r>
              <w:rPr>
                <w:rFonts w:ascii="Franklin Gothic Medium" w:hAnsi="Franklin Gothic Medium" w:cs="Franklin Gothic Medium" w:eastAsia="Franklin Gothic Medium"/>
                <w:color w:val="000000"/>
                <w:sz w:val="21"/>
              </w:rPr>
              <w:t>Camilo Arlex Naranjo Mejía</w:t>
            </w:r>
          </w:p>
        </w:tc>
        <w:tc>
          <w:tcPr>
            <w:tcW w:type="dxa" w:w="3855"/>
            <w:vAlign w:val="top"/>
          </w:tcPr>
          <w:p>
            <w:pPr>
              <w:spacing w:after="0"/>
              <w:jc w:val="left"/>
            </w:pPr>
            <w:r>
              <w:rPr>
                <w:rFonts w:ascii="Franklin Gothic Book" w:hAnsi="Franklin Gothic Book" w:cs="Franklin Gothic Book" w:eastAsia="Franklin Gothic Book"/>
                <w:color w:val="28303B"/>
                <w:sz w:val="21"/>
              </w:rPr>
              <w:t>Selección del problema y de los datos; pipeline de descarga y cruce con DVC; exploración de datos; maqueta del prototipo; redacción del reporte</w:t>
            </w:r>
          </w:p>
        </w:tc>
        <w:tc>
          <w:tcPr>
            <w:tcW w:type="dxa" w:w="2721"/>
            <w:vAlign w:val="top"/>
          </w:tcPr>
          <w:p>
            <w:pPr>
              <w:spacing w:after="0"/>
              <w:jc w:val="left"/>
            </w:pPr>
            <w:r>
              <w:rPr>
                <w:rFonts w:ascii="Franklin Gothic Book" w:hAnsi="Franklin Gothic Book" w:cs="Franklin Gothic Book" w:eastAsia="Franklin Gothic Book"/>
                <w:color w:val="28303B"/>
                <w:sz w:val="21"/>
              </w:rPr>
              <w:t>Commits 86fc117, 4acbe4d, 49da38a, 48053ab, 246af20, 32fcf56, 4a07b21, 04130b2 y b7350f5</w:t>
            </w:r>
          </w:p>
        </w:tc>
      </w:tr>
      <w:tr>
        <w:trPr>
          <w:cantSplit/>
        </w:trPr>
        <w:tc>
          <w:tcPr>
            <w:tcW w:type="dxa" w:w="2268"/>
            <w:vAlign w:val="top"/>
            <w:shd w:val="clear" w:color="auto" w:fill="D9D9DE"/>
          </w:tcPr>
          <w:p>
            <w:pPr>
              <w:spacing w:after="0"/>
              <w:jc w:val="left"/>
            </w:pPr>
            <w:r>
              <w:rPr>
                <w:rFonts w:ascii="Franklin Gothic Medium" w:hAnsi="Franklin Gothic Medium" w:cs="Franklin Gothic Medium" w:eastAsia="Franklin Gothic Medium"/>
                <w:color w:val="000000"/>
                <w:sz w:val="21"/>
              </w:rPr>
              <w:t>Leydi Patricia Pichón Pacheco</w:t>
            </w:r>
          </w:p>
        </w:tc>
        <w:tc>
          <w:tcPr>
            <w:tcW w:type="dxa" w:w="3855"/>
            <w:vAlign w:val="top"/>
            <w:shd w:val="clear" w:color="auto" w:fill="D9D9DE"/>
          </w:tcPr>
          <w:p>
            <w:pPr>
              <w:spacing w:after="0"/>
              <w:jc w:val="left"/>
            </w:pPr>
            <w:r>
              <w:rPr>
                <w:rFonts w:ascii="Franklin Gothic Book" w:hAnsi="Franklin Gothic Book" w:cs="Franklin Gothic Book" w:eastAsia="Franklin Gothic Book"/>
                <w:color w:val="28303B"/>
                <w:sz w:val="21"/>
              </w:rPr>
              <w:t>Consolidación y revisión final del reporte; reporte de trabajo en equipo; seguimiento del cronograma y plan de la Entrega 2</w:t>
            </w:r>
          </w:p>
        </w:tc>
        <w:tc>
          <w:tcPr>
            <w:tcW w:type="dxa" w:w="2721"/>
            <w:vAlign w:val="top"/>
            <w:shd w:val="clear" w:color="auto" w:fill="D9D9DE"/>
          </w:tcPr>
          <w:p>
            <w:pPr>
              <w:spacing w:after="0"/>
              <w:jc w:val="left"/>
            </w:pPr>
            <w:r>
              <w:rPr>
                <w:rFonts w:ascii="Franklin Gothic Book" w:hAnsi="Franklin Gothic Book" w:cs="Franklin Gothic Book" w:eastAsia="Franklin Gothic Book"/>
                <w:color w:val="28303B"/>
                <w:sz w:val="21"/>
              </w:rPr>
            </w:r>
            <w:r>
              <w:rPr>
                <w:rFonts w:ascii="Consolas" w:hAnsi="Consolas" w:cs="Consolas" w:eastAsia="Consolas"/>
                <w:color w:val="28303B"/>
                <w:sz w:val="19"/>
              </w:rPr>
              <w:t>entrega/trabajo_en_equipo.md</w:t>
            </w:r>
            <w:r>
              <w:rPr>
                <w:rFonts w:ascii="Franklin Gothic Book" w:hAnsi="Franklin Gothic Book" w:cs="Franklin Gothic Book" w:eastAsia="Franklin Gothic Book"/>
                <w:color w:val="28303B"/>
                <w:sz w:val="21"/>
              </w:rPr>
              <w:t xml:space="preserve"> (commits 902922e y ab45ff7)</w:t>
            </w:r>
          </w:p>
        </w:tc>
      </w:tr>
    </w:tbl>
    <w:p>
      <w:pPr>
        <w:spacing w:after="0"/>
      </w:pPr>
    </w:p>
    <w:p>
      <w:r>
        <w:rPr>
          <w:rFonts w:ascii="Franklin Gothic Medium" w:hAnsi="Franklin Gothic Medium" w:cs="Franklin Gothic Medium" w:eastAsia="Franklin Gothic Medium"/>
        </w:rPr>
        <w:t xml:space="preserve">Coordinación: </w:t>
      </w:r>
      <w:r>
        <w:t xml:space="preserve">grupo de WhatsApp del equipo y repositorio compartido en GitHub. El plan de la Entrega 2, con responsables y fechas internas, está en </w:t>
      </w:r>
      <w:r>
        <w:rPr>
          <w:rFonts w:ascii="Consolas" w:hAnsi="Consolas" w:cs="Consolas" w:eastAsia="Consolas"/>
          <w:sz w:val="21"/>
        </w:rPr>
        <w:t>entrega/trabajo_en_equipo.md</w:t>
      </w:r>
      <w:r>
        <w:t>.</w:t>
      </w:r>
    </w:p>
    <w:sectPr w:rsidR="00FC693F" w:rsidRPr="0006063C" w:rsidSect="00034616">
      <w:headerReference w:type="default" r:id="rId9"/>
      <w:footerReference w:type="default" r:id="rId10"/>
      <w:pgSz w:w="12240" w:h="15840"/>
      <w:pgMar w:top="1701" w:right="1134" w:bottom="1701" w:left="2268"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Franklin Gothic Book" w:hAnsi="Franklin Gothic Book" w:cs="Franklin Gothic Book" w:eastAsia="Franklin Gothic Book"/>
        <w:color w:val="595959"/>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Franklin Gothic Book" w:hAnsi="Franklin Gothic Book" w:cs="Franklin Gothic Book" w:eastAsia="Franklin Gothic Book"/>
        <w:color w:val="595959"/>
        <w:sz w:val="18"/>
      </w:rPr>
      <w:t>Despliegue de Soluciones Analíticas · Proyecto – Entrega 1</w:t>
    </w:r>
  </w:p>
  <w:p>
    <w:pPr>
      <w:spacing w:after="0"/>
    </w:pPr>
    <w:r>
      <w:drawing>
        <wp:inline xmlns:a="http://schemas.openxmlformats.org/drawingml/2006/main" xmlns:pic="http://schemas.openxmlformats.org/drawingml/2006/picture">
          <wp:extent cx="5612130" cy="28800"/>
          <wp:docPr id="1" name="Picture 1"/>
          <wp:cNvGraphicFramePr>
            <a:graphicFrameLocks noChangeAspect="1"/>
          </wp:cNvGraphicFramePr>
          <a:graphic>
            <a:graphicData uri="http://schemas.openxmlformats.org/drawingml/2006/picture">
              <pic:pic>
                <pic:nvPicPr>
                  <pic:cNvPr id="0" name="rule.png"/>
                  <pic:cNvPicPr/>
                </pic:nvPicPr>
                <pic:blipFill>
                  <a:blip r:embed="rId1"/>
                  <a:stretch>
                    <a:fillRect/>
                  </a:stretch>
                </pic:blipFill>
                <pic:spPr>
                  <a:xfrm>
                    <a:off x="0" y="0"/>
                    <a:ext cx="5612130" cy="28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60"/>
      <w:jc w:val="both"/>
    </w:pPr>
    <w:rPr>
      <w:rFonts w:ascii="Franklin Gothic Book" w:hAnsi="Franklin Gothic Book" w:cs="Franklin Gothic Book" w:eastAsia="Franklin Gothic Book"/>
      <w:color w:val="28303B"/>
      <w:sz w:val="24"/>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tabs>
        <w:tab w:pos="720" w:val="left"/>
      </w:tabs>
      <w:spacing w:before="280" w:after="80"/>
      <w:jc w:val="left"/>
      <w:outlineLvl w:val="0"/>
    </w:pPr>
    <w:rPr>
      <w:rFonts w:ascii="Franklin Gothic Medium" w:hAnsi="Franklin Gothic Medium" w:cs="Franklin Gothic Medium" w:eastAsia="Franklin Gothic Medium"/>
      <w:b/>
      <w:bCs/>
      <w:i w:val="0"/>
      <w:caps/>
      <w:color w:val="000000"/>
      <w:sz w:val="24"/>
      <w:szCs w:val="28"/>
    </w:rPr>
  </w:style>
  <w:style w:type="paragraph" w:styleId="Heading2">
    <w:name w:val="heading 2"/>
    <w:basedOn w:val="Normal"/>
    <w:next w:val="Normal"/>
    <w:link w:val="Heading2Char"/>
    <w:uiPriority w:val="9"/>
    <w:unhideWhenUsed/>
    <w:qFormat/>
    <w:rsid w:val="00FC693F"/>
    <w:pPr>
      <w:keepNext/>
      <w:keepLines/>
      <w:tabs>
        <w:tab w:pos="720" w:val="left"/>
      </w:tabs>
      <w:spacing w:before="200" w:after="80"/>
      <w:jc w:val="left"/>
      <w:outlineLvl w:val="1"/>
    </w:pPr>
    <w:rPr>
      <w:rFonts w:ascii="Franklin Gothic Medium" w:hAnsi="Franklin Gothic Medium" w:cs="Franklin Gothic Medium" w:eastAsia="Franklin Gothic Medium"/>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rPr>
      <w:rFonts w:ascii="Franklin Gothic Book" w:hAnsi="Franklin Gothic Book" w:cs="Franklin Gothic Book" w:eastAsia="Franklin Gothic Book"/>
      <w:color w:val="28303B"/>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Alerta temprana de prórrogas en contratos SECOP II – Entrega 1</dc:title>
  <dc:subject/>
  <dc:creator>Castañeda, Naranjo, Pichón</dc:creator>
  <cp:keywords/>
  <dc:description/>
  <cp:lastModifiedBy>Camilo Arlex Naranjo Mejía</cp:lastModifiedBy>
  <cp:revision>1</cp:revision>
  <dcterms:created xsi:type="dcterms:W3CDTF">2026-10-25T12:00:00Z</dcterms:created>
  <dcterms:modified xsi:type="dcterms:W3CDTF">2026-10-25T12:00:00Z</dcterms:modified>
  <cp:category/>
</cp:coreProperties>
</file>