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A087" w14:textId="77777777" w:rsidR="00E17FAC" w:rsidRPr="00E17FAC" w:rsidRDefault="00E17FAC" w:rsidP="00E17FAC">
      <w:pPr>
        <w:spacing w:before="161" w:after="161" w:line="240" w:lineRule="auto"/>
        <w:outlineLvl w:val="0"/>
        <w:rPr>
          <w:rFonts w:ascii="Arial" w:eastAsia="Times New Roman" w:hAnsi="Arial" w:cs="Arial"/>
          <w:color w:val="333333"/>
          <w:spacing w:val="-2"/>
          <w:kern w:val="36"/>
          <w:sz w:val="36"/>
          <w:szCs w:val="36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kern w:val="36"/>
          <w:sz w:val="36"/>
          <w:szCs w:val="36"/>
          <w:lang w:eastAsia="pt-BR"/>
        </w:rPr>
        <w:t>O valor do dinheiro no tempo</w:t>
      </w:r>
    </w:p>
    <w:p w14:paraId="3FF41A82" w14:textId="77777777" w:rsidR="00E17FAC" w:rsidRPr="00E17FAC" w:rsidRDefault="00E17FAC" w:rsidP="00E17F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Após completar este capítulo, você será capaz de:</w:t>
      </w:r>
    </w:p>
    <w:p w14:paraId="12A9C14D" w14:textId="77777777" w:rsidR="00E17FAC" w:rsidRPr="00E17FAC" w:rsidRDefault="00E17FAC" w:rsidP="00E17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Compreender o conceito de inflação</w:t>
      </w:r>
    </w:p>
    <w:p w14:paraId="156952CF" w14:textId="77777777" w:rsidR="00E17FAC" w:rsidRPr="00E17FAC" w:rsidRDefault="00E17FAC" w:rsidP="00E17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Compreender o conceito de taxa básica de juros</w:t>
      </w:r>
    </w:p>
    <w:p w14:paraId="049A8CA5" w14:textId="77777777" w:rsidR="00E17FAC" w:rsidRPr="00E17FAC" w:rsidRDefault="00E17FAC" w:rsidP="00E17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Compreender e distinguir taxa nominal e taxa efetiva</w:t>
      </w:r>
    </w:p>
    <w:p w14:paraId="38124752" w14:textId="77777777" w:rsidR="00E17FAC" w:rsidRPr="00E17FAC" w:rsidRDefault="00E17FAC" w:rsidP="00E17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Calcular composição de taxas</w:t>
      </w:r>
    </w:p>
    <w:p w14:paraId="3046E32A" w14:textId="77777777" w:rsidR="00E17FAC" w:rsidRPr="00E17FAC" w:rsidRDefault="00E17FAC" w:rsidP="00E17F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pacing w:val="-2"/>
          <w:sz w:val="30"/>
          <w:szCs w:val="30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30"/>
          <w:szCs w:val="30"/>
          <w:lang w:eastAsia="pt-BR"/>
        </w:rPr>
        <w:t>1. O que é inflação?</w:t>
      </w:r>
    </w:p>
    <w:p w14:paraId="2A859BF3" w14:textId="77777777" w:rsidR="00E17FAC" w:rsidRPr="00E17FAC" w:rsidRDefault="00E17FAC" w:rsidP="00E17F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A Inflação refere-se a um aumento contínuo e generalizado dos preços. Ela representa a valorização do dinheiro no tempo. Também está relacionada ao poder de compra.</w:t>
      </w:r>
    </w:p>
    <w:p w14:paraId="62BC7D03" w14:textId="77777777" w:rsidR="00E17FAC" w:rsidRPr="00E17FAC" w:rsidRDefault="00E17FAC" w:rsidP="00E17F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A taxa de inflação é a variação percentual no nível de preços entre dois períodos.</w:t>
      </w:r>
    </w:p>
    <w:p w14:paraId="76AFB75D" w14:textId="5ABF2FAE" w:rsidR="0019668C" w:rsidRDefault="0019668C"/>
    <w:p w14:paraId="4C39B2B2" w14:textId="77777777" w:rsidR="00E17FAC" w:rsidRPr="00E17FAC" w:rsidRDefault="00E17FAC" w:rsidP="00E17FA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pacing w:val="-2"/>
          <w:sz w:val="30"/>
          <w:szCs w:val="30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30"/>
          <w:szCs w:val="30"/>
          <w:lang w:eastAsia="pt-BR"/>
        </w:rPr>
        <w:t>2. Índices de preços</w:t>
      </w:r>
    </w:p>
    <w:p w14:paraId="5C892616" w14:textId="77777777" w:rsidR="00E17FAC" w:rsidRPr="00E17FAC" w:rsidRDefault="00E17FAC" w:rsidP="00E17F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Há 29 índices de preços no Brasil, sendo divididos em:</w:t>
      </w:r>
    </w:p>
    <w:p w14:paraId="14870884" w14:textId="77777777" w:rsidR="00E17FAC" w:rsidRPr="00E17FAC" w:rsidRDefault="00E17FAC" w:rsidP="00E17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Índices de Preços ao Consumidor (IPC)</w:t>
      </w:r>
    </w:p>
    <w:p w14:paraId="1B5E605C" w14:textId="77777777" w:rsidR="00E17FAC" w:rsidRPr="00E17FAC" w:rsidRDefault="00E17FAC" w:rsidP="00E17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Índices Gerais de Preços (IGP)</w:t>
      </w:r>
    </w:p>
    <w:p w14:paraId="0EA369F0" w14:textId="77777777" w:rsidR="00E17FAC" w:rsidRPr="00E17FAC" w:rsidRDefault="00E17FAC" w:rsidP="00E17F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Os mais relevantes são: IPCA, IGP-M e INPC.</w:t>
      </w:r>
    </w:p>
    <w:p w14:paraId="2E23DEBA" w14:textId="77777777" w:rsidR="00E17FAC" w:rsidRPr="00E17FAC" w:rsidRDefault="00E17FAC" w:rsidP="00E17F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b/>
          <w:bCs/>
          <w:color w:val="333333"/>
          <w:spacing w:val="-2"/>
          <w:sz w:val="21"/>
          <w:szCs w:val="21"/>
          <w:lang w:eastAsia="pt-BR"/>
        </w:rPr>
        <w:t>Índices de Preços ao Consumidor</w:t>
      </w: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 (IPC) são uma medida do custo médio dos bens e serviços adquiridos por um consumidor típico.</w:t>
      </w:r>
    </w:p>
    <w:p w14:paraId="31244470" w14:textId="77777777" w:rsidR="00E17FAC" w:rsidRPr="00E17FAC" w:rsidRDefault="00E17FAC" w:rsidP="00E17F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Ele, em geral, é calculado mensalmente e serve para monitorar variações no custo de vida ao longo do tempo.</w:t>
      </w:r>
    </w:p>
    <w:p w14:paraId="57623F5F" w14:textId="77777777" w:rsidR="00E17FAC" w:rsidRPr="00E17FAC" w:rsidRDefault="00E17FAC" w:rsidP="00E17F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b/>
          <w:bCs/>
          <w:color w:val="333333"/>
          <w:spacing w:val="-2"/>
          <w:sz w:val="21"/>
          <w:szCs w:val="21"/>
          <w:lang w:eastAsia="pt-BR"/>
        </w:rPr>
        <w:t>Índices Gerais de Preços</w:t>
      </w:r>
      <w:r w:rsidRPr="00E17FA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 (IGPs) registram a inflação de preços desde matérias primas agrícolas e industriais até bens e serviços finais</w:t>
      </w:r>
    </w:p>
    <w:p w14:paraId="5B01C898" w14:textId="77777777" w:rsidR="00E17FAC" w:rsidRDefault="00E17FAC" w:rsidP="00E17FAC">
      <w:pPr>
        <w:pStyle w:val="NormalWeb"/>
        <w:rPr>
          <w:rFonts w:ascii="Arial" w:hAnsi="Arial" w:cs="Arial"/>
          <w:color w:val="333333"/>
          <w:spacing w:val="-2"/>
          <w:sz w:val="21"/>
          <w:szCs w:val="21"/>
        </w:rPr>
      </w:pPr>
      <w:r>
        <w:rPr>
          <w:rFonts w:ascii="Arial" w:hAnsi="Arial" w:cs="Arial"/>
          <w:color w:val="333333"/>
          <w:spacing w:val="-2"/>
          <w:sz w:val="21"/>
          <w:szCs w:val="21"/>
        </w:rPr>
        <w:t xml:space="preserve">Os IGPs são compostos pelos índices IPA (índice de preços por atacado), o IPC (índice de preços ao consumidor) e o INCC (índice nacional de custos da construção), com </w:t>
      </w:r>
      <w:proofErr w:type="spellStart"/>
      <w:r>
        <w:rPr>
          <w:rFonts w:ascii="Arial" w:hAnsi="Arial" w:cs="Arial"/>
          <w:color w:val="333333"/>
          <w:spacing w:val="-2"/>
          <w:sz w:val="21"/>
          <w:szCs w:val="21"/>
        </w:rPr>
        <w:t>poderações</w:t>
      </w:r>
      <w:proofErr w:type="spellEnd"/>
      <w:r>
        <w:rPr>
          <w:rFonts w:ascii="Arial" w:hAnsi="Arial" w:cs="Arial"/>
          <w:color w:val="333333"/>
          <w:spacing w:val="-2"/>
          <w:sz w:val="21"/>
          <w:szCs w:val="21"/>
        </w:rPr>
        <w:t xml:space="preserve"> de 60%, 30% e 10% respectivamente.</w:t>
      </w:r>
    </w:p>
    <w:p w14:paraId="6E79574B" w14:textId="77777777" w:rsidR="00E17FAC" w:rsidRDefault="00E17FAC" w:rsidP="00E17FAC">
      <w:pPr>
        <w:pStyle w:val="NormalWeb"/>
        <w:rPr>
          <w:rFonts w:ascii="Arial" w:hAnsi="Arial" w:cs="Arial"/>
          <w:color w:val="333333"/>
          <w:spacing w:val="-2"/>
          <w:sz w:val="21"/>
          <w:szCs w:val="21"/>
        </w:rPr>
      </w:pPr>
      <w:hyperlink r:id="rId5" w:history="1">
        <w:r>
          <w:rPr>
            <w:rStyle w:val="Hyperlink"/>
            <w:rFonts w:ascii="Arial" w:hAnsi="Arial" w:cs="Arial"/>
            <w:color w:val="0193F7"/>
            <w:spacing w:val="-2"/>
            <w:sz w:val="21"/>
            <w:szCs w:val="21"/>
          </w:rPr>
          <w:t>Histórico IPCA</w:t>
        </w:r>
      </w:hyperlink>
    </w:p>
    <w:p w14:paraId="4016BD8D" w14:textId="77777777" w:rsidR="00E17FAC" w:rsidRDefault="00E17FAC" w:rsidP="00E17FAC">
      <w:pPr>
        <w:pStyle w:val="NormalWeb"/>
        <w:rPr>
          <w:rFonts w:ascii="Arial" w:hAnsi="Arial" w:cs="Arial"/>
          <w:color w:val="333333"/>
          <w:spacing w:val="-2"/>
          <w:sz w:val="21"/>
          <w:szCs w:val="21"/>
        </w:rPr>
      </w:pPr>
      <w:hyperlink r:id="rId6" w:anchor="plano-real-mes" w:history="1">
        <w:r>
          <w:rPr>
            <w:rStyle w:val="Hyperlink"/>
            <w:rFonts w:ascii="Arial" w:hAnsi="Arial" w:cs="Arial"/>
            <w:color w:val="0193F7"/>
            <w:spacing w:val="-2"/>
            <w:sz w:val="21"/>
            <w:szCs w:val="21"/>
          </w:rPr>
          <w:t>Histórico IPCA mensal</w:t>
        </w:r>
      </w:hyperlink>
    </w:p>
    <w:p w14:paraId="437293E1" w14:textId="77777777" w:rsidR="00E17FAC" w:rsidRDefault="00E17FAC" w:rsidP="00E17FAC">
      <w:pPr>
        <w:pStyle w:val="Ttulo2"/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  <w:t>3. Taxa Nominal e Efetiva</w:t>
      </w:r>
    </w:p>
    <w:p w14:paraId="1D9FE76C" w14:textId="77777777" w:rsidR="00E17FAC" w:rsidRDefault="00E17FAC" w:rsidP="00E17FAC">
      <w:pPr>
        <w:pStyle w:val="NormalWeb"/>
        <w:rPr>
          <w:rFonts w:ascii="Arial" w:hAnsi="Arial" w:cs="Arial"/>
          <w:color w:val="333333"/>
          <w:spacing w:val="-2"/>
          <w:sz w:val="21"/>
          <w:szCs w:val="21"/>
        </w:rPr>
      </w:pPr>
      <w:r>
        <w:rPr>
          <w:rFonts w:ascii="Arial" w:hAnsi="Arial" w:cs="Arial"/>
          <w:color w:val="333333"/>
          <w:spacing w:val="-2"/>
          <w:sz w:val="21"/>
          <w:szCs w:val="21"/>
        </w:rPr>
        <w:t>A </w:t>
      </w:r>
      <w:r>
        <w:rPr>
          <w:rStyle w:val="Forte"/>
          <w:rFonts w:ascii="Arial" w:hAnsi="Arial" w:cs="Arial"/>
          <w:color w:val="333333"/>
          <w:spacing w:val="-2"/>
          <w:sz w:val="21"/>
          <w:szCs w:val="21"/>
        </w:rPr>
        <w:t>taxa nominal</w:t>
      </w:r>
      <w:r>
        <w:rPr>
          <w:rFonts w:ascii="Arial" w:hAnsi="Arial" w:cs="Arial"/>
          <w:color w:val="333333"/>
          <w:spacing w:val="-2"/>
          <w:sz w:val="21"/>
          <w:szCs w:val="21"/>
        </w:rPr>
        <w:t> de juros contempla os efeitos da inflação. Ela representa o valor que será pago ao final do período analisado.</w:t>
      </w:r>
    </w:p>
    <w:p w14:paraId="1A7DD50E" w14:textId="77777777" w:rsidR="00E17FAC" w:rsidRDefault="00E17FAC" w:rsidP="00E17FAC">
      <w:pPr>
        <w:pStyle w:val="NormalWeb"/>
        <w:rPr>
          <w:rFonts w:ascii="Arial" w:hAnsi="Arial" w:cs="Arial"/>
          <w:color w:val="333333"/>
          <w:spacing w:val="-2"/>
          <w:sz w:val="21"/>
          <w:szCs w:val="21"/>
        </w:rPr>
      </w:pPr>
      <w:r>
        <w:rPr>
          <w:rFonts w:ascii="Arial" w:hAnsi="Arial" w:cs="Arial"/>
          <w:color w:val="333333"/>
          <w:spacing w:val="-2"/>
          <w:sz w:val="21"/>
          <w:szCs w:val="21"/>
        </w:rPr>
        <w:t>Em contratos como empréstimos, ela é calculada levando em consideração além da inflação o spread comercial da operação e o risco de crédito com tomador.</w:t>
      </w:r>
    </w:p>
    <w:p w14:paraId="6863441D" w14:textId="77777777" w:rsidR="00E17FAC" w:rsidRDefault="00E17FAC" w:rsidP="00E17FAC">
      <w:pPr>
        <w:pStyle w:val="NormalWeb"/>
        <w:rPr>
          <w:rFonts w:ascii="Arial" w:hAnsi="Arial" w:cs="Arial"/>
          <w:color w:val="333333"/>
          <w:spacing w:val="-2"/>
          <w:sz w:val="21"/>
          <w:szCs w:val="21"/>
        </w:rPr>
      </w:pPr>
      <w:r>
        <w:rPr>
          <w:rFonts w:ascii="Arial" w:hAnsi="Arial" w:cs="Arial"/>
          <w:color w:val="333333"/>
          <w:spacing w:val="-2"/>
          <w:sz w:val="21"/>
          <w:szCs w:val="21"/>
        </w:rPr>
        <w:lastRenderedPageBreak/>
        <w:t>A </w:t>
      </w:r>
      <w:r>
        <w:rPr>
          <w:rStyle w:val="Forte"/>
          <w:rFonts w:ascii="Arial" w:hAnsi="Arial" w:cs="Arial"/>
          <w:color w:val="333333"/>
          <w:spacing w:val="-2"/>
          <w:sz w:val="21"/>
          <w:szCs w:val="21"/>
        </w:rPr>
        <w:t>taxa real</w:t>
      </w:r>
      <w:r>
        <w:rPr>
          <w:rFonts w:ascii="Arial" w:hAnsi="Arial" w:cs="Arial"/>
          <w:color w:val="333333"/>
          <w:spacing w:val="-2"/>
          <w:sz w:val="21"/>
          <w:szCs w:val="21"/>
        </w:rPr>
        <w:t> de juros, não tem o efeito inflacionário, por isso ela tende a ser menor que a taxa nominal. Ela representa o quanto de fato será valorizado acima da inflação.</w:t>
      </w:r>
    </w:p>
    <w:p w14:paraId="73951F84" w14:textId="21DCFC5A" w:rsidR="00E17FAC" w:rsidRDefault="00E17FAC">
      <w:pPr>
        <w:rPr>
          <w:rFonts w:ascii="Arial" w:hAnsi="Arial" w:cs="Arial"/>
          <w:color w:val="333333"/>
          <w:spacing w:val="-2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333333"/>
          <w:spacing w:val="-2"/>
          <w:sz w:val="21"/>
          <w:szCs w:val="21"/>
          <w:shd w:val="clear" w:color="auto" w:fill="EEEEEE"/>
        </w:rPr>
        <w:t>A taxa de inflação pode ser dada pela diferença entre a taxa de juros real e nominal.</w:t>
      </w:r>
    </w:p>
    <w:p w14:paraId="35C9D460" w14:textId="1AE52BE3" w:rsidR="00E17FAC" w:rsidRDefault="00E17FAC">
      <w:pPr>
        <w:rPr>
          <w:rFonts w:ascii="Arial" w:hAnsi="Arial" w:cs="Arial"/>
          <w:color w:val="333333"/>
          <w:spacing w:val="-2"/>
          <w:sz w:val="21"/>
          <w:szCs w:val="21"/>
          <w:shd w:val="clear" w:color="auto" w:fill="EEEEEE"/>
        </w:rPr>
      </w:pPr>
    </w:p>
    <w:p w14:paraId="64D1621A" w14:textId="4FAD79F4" w:rsidR="00E17FAC" w:rsidRDefault="00E17FAC">
      <w:pPr>
        <w:rPr>
          <w:rFonts w:ascii="Arial" w:hAnsi="Arial" w:cs="Arial"/>
          <w:color w:val="333333"/>
          <w:spacing w:val="-2"/>
          <w:sz w:val="21"/>
          <w:szCs w:val="21"/>
          <w:shd w:val="clear" w:color="auto" w:fill="EEEEEE"/>
        </w:rPr>
      </w:pPr>
    </w:p>
    <w:p w14:paraId="4D2C5ECE" w14:textId="7ECD04DE" w:rsidR="00E17FAC" w:rsidRDefault="00E17FAC">
      <w:r>
        <w:rPr>
          <w:noProof/>
        </w:rPr>
        <w:drawing>
          <wp:inline distT="0" distB="0" distL="0" distR="0" wp14:anchorId="0F61D07D" wp14:editId="6E2E5E7B">
            <wp:extent cx="5398770" cy="850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B52F" w14:textId="539A5600" w:rsidR="00E17FAC" w:rsidRDefault="00E17FAC"/>
    <w:p w14:paraId="62E20F25" w14:textId="156BF3C8" w:rsidR="00E17FAC" w:rsidRDefault="00E17FAC"/>
    <w:p w14:paraId="0EF68C68" w14:textId="77777777" w:rsidR="00E17FAC" w:rsidRPr="00E17FAC" w:rsidRDefault="00E17FAC" w:rsidP="00E17F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b/>
          <w:bCs/>
          <w:color w:val="333333"/>
          <w:spacing w:val="-2"/>
          <w:sz w:val="21"/>
          <w:szCs w:val="21"/>
          <w:lang w:eastAsia="pt-BR"/>
        </w:rPr>
        <w:t>Exemplo 1</w:t>
      </w:r>
    </w:p>
    <w:p w14:paraId="23751932" w14:textId="77777777" w:rsidR="00E17FAC" w:rsidRPr="00E17FAC" w:rsidRDefault="00E17FAC" w:rsidP="00E17F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E17FAC">
        <w:rPr>
          <w:rFonts w:ascii="Arial" w:eastAsia="Times New Roman" w:hAnsi="Arial" w:cs="Arial"/>
          <w:i/>
          <w:iCs/>
          <w:color w:val="333333"/>
          <w:spacing w:val="-2"/>
          <w:sz w:val="21"/>
          <w:szCs w:val="21"/>
          <w:lang w:eastAsia="pt-BR"/>
        </w:rPr>
        <w:t>Imagine que você investiu R$ 100 mil a uma taxa de 10%, por um ano. Nesse período a inflação foi de 5% Dá para dizer que você ficou 10% mais rico?</w:t>
      </w:r>
    </w:p>
    <w:p w14:paraId="6974045D" w14:textId="5E545B78" w:rsidR="00E17FAC" w:rsidRDefault="00E17FAC"/>
    <w:p w14:paraId="6545EF4C" w14:textId="21EE9B9F" w:rsidR="00E17FAC" w:rsidRDefault="00E17FAC">
      <w:r>
        <w:rPr>
          <w:noProof/>
        </w:rPr>
        <w:drawing>
          <wp:inline distT="0" distB="0" distL="0" distR="0" wp14:anchorId="25184CB5" wp14:editId="30DE2ACC">
            <wp:extent cx="4110990" cy="1725295"/>
            <wp:effectExtent l="0" t="0" r="381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DA5B" w14:textId="23F806CC" w:rsidR="00E17FAC" w:rsidRDefault="00E17FAC"/>
    <w:p w14:paraId="7D297754" w14:textId="3AD3CCB3" w:rsidR="00E17FAC" w:rsidRDefault="00E17FAC"/>
    <w:p w14:paraId="5F068343" w14:textId="77777777" w:rsidR="00E17FAC" w:rsidRDefault="00E17FAC" w:rsidP="00E17FAC">
      <w:pPr>
        <w:pStyle w:val="NormalWeb"/>
        <w:rPr>
          <w:rFonts w:ascii="Arial" w:hAnsi="Arial" w:cs="Arial"/>
          <w:color w:val="333333"/>
          <w:spacing w:val="-2"/>
          <w:sz w:val="21"/>
          <w:szCs w:val="21"/>
        </w:rPr>
      </w:pPr>
      <w:r>
        <w:rPr>
          <w:rFonts w:ascii="Arial" w:hAnsi="Arial" w:cs="Arial"/>
          <w:color w:val="333333"/>
          <w:spacing w:val="-2"/>
          <w:sz w:val="21"/>
          <w:szCs w:val="21"/>
        </w:rPr>
        <w:t>A taxa real do rendimento no período foi de 4,76%.</w:t>
      </w:r>
    </w:p>
    <w:p w14:paraId="17E68599" w14:textId="77777777" w:rsidR="00E17FAC" w:rsidRDefault="00E17FAC" w:rsidP="00E17FAC">
      <w:pPr>
        <w:pStyle w:val="Ttulo2"/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  <w:t>4. Taxa Básica de Juros</w:t>
      </w:r>
    </w:p>
    <w:p w14:paraId="019FF369" w14:textId="77777777" w:rsidR="00E17FAC" w:rsidRDefault="00E17FAC" w:rsidP="00E17FAC">
      <w:pPr>
        <w:pStyle w:val="NormalWeb"/>
        <w:rPr>
          <w:rFonts w:ascii="Arial" w:hAnsi="Arial" w:cs="Arial"/>
          <w:color w:val="333333"/>
          <w:spacing w:val="-2"/>
          <w:sz w:val="21"/>
          <w:szCs w:val="21"/>
        </w:rPr>
      </w:pPr>
      <w:r>
        <w:rPr>
          <w:rFonts w:ascii="Arial" w:hAnsi="Arial" w:cs="Arial"/>
          <w:color w:val="333333"/>
          <w:spacing w:val="-2"/>
          <w:sz w:val="21"/>
          <w:szCs w:val="21"/>
        </w:rPr>
        <w:t>A Taxa Meta Selic, também é conhecida como taxa básica de juros. É a taxa oficial de juros brasileira, definida pelo Conselho Monetário Nacional (CMN) no Comitê de Política Monetária (COPOM), que ocorre a cada 45 dias.</w:t>
      </w:r>
    </w:p>
    <w:p w14:paraId="6A60BA2E" w14:textId="7049B8CA" w:rsidR="00E17FAC" w:rsidRDefault="00E17FAC"/>
    <w:p w14:paraId="57431FAF" w14:textId="47ED97A1" w:rsidR="00E17FAC" w:rsidRDefault="00E17FAC">
      <w:r>
        <w:lastRenderedPageBreak/>
        <w:t xml:space="preserve">                                          </w:t>
      </w:r>
      <w:r>
        <w:rPr>
          <w:noProof/>
        </w:rPr>
        <w:drawing>
          <wp:inline distT="0" distB="0" distL="0" distR="0" wp14:anchorId="6C2DBEE1" wp14:editId="7B7789B3">
            <wp:extent cx="5398770" cy="4484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D2DC" w14:textId="59942D2F" w:rsidR="00E17FAC" w:rsidRDefault="00E17FAC"/>
    <w:p w14:paraId="24963706" w14:textId="31C99794" w:rsidR="00E17FAC" w:rsidRDefault="00E17FAC"/>
    <w:p w14:paraId="1DC8DDA9" w14:textId="78A00636" w:rsidR="00E17FAC" w:rsidRDefault="00FE00EC">
      <w:pPr>
        <w:rPr>
          <w:rFonts w:ascii="Arial" w:hAnsi="Arial" w:cs="Arial"/>
          <w:color w:val="333333"/>
          <w:spacing w:val="-2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333333"/>
          <w:spacing w:val="-2"/>
          <w:sz w:val="21"/>
          <w:szCs w:val="21"/>
          <w:shd w:val="clear" w:color="auto" w:fill="EEEEEE"/>
        </w:rPr>
        <w:t>Além disso, ela foi criada no Brasil em março de 1999 e é considerada a taxa que ajuda controlar a inflação. Quando a inflação cresce, o governo aumenta a taxa Meta Selic. Com isso, ele induz a redução do consumo (uma vez que vale mais a pena manter e aplicar seu dinheiro do que gastá-lo comprando bens de consumo). Com a redução de demanda, os preços tendem a cair e, portanto, a inflação tende a cair.</w:t>
      </w:r>
    </w:p>
    <w:p w14:paraId="2E1B4EC6" w14:textId="68A9DB9E" w:rsidR="00FE00EC" w:rsidRDefault="00FE00EC">
      <w:pPr>
        <w:rPr>
          <w:rFonts w:ascii="Arial" w:hAnsi="Arial" w:cs="Arial"/>
          <w:color w:val="333333"/>
          <w:spacing w:val="-2"/>
          <w:sz w:val="21"/>
          <w:szCs w:val="21"/>
          <w:shd w:val="clear" w:color="auto" w:fill="EEEEEE"/>
        </w:rPr>
      </w:pPr>
    </w:p>
    <w:p w14:paraId="575B267F" w14:textId="213A8F3D" w:rsidR="00FE00EC" w:rsidRDefault="00FE00EC">
      <w:r>
        <w:rPr>
          <w:noProof/>
        </w:rPr>
        <w:lastRenderedPageBreak/>
        <w:drawing>
          <wp:inline distT="0" distB="0" distL="0" distR="0" wp14:anchorId="22381F48" wp14:editId="4E8D9A4A">
            <wp:extent cx="5398770" cy="5112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D559" w14:textId="3EDEA08A" w:rsidR="00FE00EC" w:rsidRDefault="00FE00EC"/>
    <w:p w14:paraId="7DC1A186" w14:textId="085E9841" w:rsidR="00FE00EC" w:rsidRDefault="00FE00EC"/>
    <w:p w14:paraId="3003B1C8" w14:textId="18C81A07" w:rsidR="00FE00EC" w:rsidRDefault="00FE00EC"/>
    <w:p w14:paraId="5FA55203" w14:textId="77777777" w:rsidR="00FE00EC" w:rsidRPr="00FE00EC" w:rsidRDefault="00FE00EC" w:rsidP="00FE00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hyperlink r:id="rId11" w:history="1">
        <w:r w:rsidRPr="00FE00EC">
          <w:rPr>
            <w:rFonts w:ascii="Arial" w:eastAsia="Times New Roman" w:hAnsi="Arial" w:cs="Arial"/>
            <w:color w:val="0193F7"/>
            <w:spacing w:val="-2"/>
            <w:sz w:val="21"/>
            <w:szCs w:val="21"/>
            <w:lang w:eastAsia="pt-BR"/>
          </w:rPr>
          <w:t>Histórico da meta de inflação</w:t>
        </w:r>
      </w:hyperlink>
    </w:p>
    <w:p w14:paraId="6448399E" w14:textId="77777777" w:rsidR="00FE00EC" w:rsidRPr="00FE00EC" w:rsidRDefault="00FE00EC" w:rsidP="00FE00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Outro conceito relacionado à taxa básica de juros se refere ao risco das operações. A taxa básica de juros é considerada a </w:t>
      </w:r>
      <w:r w:rsidRPr="00FE00EC">
        <w:rPr>
          <w:rFonts w:ascii="Arial" w:eastAsia="Times New Roman" w:hAnsi="Arial" w:cs="Arial"/>
          <w:b/>
          <w:bCs/>
          <w:color w:val="333333"/>
          <w:spacing w:val="-2"/>
          <w:sz w:val="21"/>
          <w:szCs w:val="21"/>
          <w:lang w:eastAsia="pt-BR"/>
        </w:rPr>
        <w:t>taxa livre de risco</w:t>
      </w:r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 (</w:t>
      </w:r>
      <w:proofErr w:type="spellStart"/>
      <w:r w:rsidRPr="00FE00EC">
        <w:rPr>
          <w:rFonts w:ascii="Arial" w:eastAsia="Times New Roman" w:hAnsi="Arial" w:cs="Arial"/>
          <w:i/>
          <w:iCs/>
          <w:color w:val="333333"/>
          <w:spacing w:val="-2"/>
          <w:sz w:val="21"/>
          <w:szCs w:val="21"/>
          <w:lang w:eastAsia="pt-BR"/>
        </w:rPr>
        <w:t>risk</w:t>
      </w:r>
      <w:proofErr w:type="spellEnd"/>
      <w:r w:rsidRPr="00FE00EC">
        <w:rPr>
          <w:rFonts w:ascii="Arial" w:eastAsia="Times New Roman" w:hAnsi="Arial" w:cs="Arial"/>
          <w:i/>
          <w:iCs/>
          <w:color w:val="333333"/>
          <w:spacing w:val="-2"/>
          <w:sz w:val="21"/>
          <w:szCs w:val="21"/>
          <w:lang w:eastAsia="pt-BR"/>
        </w:rPr>
        <w:t xml:space="preserve"> </w:t>
      </w:r>
      <w:proofErr w:type="spellStart"/>
      <w:r w:rsidRPr="00FE00EC">
        <w:rPr>
          <w:rFonts w:ascii="Arial" w:eastAsia="Times New Roman" w:hAnsi="Arial" w:cs="Arial"/>
          <w:i/>
          <w:iCs/>
          <w:color w:val="333333"/>
          <w:spacing w:val="-2"/>
          <w:sz w:val="21"/>
          <w:szCs w:val="21"/>
          <w:lang w:eastAsia="pt-BR"/>
        </w:rPr>
        <w:t>free</w:t>
      </w:r>
      <w:proofErr w:type="spellEnd"/>
      <w:r w:rsidRPr="00FE00EC">
        <w:rPr>
          <w:rFonts w:ascii="Arial" w:eastAsia="Times New Roman" w:hAnsi="Arial" w:cs="Arial"/>
          <w:i/>
          <w:iCs/>
          <w:color w:val="333333"/>
          <w:spacing w:val="-2"/>
          <w:sz w:val="21"/>
          <w:szCs w:val="21"/>
          <w:lang w:eastAsia="pt-BR"/>
        </w:rPr>
        <w:t xml:space="preserve"> rate</w:t>
      </w:r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), pois representa apenas a valorização mínima do dinheiro no tempo, desconsiderando </w:t>
      </w:r>
      <w:r w:rsidRPr="00FE00EC">
        <w:rPr>
          <w:rFonts w:ascii="Arial" w:eastAsia="Times New Roman" w:hAnsi="Arial" w:cs="Arial"/>
          <w:i/>
          <w:iCs/>
          <w:color w:val="333333"/>
          <w:spacing w:val="-2"/>
          <w:sz w:val="21"/>
          <w:szCs w:val="21"/>
          <w:lang w:eastAsia="pt-BR"/>
        </w:rPr>
        <w:t>spreads</w:t>
      </w:r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 comerciais e de risco de crédito.</w:t>
      </w:r>
    </w:p>
    <w:p w14:paraId="41D75E41" w14:textId="77777777" w:rsidR="00FE00EC" w:rsidRPr="00FE00EC" w:rsidRDefault="00FE00EC" w:rsidP="00FE00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pacing w:val="-2"/>
          <w:sz w:val="30"/>
          <w:szCs w:val="30"/>
          <w:lang w:eastAsia="pt-BR"/>
        </w:rPr>
      </w:pPr>
      <w:r w:rsidRPr="00FE00EC">
        <w:rPr>
          <w:rFonts w:ascii="Arial" w:eastAsia="Times New Roman" w:hAnsi="Arial" w:cs="Arial"/>
          <w:color w:val="333333"/>
          <w:spacing w:val="-2"/>
          <w:sz w:val="30"/>
          <w:szCs w:val="30"/>
          <w:lang w:eastAsia="pt-BR"/>
        </w:rPr>
        <w:t>Exercícios</w:t>
      </w:r>
    </w:p>
    <w:p w14:paraId="7E47C71D" w14:textId="77777777" w:rsidR="00FE00EC" w:rsidRPr="00FE00EC" w:rsidRDefault="00FE00EC" w:rsidP="00FE0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Lista 1 - Taxa nominal e efetiva</w:t>
      </w:r>
    </w:p>
    <w:p w14:paraId="22AEAC22" w14:textId="77777777" w:rsidR="00FE00EC" w:rsidRPr="00FE00EC" w:rsidRDefault="00FE00EC" w:rsidP="00FE0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Lista 2 - Política monetária</w:t>
      </w:r>
    </w:p>
    <w:p w14:paraId="220E4CED" w14:textId="77777777" w:rsidR="00FE00EC" w:rsidRPr="00FE00EC" w:rsidRDefault="00FE00EC" w:rsidP="00FE00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pacing w:val="-2"/>
          <w:sz w:val="30"/>
          <w:szCs w:val="30"/>
          <w:lang w:eastAsia="pt-BR"/>
        </w:rPr>
      </w:pPr>
      <w:r w:rsidRPr="00FE00EC">
        <w:rPr>
          <w:rFonts w:ascii="Arial" w:eastAsia="Times New Roman" w:hAnsi="Arial" w:cs="Arial"/>
          <w:color w:val="333333"/>
          <w:spacing w:val="-2"/>
          <w:sz w:val="30"/>
          <w:szCs w:val="30"/>
          <w:lang w:eastAsia="pt-BR"/>
        </w:rPr>
        <w:t>Referências</w:t>
      </w:r>
    </w:p>
    <w:p w14:paraId="19A9D8E5" w14:textId="77777777" w:rsidR="00FE00EC" w:rsidRPr="00FE00EC" w:rsidRDefault="00FE00EC" w:rsidP="00FE0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NETO ASSAF, Alexandre. Matemática Financeira e suas Aplicações, Editora Atlas, 12ªedição, 2012.</w:t>
      </w:r>
    </w:p>
    <w:p w14:paraId="23F296E5" w14:textId="77777777" w:rsidR="00FE00EC" w:rsidRPr="00FE00EC" w:rsidRDefault="00FE00EC" w:rsidP="00FE0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lastRenderedPageBreak/>
        <w:t xml:space="preserve">Menezes, Marcio de. Matemática </w:t>
      </w:r>
      <w:proofErr w:type="gramStart"/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Financeira .</w:t>
      </w:r>
      <w:proofErr w:type="spellStart"/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IesdeBrasil</w:t>
      </w:r>
      <w:proofErr w:type="spellEnd"/>
      <w:proofErr w:type="gramEnd"/>
      <w:r w:rsidRPr="00FE00EC"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  <w:t>, 2009.</w:t>
      </w:r>
    </w:p>
    <w:p w14:paraId="2C939088" w14:textId="77777777" w:rsidR="00FE00EC" w:rsidRPr="00FE00EC" w:rsidRDefault="00FE00EC" w:rsidP="00FE0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hyperlink r:id="rId12" w:history="1">
        <w:r w:rsidRPr="00FE00EC">
          <w:rPr>
            <w:rFonts w:ascii="Arial" w:eastAsia="Times New Roman" w:hAnsi="Arial" w:cs="Arial"/>
            <w:color w:val="0193F7"/>
            <w:spacing w:val="-2"/>
            <w:sz w:val="21"/>
            <w:szCs w:val="21"/>
            <w:lang w:eastAsia="pt-BR"/>
          </w:rPr>
          <w:t>IBGE Explica: Inflação</w:t>
        </w:r>
      </w:hyperlink>
    </w:p>
    <w:p w14:paraId="341C73DE" w14:textId="77777777" w:rsidR="00FE00EC" w:rsidRPr="00FE00EC" w:rsidRDefault="00FE00EC" w:rsidP="00FE0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2"/>
          <w:sz w:val="21"/>
          <w:szCs w:val="21"/>
          <w:lang w:eastAsia="pt-BR"/>
        </w:rPr>
      </w:pPr>
      <w:hyperlink r:id="rId13" w:history="1">
        <w:r w:rsidRPr="00FE00EC">
          <w:rPr>
            <w:rFonts w:ascii="Arial" w:eastAsia="Times New Roman" w:hAnsi="Arial" w:cs="Arial"/>
            <w:color w:val="0193F7"/>
            <w:spacing w:val="-2"/>
            <w:sz w:val="21"/>
            <w:szCs w:val="21"/>
            <w:lang w:eastAsia="pt-BR"/>
          </w:rPr>
          <w:t>Banco Central: O que é inflação</w:t>
        </w:r>
      </w:hyperlink>
    </w:p>
    <w:p w14:paraId="4F9B4640" w14:textId="77777777" w:rsidR="00FE00EC" w:rsidRDefault="00FE00EC"/>
    <w:sectPr w:rsidR="00FE0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C8B"/>
    <w:multiLevelType w:val="multilevel"/>
    <w:tmpl w:val="DD1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7EA"/>
    <w:multiLevelType w:val="multilevel"/>
    <w:tmpl w:val="520A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22190"/>
    <w:multiLevelType w:val="multilevel"/>
    <w:tmpl w:val="96C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E3CC0"/>
    <w:multiLevelType w:val="multilevel"/>
    <w:tmpl w:val="A4B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8C"/>
    <w:rsid w:val="0019668C"/>
    <w:rsid w:val="00E17FAC"/>
    <w:rsid w:val="00FE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BDB8"/>
  <w15:chartTrackingRefBased/>
  <w15:docId w15:val="{5EC2EE51-3D99-418B-88D8-4C41B5F4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17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17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7F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17F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7FA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17FA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17F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cb.gov.br/controleinflacao/oqueinflaca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bge.gov.br/explica/inflaca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ge.gov.br/estatisticas/economicas/precos-e-custos/9256-indice-nacional-de-precos-ao-consumidor-amplo.html?t=series-historicas&amp;utm_source=landing&amp;utm_medium=explica&amp;utm_campaign=inflacao" TargetMode="External"/><Relationship Id="rId11" Type="http://schemas.openxmlformats.org/officeDocument/2006/relationships/hyperlink" Target="https://www.bcb.gov.br/controleinflacao/historicometas" TargetMode="External"/><Relationship Id="rId5" Type="http://schemas.openxmlformats.org/officeDocument/2006/relationships/hyperlink" Target="https://www.idinheiro.com.br/tabelas/tabela-ipca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Nascimento</dc:creator>
  <cp:keywords/>
  <dc:description/>
  <cp:lastModifiedBy>Carlos Eduardo Nascimento</cp:lastModifiedBy>
  <cp:revision>2</cp:revision>
  <dcterms:created xsi:type="dcterms:W3CDTF">2021-11-26T18:54:00Z</dcterms:created>
  <dcterms:modified xsi:type="dcterms:W3CDTF">2021-11-27T01:04:00Z</dcterms:modified>
</cp:coreProperties>
</file>