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60.png" ContentType="image/png"/>
  <Override PartName="/word/media/rId61.png" ContentType="image/png"/>
  <Override PartName="/word/media/rId62.png" ContentType="image/png"/>
  <Override PartName="/word/media/rId63.png" ContentType="image/png"/>
  <Override PartName="/word/media/rId64.png" ContentType="image/png"/>
  <Override PartName="/word/media/rId65.png" ContentType="image/png"/>
  <Override PartName="/word/media/rId6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pre-registered,</w:t>
      </w:r>
      <w:r>
        <w:t xml:space="preserve"> </w:t>
      </w:r>
      <w:r>
        <w:t xml:space="preserve">temporally</w:t>
      </w:r>
      <w:r>
        <w:t xml:space="preserve"> </w:t>
      </w:r>
      <w:r>
        <w:t xml:space="preserve">validated</w:t>
      </w:r>
      <w:r>
        <w:t xml:space="preserve"> </w:t>
      </w:r>
      <w:r>
        <w:t xml:space="preserve">evaluation</w:t>
      </w:r>
      <w:r>
        <w:t xml:space="preserve"> </w:t>
      </w:r>
      <w:r>
        <w:t xml:space="preserve">of</w:t>
      </w:r>
      <w:r>
        <w:t xml:space="preserve"> </w:t>
      </w:r>
      <w:r>
        <w:t xml:space="preserve">co-essentiality</w:t>
      </w:r>
      <w:r>
        <w:t xml:space="preserve"> </w:t>
      </w:r>
      <w:r>
        <w:t xml:space="preserve">function</w:t>
      </w:r>
      <w:r>
        <w:t xml:space="preserve"> </w:t>
      </w:r>
      <w:r>
        <w:t xml:space="preserve">predictions</w:t>
      </w:r>
      <w:r>
        <w:t xml:space="preserve"> </w:t>
      </w:r>
      <w:r>
        <w:t xml:space="preserve">for</w:t>
      </w:r>
      <w:r>
        <w:t xml:space="preserve"> </w:t>
      </w:r>
      <w:r>
        <w:t xml:space="preserve">uncharacterised</w:t>
      </w:r>
      <w:r>
        <w:t xml:space="preserve"> </w:t>
      </w:r>
      <w:r>
        <w:t xml:space="preserve">human</w:t>
      </w:r>
      <w:r>
        <w:t xml:space="preserve"> </w:t>
      </w:r>
      <w:r>
        <w:t xml:space="preserve">genes:</w:t>
      </w:r>
      <w:r>
        <w:t xml:space="preserve"> </w:t>
      </w:r>
      <w:r>
        <w:t xml:space="preserve">modest</w:t>
      </w:r>
      <w:r>
        <w:t xml:space="preserve"> </w:t>
      </w:r>
      <w:r>
        <w:t xml:space="preserve">accuracy,</w:t>
      </w:r>
      <w:r>
        <w:t xml:space="preserve"> </w:t>
      </w:r>
      <w:r>
        <w:t xml:space="preserve">narrow</w:t>
      </w:r>
      <w:r>
        <w:t xml:space="preserve"> </w:t>
      </w:r>
      <w:r>
        <w:t xml:space="preserve">reach</w:t>
      </w:r>
      <w:r>
        <w:t xml:space="preserve"> </w:t>
      </w:r>
      <w:r>
        <w:t xml:space="preserve">and</w:t>
      </w:r>
      <w:r>
        <w:t xml:space="preserve"> </w:t>
      </w:r>
      <w:r>
        <w:t xml:space="preserve">many</w:t>
      </w:r>
      <w:r>
        <w:t xml:space="preserve"> </w:t>
      </w:r>
      <w:r>
        <w:t xml:space="preserve">already-published</w:t>
      </w:r>
      <w:r>
        <w:t xml:space="preserve"> </w:t>
      </w:r>
      <w:r>
        <w:t xml:space="preserve">functions</w:t>
      </w:r>
    </w:p>
    <w:p>
      <w:pPr>
        <w:pStyle w:val="FirstParagraph"/>
      </w:pPr>
      <w:r>
        <w:rPr>
          <w:bCs/>
          <w:b/>
        </w:rPr>
        <w:t xml:space="preserve">Short title:</w:t>
      </w:r>
      <w:r>
        <w:t xml:space="preserve"> </w:t>
      </w:r>
      <w:r>
        <w:t xml:space="preserve">Pre-registered evaluation of co-essentiality predictions</w:t>
      </w:r>
    </w:p>
    <w:p>
      <w:pPr>
        <w:pStyle w:val="BodyText"/>
      </w:pPr>
      <w:r>
        <w:rPr>
          <w:bCs/>
          <w:b/>
        </w:rPr>
        <w:t xml:space="preserve">Authors:</w:t>
      </w:r>
      <w:r>
        <w:t xml:space="preserve"> </w:t>
      </w:r>
      <w:r>
        <w:t xml:space="preserve">[Human author(s), affiliations and ORCID iDs: to be completed by the human authors. Under PLOS policy AI</w:t>
      </w:r>
      <w:r>
        <w:t xml:space="preserve"> </w:t>
      </w:r>
      <w:r>
        <w:t xml:space="preserve">tools cannot be authors; the human author(s) named here take responsibility for the work.]</w:t>
      </w:r>
    </w:p>
    <w:p>
      <w:pPr>
        <w:pStyle w:val="BodyText"/>
      </w:pPr>
      <w:r>
        <w:rPr>
          <w:bCs/>
          <w:b/>
        </w:rPr>
        <w:t xml:space="preserve">Human oversight:</w:t>
      </w:r>
      <w:r>
        <w:t xml:space="preserve"> </w:t>
      </w:r>
      <w:r>
        <w:t xml:space="preserve">[Name, affiliation and role of the human who oversaw the study: to be completed by the human</w:t>
      </w:r>
      <w:r>
        <w:t xml:space="preserve"> </w:t>
      </w:r>
      <w:r>
        <w:t xml:space="preserve">authors.]</w:t>
      </w:r>
    </w:p>
    <w:p>
      <w:pPr>
        <w:pStyle w:val="BodyText"/>
      </w:pPr>
      <w:r>
        <w:rPr>
          <w:bCs/>
          <w:b/>
        </w:rPr>
        <w:t xml:space="preserve">Corresponding author:</w:t>
      </w:r>
      <w:r>
        <w:t xml:space="preserve"> </w:t>
      </w:r>
      <w:r>
        <w:t xml:space="preserve">[Name and e-mail: to be completed by the human authors.]</w:t>
      </w:r>
    </w:p>
    <w:bookmarkStart w:id="20" w:name="abstract"/>
    <w:p>
      <w:pPr>
        <w:pStyle w:val="Heading1"/>
      </w:pPr>
      <w:r>
        <w:t xml:space="preserve">Abstract</w:t>
      </w:r>
    </w:p>
    <w:p>
      <w:pPr>
        <w:pStyle w:val="FirstParagraph"/>
      </w:pPr>
      <w:r>
        <w:rPr>
          <w:bCs/>
          <w:b/>
        </w:rPr>
        <w:t xml:space="preserve">Background.</w:t>
      </w:r>
      <w:r>
        <w:t xml:space="preserve"> </w:t>
      </w:r>
      <w:r>
        <w:t xml:space="preserve">Co-essentiality in CRISPR screens suggests functions for uncharacterised human genes, but its accuracy</w:t>
      </w:r>
      <w:r>
        <w:t xml:space="preserve"> </w:t>
      </w:r>
      <w:r>
        <w:t xml:space="preserve">and reach have not been measured under a pre-registered, time-split design.</w:t>
      </w:r>
    </w:p>
    <w:p>
      <w:pPr>
        <w:pStyle w:val="BodyText"/>
      </w:pPr>
      <w:r>
        <w:rPr>
          <w:bCs/>
          <w:b/>
        </w:rPr>
        <w:t xml:space="preserve">Methods.</w:t>
      </w:r>
      <w:r>
        <w:t xml:space="preserve"> </w:t>
      </w:r>
      <w:r>
        <w:t xml:space="preserve">We pre-registered 4,924 uncharacterised genes and froze the</w:t>
      </w:r>
      <w:r>
        <w:t xml:space="preserve"> </w:t>
      </w:r>
      <w:r>
        <w:t xml:space="preserve">list and design before any gene–gene computation. We tested a co-essentiality method (zavg_BEF; DepMap 26Q3) on</w:t>
      </w:r>
      <w:r>
        <w:t xml:space="preserve"> </w:t>
      </w:r>
      <w:r>
        <w:t xml:space="preserve">809 genes uncharacterised in 2018 and annotated since, calibrated its scores</w:t>
      </w:r>
      <w:r>
        <w:t xml:space="preserve"> </w:t>
      </w:r>
      <w:r>
        <w:t xml:space="preserve">(p_cal), and judged top predictions against blindly retrieved literature, with decoys. AI agents ran the study.</w:t>
      </w:r>
    </w:p>
    <w:p>
      <w:pPr>
        <w:pStyle w:val="BodyText"/>
      </w:pPr>
      <w:r>
        <w:rPr>
          <w:bCs/>
          <w:b/>
        </w:rPr>
        <w:t xml:space="preserve">Results.</w:t>
      </w:r>
      <w:r>
        <w:t xml:space="preserve"> </w:t>
      </w:r>
      <w:r>
        <w:t xml:space="preserve">646 genes (13.1%) were</w:t>
      </w:r>
      <w:r>
        <w:t xml:space="preserve"> </w:t>
      </w:r>
      <w:r>
        <w:t xml:space="preserve">assessable; allowing for the test’s false-call rate, calls exceed the null expectation by about 243; under that assumption at least about 320 genes</w:t>
      </w:r>
      <w:r>
        <w:t xml:space="preserve"> </w:t>
      </w:r>
      <w:r>
        <w:t xml:space="preserve">(6.6%) carry real signal [post-review</w:t>
      </w:r>
      <w:r>
        <w:t xml:space="preserve"> </w:t>
      </w:r>
      <w:r>
        <w:t xml:space="preserve">exploratory]. Hold-out top-term precision was 0.030 (95% CI 0.018–0.043), above prior-only and matched-gene (0.005)</w:t>
      </w:r>
      <w:r>
        <w:t xml:space="preserve"> </w:t>
      </w:r>
      <w:r>
        <w:t xml:space="preserve">nulls and indistinguishable from GLS (difference +0.006, −0.005 to +0.017); it was 0.182 for complex membership, and 0.012 reweighted to</w:t>
      </w:r>
      <w:r>
        <w:t xml:space="preserve"> </w:t>
      </w:r>
      <w:r>
        <w:t xml:space="preserve">pre-registered genes. Homology transfer reached 0.218, and co-essentiality added 0.006 where homology made no prediction. Calibration was not detectably poor but rested on 24 events. Among 2,583 in-support genes, about</w:t>
      </w:r>
      <w:r>
        <w:t xml:space="preserve"> </w:t>
      </w:r>
      <w:r>
        <w:t xml:space="preserve">30.5 top terms should be confirmed if each gene is later annotated, and about 4.9 (2.2–8.1) if the 2018 cohort’s</w:t>
      </w:r>
      <w:r>
        <w:t xml:space="preserve"> </w:t>
      </w:r>
      <w:r>
        <w:t xml:space="preserve">annotation rate applies [post-review exploratory].</w:t>
      </w:r>
      <w:r>
        <w:t xml:space="preserve"> </w:t>
      </w:r>
      <w:r>
        <w:t xml:space="preserve">Judges supported 18 of the 40 top predictions (16 on the term alone) against 3 of 120 decoys, but 31 of these genes already had published functions</w:t>
      </w:r>
      <w:r>
        <w:t xml:space="preserve"> </w:t>
      </w:r>
      <w:r>
        <w:t xml:space="preserve">and 34 had links in earlier catalogues.</w:t>
      </w:r>
    </w:p>
    <w:p>
      <w:pPr>
        <w:pStyle w:val="BodyText"/>
      </w:pPr>
      <w:r>
        <w:rPr>
          <w:bCs/>
          <w:b/>
        </w:rPr>
        <w:t xml:space="preserve">Conclusions.</w:t>
      </w:r>
      <w:r>
        <w:t xml:space="preserve"> </w:t>
      </w:r>
      <w:r>
        <w:t xml:space="preserve">Co-essentiality gives specific, low-accuracy predictions that add little to homology. Many</w:t>
      </w:r>
      <w:r>
        <w:t xml:space="preserve"> </w:t>
      </w:r>
      <w:r>
        <w:t xml:space="preserve">“</w:t>
      </w:r>
      <w:r>
        <w:t xml:space="preserve">uncharacterised</w:t>
      </w:r>
      <w:r>
        <w:t xml:space="preserve">”</w:t>
      </w:r>
      <w:r>
        <w:t xml:space="preserve"> </w:t>
      </w:r>
      <w:r>
        <w:t xml:space="preserve">genes have published functions, partly because literature-based definitions miss genes studied mainly</w:t>
      </w:r>
      <w:r>
        <w:t xml:space="preserve"> </w:t>
      </w:r>
      <w:r>
        <w:t xml:space="preserve">in multi-gene papers, including, among our top candidates, many complex subunits. Of ten candidate reports, only PLEKHH3</w:t>
      </w:r>
      <w:r>
        <w:t xml:space="preserve"> </w:t>
      </w:r>
      <w:r>
        <w:t xml:space="preserve">(with PTEN and PLEKHA1) lacks a catalogue precedent, and it is a low-amplitude co-advantage signal not yet controlled</w:t>
      </w:r>
      <w:r>
        <w:t xml:space="preserve"> </w:t>
      </w:r>
      <w:r>
        <w:t xml:space="preserve">for lineage.</w:t>
      </w:r>
    </w:p>
    <w:bookmarkEnd w:id="20"/>
    <w:bookmarkStart w:id="21" w:name="author-summary"/>
    <w:p>
      <w:pPr>
        <w:pStyle w:val="Heading1"/>
      </w:pPr>
      <w:r>
        <w:t xml:space="preserve">Author summary</w:t>
      </w:r>
    </w:p>
    <w:p>
      <w:pPr>
        <w:pStyle w:val="FirstParagraph"/>
      </w:pPr>
      <w:r>
        <w:t xml:space="preserve">By the definition we used, about one human protein-coding gene in four (4,924 of 19,296) has no experimentally established function in the main annotation database</w:t>
      </w:r>
      <w:r>
        <w:t xml:space="preserve"> </w:t>
      </w:r>
      <w:r>
        <w:t xml:space="preserve">and was classed as little studied by our literature criterion; many such genes in fact have published functions.</w:t>
      </w:r>
      <w:r>
        <w:t xml:space="preserve"> </w:t>
      </w:r>
      <w:r>
        <w:t xml:space="preserve">One way to find clues is to look for genes whose loss harms the same cancer cell lines. Such</w:t>
      </w:r>
      <w:r>
        <w:t xml:space="preserve"> </w:t>
      </w:r>
      <w:r>
        <w:t xml:space="preserve">“</w:t>
      </w:r>
      <w:r>
        <w:t xml:space="preserve">co-essential</w:t>
      </w:r>
      <w:r>
        <w:t xml:space="preserve">”</w:t>
      </w:r>
      <w:r>
        <w:t xml:space="preserve"> </w:t>
      </w:r>
      <w:r>
        <w:t xml:space="preserve">genes often work together. Before looking at any co-essentiality data, we fixed the list of genes and</w:t>
      </w:r>
      <w:r>
        <w:t xml:space="preserve"> </w:t>
      </w:r>
      <w:r>
        <w:t xml:space="preserve">wrote down every analysis and decision rule. We then tested the method the way it would be used in practice: we</w:t>
      </w:r>
      <w:r>
        <w:t xml:space="preserve"> </w:t>
      </w:r>
      <w:r>
        <w:t xml:space="preserve">predicted functions for genes that were unknown in 2018 and checked the predictions against what scientists have</w:t>
      </w:r>
      <w:r>
        <w:t xml:space="preserve"> </w:t>
      </w:r>
      <w:r>
        <w:t xml:space="preserve">discovered since. The method beat chance, but rarely, and much less often than transferring knowledge from related</w:t>
      </w:r>
      <w:r>
        <w:t xml:space="preserve"> </w:t>
      </w:r>
      <w:r>
        <w:t xml:space="preserve">genes; other co-essentiality methods did as well. Its confidence scores were not detectably wrong, but they rest on few</w:t>
      </w:r>
      <w:r>
        <w:t xml:space="preserve"> </w:t>
      </w:r>
      <w:r>
        <w:t xml:space="preserve">confirmed predictions and assume that a gene will be studied at all. The strongest predictions mostly matched functions</w:t>
      </w:r>
      <w:r>
        <w:t xml:space="preserve"> </w:t>
      </w:r>
      <w:r>
        <w:t xml:space="preserve">that were already published but had not entered the databases, and most had already been suggested by earlier</w:t>
      </w:r>
      <w:r>
        <w:t xml:space="preserve"> </w:t>
      </w:r>
      <w:r>
        <w:t xml:space="preserve">co-essentiality or protein-interaction maps. Part of this</w:t>
      </w:r>
      <w:r>
        <w:t xml:space="preserve"> </w:t>
      </w:r>
      <w:r>
        <w:t xml:space="preserve">“</w:t>
      </w:r>
      <w:r>
        <w:t xml:space="preserve">curation lag</w:t>
      </w:r>
      <w:r>
        <w:t xml:space="preserve">”</w:t>
      </w:r>
      <w:r>
        <w:t xml:space="preserve"> </w:t>
      </w:r>
      <w:r>
        <w:t xml:space="preserve">comes from how we defined an uncharacterised</w:t>
      </w:r>
      <w:r>
        <w:t xml:space="preserve"> </w:t>
      </w:r>
      <w:r>
        <w:t xml:space="preserve">gene: counting only papers about few genes misses genes studied mainly in multi-gene papers, including, among our top</w:t>
      </w:r>
      <w:r>
        <w:t xml:space="preserve"> </w:t>
      </w:r>
      <w:r>
        <w:t xml:space="preserve">candidates, many complex subunits. We offer ten</w:t>
      </w:r>
      <w:r>
        <w:t xml:space="preserve"> </w:t>
      </w:r>
      <w:r>
        <w:t xml:space="preserve">detailed candidate reports with experiments that could confirm or refute them. The study was run by AI agents; we</w:t>
      </w:r>
      <w:r>
        <w:t xml:space="preserve"> </w:t>
      </w:r>
      <w:r>
        <w:t xml:space="preserve">describe the checks that constrained their work and the points where those checks were incomplete.</w:t>
      </w:r>
    </w:p>
    <w:bookmarkEnd w:id="21"/>
    <w:bookmarkStart w:id="22" w:name="introduction"/>
    <w:p>
      <w:pPr>
        <w:pStyle w:val="Heading1"/>
      </w:pPr>
      <w:r>
        <w:t xml:space="preserve">Introduction</w:t>
      </w:r>
    </w:p>
    <w:p>
      <w:pPr>
        <w:pStyle w:val="FirstParagraph"/>
      </w:pPr>
      <w:r>
        <w:t xml:space="preserve">A large part of the human protein-coding genome still has no experimentally established function. Research attention</w:t>
      </w:r>
      <w:r>
        <w:t xml:space="preserve"> </w:t>
      </w:r>
      <w:r>
        <w:t xml:space="preserve">is concentrated and self-reinforcing: a small minority of genes accounts for half of all publications, and the genes</w:t>
      </w:r>
      <w:r>
        <w:t xml:space="preserve"> </w:t>
      </w:r>
      <w:r>
        <w:t xml:space="preserve">studied today are mostly those that were studied first [1–4].</w:t>
      </w:r>
      <w:r>
        <w:t xml:space="preserve"> </w:t>
      </w:r>
      <w:r>
        <w:t xml:space="preserve">Annotation resources inherit this imbalance [5], and even in well-studied organisms about 20%</w:t>
      </w:r>
      <w:r>
        <w:t xml:space="preserve"> </w:t>
      </w:r>
      <w:r>
        <w:t xml:space="preserve">of proteins lack an informative functional description [6]. Calls to close the gap</w:t>
      </w:r>
      <w:r>
        <w:t xml:space="preserve"> </w:t>
      </w:r>
      <w:r>
        <w:t xml:space="preserve">ask for agreed measures of what is</w:t>
      </w:r>
      <w:r>
        <w:t xml:space="preserve"> </w:t>
      </w:r>
      <w:r>
        <w:t xml:space="preserve">“</w:t>
      </w:r>
      <w:r>
        <w:t xml:space="preserve">understudied</w:t>
      </w:r>
      <w:r>
        <w:t xml:space="preserve">”</w:t>
      </w:r>
      <w:r>
        <w:t xml:space="preserve"> </w:t>
      </w:r>
      <w:r>
        <w:t xml:space="preserve">and for systematic data that link unknown proteins to known biology</w:t>
      </w:r>
      <w:r>
        <w:t xml:space="preserve"> </w:t>
      </w:r>
      <w:r>
        <w:t xml:space="preserve">[7–9]. No single measure is canonical. Experimental Gene Ontology (GO) evidence</w:t>
      </w:r>
      <w:r>
        <w:t xml:space="preserve"> </w:t>
      </w:r>
      <w:r>
        <w:t xml:space="preserve">[10], the UniProt annotation score [11,12] and literature-attention labels such</w:t>
      </w:r>
      <w:r>
        <w:t xml:space="preserve"> </w:t>
      </w:r>
      <w:r>
        <w:t xml:space="preserve">as the IDG</w:t>
      </w:r>
      <w:r>
        <w:t xml:space="preserve"> </w:t>
      </w:r>
      <w:r>
        <w:t xml:space="preserve">“</w:t>
      </w:r>
      <w:r>
        <w:t xml:space="preserve">Tdark</w:t>
      </w:r>
      <w:r>
        <w:t xml:space="preserve">”</w:t>
      </w:r>
      <w:r>
        <w:t xml:space="preserve"> </w:t>
      </w:r>
      <w:r>
        <w:t xml:space="preserve">class [8,13] each capture a different aspect of knownness, and each lags the</w:t>
      </w:r>
      <w:r>
        <w:t xml:space="preserve"> </w:t>
      </w:r>
      <w:r>
        <w:t xml:space="preserve">literature by a different amount. Any list of</w:t>
      </w:r>
      <w:r>
        <w:t xml:space="preserve"> </w:t>
      </w:r>
      <w:r>
        <w:t xml:space="preserve">“</w:t>
      </w:r>
      <w:r>
        <w:t xml:space="preserve">uncharacterised</w:t>
      </w:r>
      <w:r>
        <w:t xml:space="preserve">”</w:t>
      </w:r>
      <w:r>
        <w:t xml:space="preserve"> </w:t>
      </w:r>
      <w:r>
        <w:t xml:space="preserve">genes therefore contains some genes whose function is</w:t>
      </w:r>
      <w:r>
        <w:t xml:space="preserve"> </w:t>
      </w:r>
      <w:r>
        <w:t xml:space="preserve">already published [14–16].</w:t>
      </w:r>
    </w:p>
    <w:p>
      <w:pPr>
        <w:pStyle w:val="BodyText"/>
      </w:pPr>
      <w:r>
        <w:t xml:space="preserve">Genome-scale CRISPR knockout screens offer one route to such links. The Cancer Dependency Map (DepMap) measures the</w:t>
      </w:r>
      <w:r>
        <w:t xml:space="preserve"> </w:t>
      </w:r>
      <w:r>
        <w:t xml:space="preserve">fitness effect of knocking out each gene in more than 1,000</w:t>
      </w:r>
      <w:r>
        <w:t xml:space="preserve"> </w:t>
      </w:r>
      <w:r>
        <w:t xml:space="preserve">cancer cell lines, with models that correct for copy number and screen dynamics [17–19]. Genes whose loss affects the same cell lines, that is co-essential genes, tend to act in the same complex</w:t>
      </w:r>
      <w:r>
        <w:t xml:space="preserve"> </w:t>
      </w:r>
      <w:r>
        <w:t xml:space="preserve">or pathway [20–23]. Co-essentiality has proposed or supported functions for several</w:t>
      </w:r>
      <w:r>
        <w:t xml:space="preserve"> </w:t>
      </w:r>
      <w:r>
        <w:t xml:space="preserve">genes that were uncharacterised a few years ago: SLC25A51 as a mitochondrial NAD⁺ transporter [24–26], C12orf49/SPRING1 in SREBP processing [22,27–29], TMEM189/PEDS1</w:t>
      </w:r>
      <w:r>
        <w:t xml:space="preserve"> </w:t>
      </w:r>
      <w:r>
        <w:t xml:space="preserve">as the plasmalogen desaturase and C15orf57/CCDC32 in AP-2-mediated endocytosis [23,30,31], C16orf72/HAPSTR1 in stress signalling [32], C14orf80 and C16orf59 (TEDC1/2) with δ/ε-tubulin</w:t>
      </w:r>
      <w:r>
        <w:t xml:space="preserve"> </w:t>
      </w:r>
      <w:r>
        <w:t xml:space="preserve">[20], and C7orf26/INTS15 as an Integrator subunit [33,34]. Network construction has also improved,</w:t>
      </w:r>
      <w:r>
        <w:t xml:space="preserve"> </w:t>
      </w:r>
      <w:r>
        <w:t xml:space="preserve">through covariance whitening and generalised least squares (GLS) [23,35], dimensionality reduction</w:t>
      </w:r>
      <w:r>
        <w:t xml:space="preserve"> </w:t>
      </w:r>
      <w:r>
        <w:t xml:space="preserve">and normalisation [33,36]; related balancing of correlation networks has been developed for predicting</w:t>
      </w:r>
      <w:r>
        <w:t xml:space="preserve"> </w:t>
      </w:r>
      <w:r>
        <w:t xml:space="preserve">gene buffering [37]. The method used here, zavg_BEF, averages three label-free views of the DepMap gene-effect</w:t>
      </w:r>
      <w:r>
        <w:t xml:space="preserve"> </w:t>
      </w:r>
      <w:r>
        <w:t xml:space="preserve">matrix: whitened profile similarity, overlap of genome-wide partner lists, and proximity in a graph embedding. On</w:t>
      </w:r>
      <w:r>
        <w:t xml:space="preserve"> </w:t>
      </w:r>
      <w:r>
        <w:t xml:space="preserve">co-complex pairs held out from its development it ranked pairs better than GLS [38]. We treat it as one</w:t>
      </w:r>
      <w:r>
        <w:t xml:space="preserve"> </w:t>
      </w:r>
      <w:r>
        <w:t xml:space="preserve">implementation of co-essentiality and compare it throughout with GLS and Pearson correlation, so that the results</w:t>
      </w:r>
      <w:r>
        <w:t xml:space="preserve"> </w:t>
      </w:r>
      <w:r>
        <w:t xml:space="preserve">speak to co-essentiality rather than to one tool. Besides shared dependency, DepMap also records co-</w:t>
      </w:r>
      <w:r>
        <w:rPr>
          <w:iCs/>
          <w:i/>
        </w:rPr>
        <w:t xml:space="preserve">advantage</w:t>
      </w:r>
      <w:r>
        <w:t xml:space="preserve">: pairs</w:t>
      </w:r>
      <w:r>
        <w:t xml:space="preserve"> </w:t>
      </w:r>
      <w:r>
        <w:t xml:space="preserve">of genes whose knockout increases fitness in the same cell lines, as expected for members of one growth-restraining</w:t>
      </w:r>
      <w:r>
        <w:t xml:space="preserve"> </w:t>
      </w:r>
      <w:r>
        <w:t xml:space="preserve">pathway.</w:t>
      </w:r>
    </w:p>
    <w:p>
      <w:pPr>
        <w:pStyle w:val="BodyText"/>
      </w:pPr>
      <w:r>
        <w:t xml:space="preserve">Co-essentiality is now one of several genome-scale sources of function for uncharacterised genes. Genome-scale</w:t>
      </w:r>
      <w:r>
        <w:t xml:space="preserve"> </w:t>
      </w:r>
      <w:r>
        <w:t xml:space="preserve">Perturb-seq groups genes by the transcriptional consequences of their knockdown and placed C7orf26 in Integrator</w:t>
      </w:r>
      <w:r>
        <w:t xml:space="preserve"> </w:t>
      </w:r>
      <w:r>
        <w:t xml:space="preserve">[39]; affinity-purification and cell-imaging maps such as hu.MAP 3.0 and OpenCell assign proteins to complexes</w:t>
      </w:r>
      <w:r>
        <w:t xml:space="preserve"> </w:t>
      </w:r>
      <w:r>
        <w:t xml:space="preserve">and compartments [40,41]; proteome-wide AlphaFold screens propose direct interactions [42,43]; phylogenetic modelling now propagates function to most human genes [44]; and machine-learning</w:t>
      </w:r>
      <w:r>
        <w:t xml:space="preserve"> </w:t>
      </w:r>
      <w:r>
        <w:t xml:space="preserve">GO predictors are benchmarked in the CAFA challenges [45]. A useful evaluation of co-essentiality must therefore</w:t>
      </w:r>
      <w:r>
        <w:t xml:space="preserve"> </w:t>
      </w:r>
      <w:r>
        <w:t xml:space="preserve">ask what it adds to these sources, especially to homology and physical interaction data, and not only whether it beats</w:t>
      </w:r>
      <w:r>
        <w:t xml:space="preserve"> </w:t>
      </w:r>
      <w:r>
        <w:t xml:space="preserve">chance.</w:t>
      </w:r>
    </w:p>
    <w:p>
      <w:pPr>
        <w:pStyle w:val="BodyText"/>
      </w:pPr>
      <w:r>
        <w:t xml:space="preserve">Four things are missing before co-essentiality predictions for uncharacterised genes can be used with known confidence.</w:t>
      </w:r>
    </w:p>
    <w:p>
      <w:pPr>
        <w:pStyle w:val="BodyText"/>
      </w:pPr>
      <w:r>
        <w:rPr>
          <w:bCs/>
          <w:b/>
        </w:rPr>
        <w:t xml:space="preserve">Pre-registration.</w:t>
      </w:r>
      <w:r>
        <w:t xml:space="preserve"> </w:t>
      </w:r>
      <w:r>
        <w:t xml:space="preserve">In most studies the set of genes treated as uncharacterised, and the rules for accepting a</w:t>
      </w:r>
      <w:r>
        <w:t xml:space="preserve"> </w:t>
      </w:r>
      <w:r>
        <w:t xml:space="preserve">prediction, were chosen with the network in view. Undisclosed analytic flexibility inflates apparent effects, and</w:t>
      </w:r>
      <w:r>
        <w:t xml:space="preserve"> </w:t>
      </w:r>
      <w:r>
        <w:t xml:space="preserve">pre-registration is the standard guard against it [46,47]. We found no co-essentiality study that fixed</w:t>
      </w:r>
      <w:r>
        <w:t xml:space="preserve"> </w:t>
      </w:r>
      <w:r>
        <w:t xml:space="preserve">its list of target genes before computing any gene–gene quantity.</w:t>
      </w:r>
    </w:p>
    <w:p>
      <w:pPr>
        <w:pStyle w:val="BodyText"/>
      </w:pPr>
      <w:r>
        <w:rPr>
          <w:bCs/>
          <w:b/>
        </w:rPr>
        <w:t xml:space="preserve">Temporal validation.</w:t>
      </w:r>
      <w:r>
        <w:t xml:space="preserve"> </w:t>
      </w:r>
      <w:r>
        <w:t xml:space="preserve">Predictors are usually checked by leave-one-out recovery of current annotations or of known</w:t>
      </w:r>
      <w:r>
        <w:t xml:space="preserve"> </w:t>
      </w:r>
      <w:r>
        <w:t xml:space="preserve">complexes. These checks are vulnerable in three ways. First, current annotations can be circular: experimental GO</w:t>
      </w:r>
      <w:r>
        <w:t xml:space="preserve"> </w:t>
      </w:r>
      <w:r>
        <w:t xml:space="preserve">annotations for CCDC32 cite the co-essentiality paper that proposed its function [23], and integrated</w:t>
      </w:r>
      <w:r>
        <w:t xml:space="preserve"> </w:t>
      </w:r>
      <w:r>
        <w:t xml:space="preserve">networks used as</w:t>
      </w:r>
      <w:r>
        <w:t xml:space="preserve"> </w:t>
      </w:r>
      <w:r>
        <w:t xml:space="preserve">“</w:t>
      </w:r>
      <w:r>
        <w:t xml:space="preserve">independent</w:t>
      </w:r>
      <w:r>
        <w:t xml:space="preserve">”</w:t>
      </w:r>
      <w:r>
        <w:t xml:space="preserve"> </w:t>
      </w:r>
      <w:r>
        <w:t xml:space="preserve">support already contain DepMap data [43,48]. Second,</w:t>
      </w:r>
      <w:r>
        <w:t xml:space="preserve"> </w:t>
      </w:r>
      <w:r>
        <w:t xml:space="preserve">guilt-by-association performance often reflects node degree and multifunctionality rather than specific edges</w:t>
      </w:r>
      <w:r>
        <w:t xml:space="preserve"> </w:t>
      </w:r>
      <w:r>
        <w:t xml:space="preserve">[49,50]. Third, a few large complexes dominate the strongest DepMap correlations; ETC complex I and the</w:t>
      </w:r>
      <w:r>
        <w:t xml:space="preserve"> </w:t>
      </w:r>
      <w:r>
        <w:t xml:space="preserve">mitoribosome supplied about 76% of true-positive pairs at precision 0.5</w:t>
      </w:r>
      <w:r>
        <w:t xml:space="preserve"> </w:t>
      </w:r>
      <w:r>
        <w:t xml:space="preserve">in one benchmark [51]. The test that matches how predictions are used is</w:t>
      </w:r>
      <w:r>
        <w:t xml:space="preserve"> </w:t>
      </w:r>
      <w:r>
        <w:t xml:space="preserve">prospective in form: take genes that were uncharacterised at a past date, predict their function without the</w:t>
      </w:r>
      <w:r>
        <w:t xml:space="preserve"> </w:t>
      </w:r>
      <w:r>
        <w:t xml:space="preserve">annotations added since, and score the predictions against those later annotations. This is the design of the Critical</w:t>
      </w:r>
      <w:r>
        <w:t xml:space="preserve"> </w:t>
      </w:r>
      <w:r>
        <w:t xml:space="preserve">Assessment of Functional Annotation (CAFA) [45,52,53], made possible by archived GO releases</w:t>
      </w:r>
      <w:r>
        <w:t xml:space="preserve"> </w:t>
      </w:r>
      <w:r>
        <w:t xml:space="preserve">[54]. Benchmarks of co-essentiality networks have scored them against current reference annotations or</w:t>
      </w:r>
      <w:r>
        <w:t xml:space="preserve"> </w:t>
      </w:r>
      <w:r>
        <w:t xml:space="preserve">complexes [36,51], and genetic-interaction maps have been compared with them [55]; in the</w:t>
      </w:r>
      <w:r>
        <w:t xml:space="preserve"> </w:t>
      </w:r>
      <w:r>
        <w:t xml:space="preserve">studies we reviewed we did not find a time-split test of co-essentiality function predictions against later</w:t>
      </w:r>
      <w:r>
        <w:t xml:space="preserve"> </w:t>
      </w:r>
      <w:r>
        <w:t xml:space="preserve">experimental annotation.</w:t>
      </w:r>
    </w:p>
    <w:p>
      <w:pPr>
        <w:pStyle w:val="BodyText"/>
      </w:pPr>
      <w:r>
        <w:rPr>
          <w:bCs/>
          <w:b/>
        </w:rPr>
        <w:t xml:space="preserve">Calibration.</w:t>
      </w:r>
      <w:r>
        <w:t xml:space="preserve"> </w:t>
      </w:r>
      <w:r>
        <w:t xml:space="preserve">Co-essentiality scores are ranking scores, not probabilities [38]. An experimentalist</w:t>
      </w:r>
      <w:r>
        <w:t xml:space="preserve"> </w:t>
      </w:r>
      <w:r>
        <w:t xml:space="preserve">choosing which prediction to test needs to know how often a prediction of a given strength turns out to be right, and a</w:t>
      </w:r>
      <w:r>
        <w:t xml:space="preserve"> </w:t>
      </w:r>
      <w:r>
        <w:t xml:space="preserve">reader of a catalogue needs to know how many of its entries are expected to be correct. Neither can be read from a rank</w:t>
      </w:r>
      <w:r>
        <w:t xml:space="preserve"> </w:t>
      </w:r>
      <w:r>
        <w:t xml:space="preserve">or an enrichment p-value; both need a model fitted against an external outcome and checked out of sample.</w:t>
      </w:r>
    </w:p>
    <w:p>
      <w:pPr>
        <w:pStyle w:val="BodyText"/>
      </w:pPr>
      <w:r>
        <w:rPr>
          <w:bCs/>
          <w:b/>
        </w:rPr>
        <w:t xml:space="preserve">An honest census.</w:t>
      </w:r>
      <w:r>
        <w:t xml:space="preserve"> </w:t>
      </w:r>
      <w:r>
        <w:t xml:space="preserve">Many uncharacterised genes are poor subjects for co-essentiality. They are less often essential,</w:t>
      </w:r>
      <w:r>
        <w:t xml:space="preserve"> </w:t>
      </w:r>
      <w:r>
        <w:t xml:space="preserve">often not expressed in cancer cell lines, and often buffered by paralogues [56,57]. A flat knockout</w:t>
      </w:r>
      <w:r>
        <w:t xml:space="preserve"> </w:t>
      </w:r>
      <w:r>
        <w:t xml:space="preserve">profile carries no co-essentiality information, however the network is built. Genes in tandem clusters are exposed to proximity and</w:t>
      </w:r>
      <w:r>
        <w:t xml:space="preserve"> </w:t>
      </w:r>
      <w:r>
        <w:t xml:space="preserve">copy-number artefacts, because Cas9 cutting causes chromosome-arm truncations and amplified regions give correlated</w:t>
      </w:r>
      <w:r>
        <w:t xml:space="preserve"> </w:t>
      </w:r>
      <w:r>
        <w:t xml:space="preserve">effects [18,22,58]. The fraction of the uncharacterised genome to which co-essentiality can speak</w:t>
      </w:r>
      <w:r>
        <w:t xml:space="preserve"> </w:t>
      </w:r>
      <w:r>
        <w:t xml:space="preserve">at all is rarely reported, so the reach of the approach is hard to judge.</w:t>
      </w:r>
    </w:p>
    <w:p>
      <w:pPr>
        <w:pStyle w:val="BodyText"/>
      </w:pPr>
      <w:r>
        <w:t xml:space="preserve">Here we apply zavg_BEF, with GLS and Pearson as comparators, to DepMap CRISPR gene effects to predict functions for a pre-registered list of uncharacterised</w:t>
      </w:r>
      <w:r>
        <w:t xml:space="preserve"> </w:t>
      </w:r>
      <w:r>
        <w:t xml:space="preserve">human genes, and we address the four gaps directly. The list was built from annotation data alone and frozen, together</w:t>
      </w:r>
      <w:r>
        <w:t xml:space="preserve"> </w:t>
      </w:r>
      <w:r>
        <w:t xml:space="preserve">with the full analysis design, under a cryptographic hash and git tags before any pairwise DepMap quantity was computed.</w:t>
      </w:r>
      <w:r>
        <w:t xml:space="preserve"> </w:t>
      </w:r>
      <w:r>
        <w:t xml:space="preserve">The design fixed four claims, and the decision rule for each, before the analyses that test them; each claim is reported</w:t>
      </w:r>
      <w:r>
        <w:t xml:space="preserve"> </w:t>
      </w:r>
      <w:r>
        <w:t xml:space="preserve">whichever way it falls.</w:t>
      </w:r>
    </w:p>
    <w:p>
      <w:pPr>
        <w:numPr>
          <w:ilvl w:val="0"/>
          <w:numId w:val="1001"/>
        </w:numPr>
        <w:pStyle w:val="Compact"/>
      </w:pPr>
      <w:r>
        <w:rPr>
          <w:bCs/>
          <w:b/>
        </w:rPr>
        <w:t xml:space="preserve">C1, census.</w:t>
      </w:r>
      <w:r>
        <w:t xml:space="preserve"> </w:t>
      </w:r>
      <w:r>
        <w:t xml:space="preserve">The fraction of the pre-registered genes that is scorable in DepMap, expressed in the screened cell</w:t>
      </w:r>
      <w:r>
        <w:t xml:space="preserve"> </w:t>
      </w:r>
      <w:r>
        <w:t xml:space="preserve">lines, and assessable, meaning that its co-essentiality neighbourhood is reproducible across independent halves of the</w:t>
      </w:r>
      <w:r>
        <w:t xml:space="preserve"> </w:t>
      </w:r>
      <w:r>
        <w:t xml:space="preserve">cell lines beyond what profile-matched genes achieve, reported by stratum.</w:t>
      </w:r>
    </w:p>
    <w:p>
      <w:pPr>
        <w:numPr>
          <w:ilvl w:val="0"/>
          <w:numId w:val="1001"/>
        </w:numPr>
        <w:pStyle w:val="Compact"/>
      </w:pPr>
      <w:r>
        <w:rPr>
          <w:bCs/>
          <w:b/>
        </w:rPr>
        <w:t xml:space="preserve">C2, accuracy and calibration.</w:t>
      </w:r>
      <w:r>
        <w:t xml:space="preserve"> </w:t>
      </w:r>
      <w:r>
        <w:t xml:space="preserve">On a temporal hold-out of genes that were uncharacterised in the GO release of July</w:t>
      </w:r>
      <w:r>
        <w:t xml:space="preserve"> </w:t>
      </w:r>
      <w:r>
        <w:t xml:space="preserve">2018 and gained experimental annotations since, the precision of the top predicted term</w:t>
      </w:r>
      <w:r>
        <w:t xml:space="preserve"> </w:t>
      </w:r>
      <w:r>
        <w:t xml:space="preserve">against a prior-only predictor and a matched-gene null (the primary test) and against GLS (key secondary), together</w:t>
      </w:r>
      <w:r>
        <w:t xml:space="preserve"> </w:t>
      </w:r>
      <w:r>
        <w:t xml:space="preserve">with the calibration of a pre-specified probability model and the recovery of named positive controls.</w:t>
      </w:r>
    </w:p>
    <w:p>
      <w:pPr>
        <w:numPr>
          <w:ilvl w:val="0"/>
          <w:numId w:val="1001"/>
        </w:numPr>
        <w:pStyle w:val="Compact"/>
      </w:pPr>
      <w:r>
        <w:rPr>
          <w:bCs/>
          <w:b/>
        </w:rPr>
        <w:t xml:space="preserve">C3, catalogue.</w:t>
      </w:r>
      <w:r>
        <w:t xml:space="preserve"> </w:t>
      </w:r>
      <w:r>
        <w:t xml:space="preserve">Calibrated predictions for every assessable pre-registered gene, headlined by the expected number of</w:t>
      </w:r>
      <w:r>
        <w:t xml:space="preserve"> </w:t>
      </w:r>
      <w:r>
        <w:t xml:space="preserve">top-term predictions that would be confirmed if every gene gained new experimental annotation (a conditional</w:t>
      </w:r>
      <w:r>
        <w:t xml:space="preserve"> </w:t>
      </w:r>
      <w:r>
        <w:t xml:space="preserve">quantity), with false-call rates from non-expressed genes and from</w:t>
      </w:r>
      <w:r>
        <w:t xml:space="preserve"> </w:t>
      </w:r>
      <w:r>
        <w:t xml:space="preserve">matched-gene and decoy predictions.</w:t>
      </w:r>
    </w:p>
    <w:p>
      <w:pPr>
        <w:numPr>
          <w:ilvl w:val="0"/>
          <w:numId w:val="1001"/>
        </w:numPr>
        <w:pStyle w:val="Compact"/>
      </w:pPr>
      <w:r>
        <w:rPr>
          <w:bCs/>
          <w:b/>
        </w:rPr>
        <w:t xml:space="preserve">C4, candidates.</w:t>
      </w:r>
      <w:r>
        <w:t xml:space="preserve"> </w:t>
      </w:r>
      <w:r>
        <w:t xml:space="preserve">A short list of top candidates, each with a literature check, a blinded comparison against decoy</w:t>
      </w:r>
      <w:r>
        <w:t xml:space="preserve"> </w:t>
      </w:r>
      <w:r>
        <w:t xml:space="preserve">statements, a stated relationship type and alternative explanations, and a tiered experimental plan.</w:t>
      </w:r>
    </w:p>
    <w:p>
      <w:pPr>
        <w:pStyle w:val="FirstParagraph"/>
      </w:pPr>
      <w:r>
        <w:t xml:space="preserve">Orthogonal datasets (physical interaction, co-abundance, localisation, perturbation and structure data) entered only</w:t>
      </w:r>
      <w:r>
        <w:t xml:space="preserve"> </w:t>
      </w:r>
      <w:r>
        <w:t xml:space="preserve">through a pre-specified support test, and only if they recovered known complexes on genes outside the uncharacterised</w:t>
      </w:r>
      <w:r>
        <w:t xml:space="preserve"> </w:t>
      </w:r>
      <w:r>
        <w:t xml:space="preserve">list. The main contribution is the evaluation standard (pre-registration, a temporal hold-out, calibration and</w:t>
      </w:r>
      <w:r>
        <w:t xml:space="preserve"> </w:t>
      </w:r>
      <w:r>
        <w:t xml:space="preserve">circularity control) rather than a new predictor. The study was planned and run by a team of AI agents under a</w:t>
      </w:r>
      <w:r>
        <w:t xml:space="preserve"> </w:t>
      </w:r>
      <w:r>
        <w:t xml:space="preserve">human-specified goal; the safeguards this required, and their gaps, are part of the Methods and are assessed in the</w:t>
      </w:r>
      <w:r>
        <w:t xml:space="preserve"> </w:t>
      </w:r>
      <w:r>
        <w:t xml:space="preserve">Discussion. After peer review we added analyses requested by the referees; they are labelled [post-review exploratory]</w:t>
      </w:r>
      <w:r>
        <w:t xml:space="preserve"> </w:t>
      </w:r>
      <w:r>
        <w:t xml:space="preserve">and change no pre-specified result.</w:t>
      </w:r>
    </w:p>
    <w:bookmarkEnd w:id="22"/>
    <w:bookmarkStart w:id="29" w:name="results"/>
    <w:p>
      <w:pPr>
        <w:pStyle w:val="Heading1"/>
      </w:pPr>
      <w:r>
        <w:t xml:space="preserve">Results</w:t>
      </w:r>
    </w:p>
    <w:p>
      <w:pPr>
        <w:pStyle w:val="FirstParagraph"/>
      </w:pPr>
      <w:r>
        <w:t xml:space="preserve">The study design is summarised in Fig 1A; the notation is defined at the start of the Methods. Results are labelled</w:t>
      </w:r>
      <w:r>
        <w:t xml:space="preserve"> </w:t>
      </w:r>
      <w:r>
        <w:t xml:space="preserve">[pre-specified] (frozen design, DESIGN.md v2.3), [deviation] (a change logged in DEVIATIONS.md; the Methods list the</w:t>
      </w:r>
      <w:r>
        <w:t xml:space="preserve"> </w:t>
      </w:r>
      <w:r>
        <w:t xml:space="preserve">rows that were logged only after the affected result existed), [exploratory] (post hoc, before review; H looks logged in</w:t>
      </w:r>
      <w:r>
        <w:t xml:space="preserve"> </w:t>
      </w:r>
      <w:r>
        <w:t xml:space="preserve">LOOKS.md), [post-review exploratory] (analyses requested by the referees and computed after peer review into</w:t>
      </w:r>
      <w:r>
        <w:t xml:space="preserve"> </w:t>
      </w:r>
      <w:r>
        <w:t xml:space="preserve">results/revision/; no frozen rule changed) or [descriptive] (computed for presentation only). [post-review] alone marks a</w:t>
      </w:r>
      <w:r>
        <w:t xml:space="preserve"> </w:t>
      </w:r>
      <w:r>
        <w:t xml:space="preserve">table column or report statement added after peer review that is not itself an analysis. Detailed sensitivity and</w:t>
      </w:r>
      <w:r>
        <w:t xml:space="preserve"> </w:t>
      </w:r>
      <w:r>
        <w:t xml:space="preserve">secondary analyses, and the list of literature-supported predictions, are in S1 Text.</w:t>
      </w:r>
    </w:p>
    <w:bookmarkStart w:id="23" w:name="Xce8efe0f053208e7ff5974e79205541e96e1d9f"/>
    <w:p>
      <w:pPr>
        <w:pStyle w:val="Heading2"/>
      </w:pPr>
      <w:r>
        <w:t xml:space="preserve">The tool reproduces its published performance on DepMap 26Q3</w:t>
      </w:r>
    </w:p>
    <w:p>
      <w:pPr>
        <w:pStyle w:val="FirstParagraph"/>
      </w:pPr>
      <w:r>
        <w:t xml:space="preserve">With the tool’s own scripts, the internal-test average precision on our data was 0.3451 for zavg_BEF and 0.2423 for GLS,</w:t>
      </w:r>
      <w:r>
        <w:t xml:space="preserve"> </w:t>
      </w:r>
      <w:r>
        <w:t xml:space="preserve">within the pre-specified ±0.005 of the published values, and all 14 sanity checks passed (S1 Text). The term ranker was then</w:t>
      </w:r>
      <w:r>
        <w:t xml:space="preserve"> </w:t>
      </w:r>
      <w:r>
        <w:t xml:space="preserve">chosen once, on 2,519 characterised leave-one-out (LOO) genes, by</w:t>
      </w:r>
      <w:r>
        <w:t xml:space="preserve"> </w:t>
      </w:r>
      <w:r>
        <w:t xml:space="preserve">the frozen mean-reciprocal-rank rule [pre-specified]: raw neighbour support (R1; MRR 0.169) (S1A Fig). The choice and the calibration specification were</w:t>
      </w:r>
      <w:r>
        <w:t xml:space="preserve"> </w:t>
      </w:r>
      <w:r>
        <w:t xml:space="preserve">logged before the hold-out was opened (LOOKS.md, commit fa21808).</w:t>
      </w:r>
    </w:p>
    <w:bookmarkEnd w:id="23"/>
    <w:bookmarkStart w:id="24" w:name="X263481602c964df8318b510589485b6499c77ec"/>
    <w:p>
      <w:pPr>
        <w:pStyle w:val="Heading2"/>
      </w:pPr>
      <w:r>
        <w:t xml:space="preserve">C1: at most one in eight pre-registered genes is assessable</w:t>
      </w:r>
    </w:p>
    <w:p>
      <w:pPr>
        <w:pStyle w:val="FirstParagraph"/>
      </w:pPr>
      <w:r>
        <w:rPr>
          <w:bCs/>
          <w:b/>
        </w:rPr>
        <w:t xml:space="preserve">Census [pre-specified].</w:t>
      </w:r>
      <w:r>
        <w:t xml:space="preserve"> </w:t>
      </w:r>
      <w:r>
        <w:t xml:space="preserve">Of the 4,924 pre-registered genes,</w:t>
      </w:r>
      <w:r>
        <w:t xml:space="preserve"> </w:t>
      </w:r>
      <w:r>
        <w:t xml:space="preserve">4,271 (86.7%) are scorable (Fig 1B). Of these,</w:t>
      </w:r>
      <w:r>
        <w:t xml:space="preserve"> </w:t>
      </w:r>
      <w:r>
        <w:t xml:space="preserve">2,722 are expressed in DepMap lines, and 842 (19.7% of scorable)</w:t>
      </w:r>
      <w:r>
        <w:t xml:space="preserve"> </w:t>
      </w:r>
      <w:r>
        <w:t xml:space="preserve">have a split-half reproducibility p below 0.05 regardless of expression.</w:t>
      </w:r>
      <w:r>
        <w:t xml:space="preserve"> </w:t>
      </w:r>
      <w:r>
        <w:t xml:space="preserve">The pre-specified C1 count, genes that are scorable, expressed and assessable, is</w:t>
      </w:r>
      <w:r>
        <w:t xml:space="preserve"> </w:t>
      </w:r>
      <w:r>
        <w:rPr>
          <w:bCs/>
          <w:b/>
        </w:rPr>
        <w:t xml:space="preserve">646 (13.1% of U)</w:t>
      </w:r>
      <w:r>
        <w:t xml:space="preserve">. This count applies the design’s definition of</w:t>
      </w:r>
      <w:r>
        <w:t xml:space="preserve"> </w:t>
      </w:r>
      <w:r>
        <w:t xml:space="preserve">“</w:t>
      </w:r>
      <w:r>
        <w:t xml:space="preserve">expressed</w:t>
      </w:r>
      <w:r>
        <w:t xml:space="preserve">”</w:t>
      </w:r>
      <w:r>
        <w:t xml:space="preserve">, which includes lineage-restricted genes; with the expression column of the frozen gene table, which</w:t>
      </w:r>
      <w:r>
        <w:t xml:space="preserve"> </w:t>
      </w:r>
      <w:r>
        <w:t xml:space="preserve">predates that wording, the count is 635 (12.9%) [deviation; both</w:t>
      </w:r>
      <w:r>
        <w:t xml:space="preserve"> </w:t>
      </w:r>
      <w:r>
        <w:t xml:space="preserve">reported]. In the headline stratum (expressed, not chemosensory or epidermal, not in a tandem cluster), 598 of 2,525</w:t>
      </w:r>
      <w:r>
        <w:t xml:space="preserve"> </w:t>
      </w:r>
      <w:r>
        <w:t xml:space="preserve">genes are assessable. Assessability tracked</w:t>
      </w:r>
      <w:r>
        <w:t xml:space="preserve"> </w:t>
      </w:r>
      <w:r>
        <w:t xml:space="preserve">the strength of the dependency profile: 427 of 1,105</w:t>
      </w:r>
      <w:r>
        <w:t xml:space="preserve"> </w:t>
      </w:r>
      <w:r>
        <w:t xml:space="preserve">genes with any dependency (≥ 1% of lines</w:t>
      </w:r>
      <w:r>
        <w:t xml:space="preserve"> </w:t>
      </w:r>
      <w:r>
        <w:t xml:space="preserve">below −0.5) were assessable, against 219 of 3,170</w:t>
      </w:r>
      <w:r>
        <w:t xml:space="preserve"> </w:t>
      </w:r>
      <w:r>
        <w:t xml:space="preserve">without (Fig 1C; other strata and a</w:t>
      </w:r>
      <w:r>
        <w:t xml:space="preserve"> </w:t>
      </w:r>
      <w:r>
        <w:t xml:space="preserve">rank-biased-overlap sensitivity in S1 Text).</w:t>
      </w:r>
    </w:p>
    <w:p>
      <w:pPr>
        <w:pStyle w:val="BodyText"/>
      </w:pPr>
      <w:r>
        <w:rPr>
          <w:bCs/>
          <w:b/>
        </w:rPr>
        <w:t xml:space="preserve">The reproducibility null is anti-conservative, so 646 is an upper bound.</w:t>
      </w:r>
      <w:r>
        <w:t xml:space="preserve"> </w:t>
      </w:r>
      <w:r>
        <w:t xml:space="preserve">Clean-negative genes, which are not</w:t>
      </w:r>
      <w:r>
        <w:t xml:space="preserve"> </w:t>
      </w:r>
      <w:r>
        <w:t xml:space="preserve">expressed in at least 95% of lines, reached split-half p &lt; 0.05 in 153 of 1,167 cases (13.1%), well above the nominal 5%: 27.2%</w:t>
      </w:r>
      <w:r>
        <w:t xml:space="preserve"> </w:t>
      </w:r>
      <w:r>
        <w:t xml:space="preserve">among clean negatives with some dependency and 9.7%</w:t>
      </w:r>
      <w:r>
        <w:t xml:space="preserve"> </w:t>
      </w:r>
      <w:r>
        <w:t xml:space="preserve">among those without (S2B Fig). Requiring expression removes the genes in</w:t>
      </w:r>
      <w:r>
        <w:t xml:space="preserve"> </w:t>
      </w:r>
      <w:r>
        <w:t xml:space="preserve">which this was measured without showing that the problem disappears in expressed genes. [Post-review exploratory] If</w:t>
      </w:r>
      <w:r>
        <w:t xml:space="preserve"> </w:t>
      </w:r>
      <w:r>
        <w:t xml:space="preserve">the clean-negative false-call rates apply to expressed genes of the same dependency class, about 392 (329–462) of the</w:t>
      </w:r>
      <w:r>
        <w:t xml:space="preserve"> </w:t>
      </w:r>
      <w:r>
        <w:t xml:space="preserve">635 calls on the frozen expression column are expected under the null, leaving an excess of 243 (173–306) calls, 4.9%</w:t>
      </w:r>
      <w:r>
        <w:t xml:space="preserve"> </w:t>
      </w:r>
      <w:r>
        <w:t xml:space="preserve">(3.5–6.2%) of U, over the null expectation (S4C Fig).</w:t>
      </w:r>
      <w:r>
        <w:t xml:space="preserve"> </w:t>
      </w:r>
      <w:r>
        <w:t xml:space="preserve">Because some expected false calls fall on genes that also carry real signal, the excess understates the number of such</w:t>
      </w:r>
      <w:r>
        <w:t xml:space="preserve"> </w:t>
      </w:r>
      <w:r>
        <w:t xml:space="preserve">genes: at full power it implies at least about 324 (248–389) genes, 6.6% of U, with real reproducible signal, and more</w:t>
      </w:r>
      <w:r>
        <w:t xml:space="preserve"> </w:t>
      </w:r>
      <w:r>
        <w:t xml:space="preserve">at lower power (S1 Text). This is a lower bound</w:t>
      </w:r>
      <w:r>
        <w:t xml:space="preserve"> </w:t>
      </w:r>
      <w:r>
        <w:t xml:space="preserve">under an untested assumption. The pre-specified count of 646 stands as the C1 result, read as an upper bound on the</w:t>
      </w:r>
      <w:r>
        <w:t xml:space="preserve"> </w:t>
      </w:r>
      <w:r>
        <w:t xml:space="preserve">genes that pass the reproducibility test for reasons other than chance.</w:t>
      </w:r>
    </w:p>
    <w:p>
      <w:pPr>
        <w:pStyle w:val="BodyText"/>
      </w:pPr>
      <w:r>
        <w:rPr>
          <w:bCs/>
          <w:b/>
        </w:rPr>
        <w:t xml:space="preserve">Published but uncurated functions [pre-specified].</w:t>
      </w:r>
      <w:r>
        <w:t xml:space="preserve"> </w:t>
      </w:r>
      <w:r>
        <w:t xml:space="preserve">An auditor with no access to co-essentiality output classed a</w:t>
      </w:r>
      <w:r>
        <w:t xml:space="preserve"> </w:t>
      </w:r>
      <w:r>
        <w:t xml:space="preserve">pre-specified random sample of 50 U genes (Fig 1D). For 21 genes (42%, Wilson 95% CI 29–56%)</w:t>
      </w:r>
      <w:r>
        <w:t xml:space="preserve"> </w:t>
      </w:r>
      <w:r>
        <w:t xml:space="preserve">the auditor found direct functional evidence in a focused study (N1);</w:t>
      </w:r>
      <w:r>
        <w:t xml:space="preserve"> </w:t>
      </w:r>
      <w:r>
        <w:t xml:space="preserve">13 had partial evidence (N2) and 16</w:t>
      </w:r>
      <w:r>
        <w:t xml:space="preserve"> </w:t>
      </w:r>
      <w:r>
        <w:t xml:space="preserve">had none (N3). Moving the three borderline calls gave N1 rates between</w:t>
      </w:r>
      <w:r>
        <w:t xml:space="preserve"> </w:t>
      </w:r>
      <w:r>
        <w:t xml:space="preserve">38% and 46%. A closed-book language-model recall probe</w:t>
      </w:r>
      <w:r>
        <w:t xml:space="preserve"> </w:t>
      </w:r>
      <w:r>
        <w:t xml:space="preserve">“</w:t>
      </w:r>
      <w:r>
        <w:t xml:space="preserve">recognised</w:t>
      </w:r>
      <w:r>
        <w:t xml:space="preserve">”</w:t>
      </w:r>
      <w:r>
        <w:t xml:space="preserve"> </w:t>
      </w:r>
      <w:r>
        <w:t xml:space="preserve">18</w:t>
      </w:r>
      <w:r>
        <w:t xml:space="preserve"> </w:t>
      </w:r>
      <w:r>
        <w:t xml:space="preserve">of the 21 N1 genes (S1 Text). Roughly four in</w:t>
      </w:r>
      <w:r>
        <w:t xml:space="preserve"> </w:t>
      </w:r>
      <w:r>
        <w:t xml:space="preserve">ten</w:t>
      </w:r>
      <w:r>
        <w:t xml:space="preserve"> </w:t>
      </w:r>
      <w:r>
        <w:t xml:space="preserve">“</w:t>
      </w:r>
      <w:r>
        <w:t xml:space="preserve">uncharacterised</w:t>
      </w:r>
      <w:r>
        <w:t xml:space="preserve">”</w:t>
      </w:r>
      <w:r>
        <w:t xml:space="preserve"> </w:t>
      </w:r>
      <w:r>
        <w:t xml:space="preserve">genes thus already have published functions, so novelty must be checked against the literature</w:t>
      </w:r>
      <w:r>
        <w:t xml:space="preserve"> </w:t>
      </w:r>
      <w:r>
        <w:t xml:space="preserve">(C4).</w:t>
      </w:r>
    </w:p>
    <w:p>
      <w:pPr>
        <w:pStyle w:val="BodyText"/>
      </w:pPr>
      <w:r>
        <w:rPr>
          <w:bCs/>
          <w:b/>
        </w:rPr>
        <w:t xml:space="preserve">Curation lag and the definition of</w:t>
      </w:r>
      <w:r>
        <w:rPr>
          <w:bCs/>
          <w:b/>
        </w:rPr>
        <w:t xml:space="preserve"> </w:t>
      </w:r>
      <w:r>
        <w:rPr>
          <w:bCs/>
          <w:b/>
        </w:rPr>
        <w:t xml:space="preserve">“</w:t>
      </w:r>
      <w:r>
        <w:rPr>
          <w:bCs/>
          <w:b/>
        </w:rPr>
        <w:t xml:space="preserve">uncharacterised</w:t>
      </w:r>
      <w:r>
        <w:rPr>
          <w:bCs/>
          <w:b/>
        </w:rPr>
        <w:t xml:space="preserve">”</w:t>
      </w:r>
      <w:r>
        <w:rPr>
          <w:bCs/>
          <w:b/>
        </w:rPr>
        <w:t xml:space="preserve"> </w:t>
      </w:r>
      <w:r>
        <w:rPr>
          <w:bCs/>
          <w:b/>
        </w:rPr>
        <w:t xml:space="preserve">[post-review exploratory].</w:t>
      </w:r>
      <w:r>
        <w:t xml:space="preserve"> </w:t>
      </w:r>
      <w:r>
        <w:t xml:space="preserve">U required no experimental GO</w:t>
      </w:r>
      <w:r>
        <w:t xml:space="preserve"> </w:t>
      </w:r>
      <w:r>
        <w:t xml:space="preserve">biological-process or molecular-function annotation (D1) plus either a low UniProt annotation score (D2) or low focused</w:t>
      </w:r>
      <w:r>
        <w:t xml:space="preserve"> </w:t>
      </w:r>
      <w:r>
        <w:t xml:space="preserve">literature (D3). Of the 4,924 U genes, 3,819 entered through D3 alone.</w:t>
      </w:r>
      <w:r>
        <w:t xml:space="preserve"> </w:t>
      </w:r>
      <w:r>
        <w:t xml:space="preserve">D3 counts only papers about at most ten genes, so genes studied mainly in multi-gene papers look unstudied. We therefore</w:t>
      </w:r>
      <w:r>
        <w:t xml:space="preserve"> </w:t>
      </w:r>
      <w:r>
        <w:t xml:space="preserve">flagged genes with a UniProt annotation score of 5 (1,261), curated Complex Portal subunits (288) and genes with an</w:t>
      </w:r>
      <w:r>
        <w:t xml:space="preserve"> </w:t>
      </w:r>
      <w:r>
        <w:t xml:space="preserve">experimental GO cellular-component annotation (1,218), which D1 ignores; this last flag also counts localisation-only</w:t>
      </w:r>
      <w:r>
        <w:t xml:space="preserve"> </w:t>
      </w:r>
      <w:r>
        <w:t xml:space="preserve">annotations. In all, 1,933 U genes carry at least one of these definition-artefact flags. In the random sample, 13 of 21 N1 genes rest on evidence from 2021 or</w:t>
      </w:r>
      <w:r>
        <w:t xml:space="preserve"> </w:t>
      </w:r>
      <w:r>
        <w:t xml:space="preserve">later (curation lag in the usual sense). The other 8 rest on older evidence; 6 of these are flagged, mostly (5) by</w:t>
      </w:r>
      <w:r>
        <w:t xml:space="preserve"> </w:t>
      </w:r>
      <w:r>
        <w:t xml:space="preserve">UniProt score 5. None is a Complex Portal subunit. Literature-route</w:t>
      </w:r>
      <w:r>
        <w:t xml:space="preserve"> </w:t>
      </w:r>
      <w:r>
        <w:t xml:space="preserve">genes were N1 more often (19/34 vs 2/16; 56% vs 13%, 3–36%), as were flagged genes (13/22 vs 8/28)</w:t>
      </w:r>
      <w:r>
        <w:t xml:space="preserve"> </w:t>
      </w:r>
      <w:r>
        <w:t xml:space="preserve">(S4A Fig); with the cellular-component part of the</w:t>
      </w:r>
      <w:r>
        <w:t xml:space="preserve"> </w:t>
      </w:r>
      <w:r>
        <w:t xml:space="preserve">flag restricted to complex terms (165 U genes), the contrast is 10/18</w:t>
      </w:r>
      <w:r>
        <w:t xml:space="preserve"> </w:t>
      </w:r>
      <w:r>
        <w:t xml:space="preserve">vs 11/32 (p = 0.23). Among selected candidates,</w:t>
      </w:r>
      <w:r>
        <w:t xml:space="preserve"> </w:t>
      </w:r>
      <w:r>
        <w:t xml:space="preserve">definition artefacts dominate (30/40 and 20/20 flagged; 13 and 17 Complex Portal subunits; C4). In the random sample, then, most of the gap is recent work not</w:t>
      </w:r>
      <w:r>
        <w:t xml:space="preserve"> </w:t>
      </w:r>
      <w:r>
        <w:t xml:space="preserve">yet curated and the rest is older work that the definition could not see; complex membership accounts for it only among</w:t>
      </w:r>
      <w:r>
        <w:t xml:space="preserve"> </w:t>
      </w:r>
      <w:r>
        <w:t xml:space="preserve">the top candidates.</w:t>
      </w:r>
    </w:p>
    <w:bookmarkEnd w:id="24"/>
    <w:bookmarkStart w:id="25" w:name="X703f8aaab17ed2676ca465e38ef4cad28acfc72"/>
    <w:p>
      <w:pPr>
        <w:pStyle w:val="Heading2"/>
      </w:pPr>
      <w:r>
        <w:t xml:space="preserve">C2: co-essentiality beats a matched-gene null on a temporal hold-out, with low absolute accuracy</w:t>
      </w:r>
    </w:p>
    <w:p>
      <w:pPr>
        <w:pStyle w:val="FirstParagraph"/>
      </w:pPr>
      <w:r>
        <w:rPr>
          <w:bCs/>
          <w:b/>
        </w:rPr>
        <w:t xml:space="preserve">Hold-out set.</w:t>
      </w:r>
      <w:r>
        <w:t xml:space="preserve"> </w:t>
      </w:r>
      <w:r>
        <w:t xml:space="preserve">H contained 820 genes that lacked experimental function at the July 2018 GO release, with 5,965</w:t>
      </w:r>
      <w:r>
        <w:t xml:space="preserve"> </w:t>
      </w:r>
      <w:r>
        <w:t xml:space="preserve">gene–target pairs. Removing 106</w:t>
      </w:r>
      <w:r>
        <w:t xml:space="preserve"> </w:t>
      </w:r>
      <w:r>
        <w:t xml:space="preserve">pairs whose supporting papers cite DepMap or co-essentiality work left 809</w:t>
      </w:r>
      <w:r>
        <w:t xml:space="preserve"> </w:t>
      </w:r>
      <w:r>
        <w:t xml:space="preserve">genes with a target. The PMID + N(g) cluster graph put 63.5% of H in one</w:t>
      </w:r>
      <w:r>
        <w:t xml:space="preserve"> </w:t>
      </w:r>
      <w:r>
        <w:t xml:space="preserve">component, so under the fallback rule set before H was opened [deviation] the primary confidence intervals use the</w:t>
      </w:r>
      <w:r>
        <w:t xml:space="preserve"> </w:t>
      </w:r>
      <w:r>
        <w:t xml:space="preserve">PMID-only clusters (703 clusters among primary genes).</w:t>
      </w:r>
    </w:p>
    <w:p>
      <w:pPr>
        <w:pStyle w:val="BodyText"/>
      </w:pPr>
      <w:r>
        <w:rPr>
          <w:bCs/>
          <w:b/>
        </w:rPr>
        <w:t xml:space="preserve">Primary test [pre-specified].</w:t>
      </w:r>
      <w:r>
        <w:t xml:space="preserve"> </w:t>
      </w:r>
      <w:r>
        <w:t xml:space="preserve">zavg_BEF placed a later-confirmed term at rank 1 for 24</w:t>
      </w:r>
      <w:r>
        <w:t xml:space="preserve"> </w:t>
      </w:r>
      <w:r>
        <w:t xml:space="preserve">of 809 genes: precision@1 0.030 (95% CI 0.018–0.043). The prior-only ranking scored 0.000 and the matched-gene null 0.005</w:t>
      </w:r>
      <w:r>
        <w:t xml:space="preserve"> </w:t>
      </w:r>
      <w:r>
        <w:t xml:space="preserve">(0.003–0.008) (Fig 2A). Both paired differences exclude zero: +0.030</w:t>
      </w:r>
      <w:r>
        <w:t xml:space="preserve"> </w:t>
      </w:r>
      <w:r>
        <w:t xml:space="preserve">(+0.018 to +0.043) versus prior-only and +0.025 (+0.013 to +0.038) versus the matched null</w:t>
      </w:r>
      <w:r>
        <w:t xml:space="preserve"> </w:t>
      </w:r>
      <w:r>
        <w:t xml:space="preserve">(Fig 2B). The intersection–union test therefore passes, as it does with</w:t>
      </w:r>
      <w:r>
        <w:t xml:space="preserve"> </w:t>
      </w:r>
      <w:r>
        <w:t xml:space="preserve">BCa intervals and with the PMID + N(g) clusters. Prior-only always</w:t>
      </w:r>
      <w:r>
        <w:t xml:space="preserve"> </w:t>
      </w:r>
      <w:r>
        <w:t xml:space="preserve">proposes the most frequent candidate terms (median size 200 genes), none</w:t>
      </w:r>
      <w:r>
        <w:t xml:space="preserve"> </w:t>
      </w:r>
      <w:r>
        <w:t xml:space="preserve">of which was new for an H gene; this arm is degenerate at rank 1, so the test was in effect decided by the matched-gene</w:t>
      </w:r>
      <w:r>
        <w:t xml:space="preserve"> </w:t>
      </w:r>
      <w:r>
        <w:t xml:space="preserve">null. An independent agent re-implemented the evaluation from the design documents and reproduced hit@1 for 809 of 809</w:t>
      </w:r>
      <w:r>
        <w:t xml:space="preserve"> </w:t>
      </w:r>
      <w:r>
        <w:t xml:space="preserve">genes. The result held in every pre-specified robustness check, including</w:t>
      </w:r>
      <w:r>
        <w:t xml:space="preserve"> </w:t>
      </w:r>
      <w:r>
        <w:t xml:space="preserve">the ten split-half networks (precision@1 0.025–0.038), the circularity</w:t>
      </w:r>
      <w:r>
        <w:t xml:space="preserve"> </w:t>
      </w:r>
      <w:r>
        <w:t xml:space="preserve">sensitivities, both tie-break orders and t0 = 2019-07 (S2C Fig; S1 Text). For GO complexes (V1; 77</w:t>
      </w:r>
      <w:r>
        <w:t xml:space="preserve"> </w:t>
      </w:r>
      <w:r>
        <w:t xml:space="preserve">H genes with a complex target), precision@1 was 0.182 (0.093–0.286)</w:t>
      </w:r>
      <w:r>
        <w:t xml:space="preserve"> </w:t>
      </w:r>
      <w:r>
        <w:t xml:space="preserve">against 0.013 for prior-only and 0.005 for the null.</w:t>
      </w:r>
    </w:p>
    <w:p>
      <w:pPr>
        <w:pStyle w:val="BodyText"/>
      </w:pPr>
      <w:r>
        <w:rPr>
          <w:bCs/>
          <w:b/>
        </w:rPr>
        <w:t xml:space="preserve">Comparators [pre-specified].</w:t>
      </w:r>
      <w:r>
        <w:t xml:space="preserve"> </w:t>
      </w:r>
      <w:r>
        <w:t xml:space="preserve">GLS, the key secondary comparator, reached 0.023 (0.013–0.035); the two-sided difference, zavg_BEF minus GLS, was +0.006 (−0.005 to</w:t>
      </w:r>
      <w:r>
        <w:t xml:space="preserve"> </w:t>
      </w:r>
      <w:r>
        <w:t xml:space="preserve">+0.017), which rules out an advantage for zavg_BEF of more than 1.7 points.</w:t>
      </w:r>
      <w:r>
        <w:t xml:space="preserve"> </w:t>
      </w:r>
      <w:r>
        <w:t xml:space="preserve">Pearson correlation matched zavg_BEF (0.027; difference +0.002, −0.009 to +0.014). The hold-out accuracy is therefore a property of co-essentiality rather</w:t>
      </w:r>
      <w:r>
        <w:t xml:space="preserve"> </w:t>
      </w:r>
      <w:r>
        <w:t xml:space="preserve">than of this tool. The tool’s hyper-parameters were tuned on hu.MAP 3.0 co-complex pairs [38], built</w:t>
      </w:r>
      <w:r>
        <w:t xml:space="preserve"> </w:t>
      </w:r>
      <w:r>
        <w:t xml:space="preserve">after t0, so post-t0 knowledge could in principle enter zavg_BEF; parity with untuned Pearson correlation bounds any such</w:t>
      </w:r>
      <w:r>
        <w:t xml:space="preserve"> </w:t>
      </w:r>
      <w:r>
        <w:t xml:space="preserve">benefit. Two non-co-essentiality baselines did better (Fig 2A and 2B). The homology baseline, which uses the gene’s own</w:t>
      </w:r>
      <w:r>
        <w:t xml:space="preserve"> </w:t>
      </w:r>
      <w:r>
        <w:t xml:space="preserve">t0 electronic, sequence-similarity and phylogenetic annotations, made a prediction for 57%</w:t>
      </w:r>
      <w:r>
        <w:t xml:space="preserve"> </w:t>
      </w:r>
      <w:r>
        <w:t xml:space="preserve">of H genes, yet reached precision@1 0.218 (0.184–0.253), exceeding</w:t>
      </w:r>
      <w:r>
        <w:t xml:space="preserve"> </w:t>
      </w:r>
      <w:r>
        <w:t xml:space="preserve">zavg_BEF by 0.188 (0.153–0.225). Module transfer from hu.MAP 3.0</w:t>
      </w:r>
      <w:r>
        <w:t xml:space="preserve"> </w:t>
      </w:r>
      <w:r>
        <w:t xml:space="preserve">interaction partners [40] reached 0.049 (0.034–0.066), favoured</w:t>
      </w:r>
      <w:r>
        <w:t xml:space="preserve"> </w:t>
      </w:r>
      <w:r>
        <w:t xml:space="preserve">because hu.MAP 3.0 was built after t0. H genes have stronger co-essentiality signal than U genes; reweighted to the</w:t>
      </w:r>
      <w:r>
        <w:t xml:space="preserve"> </w:t>
      </w:r>
      <w:r>
        <w:t xml:space="preserve">covariate distribution of U, precision@1 fell to 0.012 (0.007–0.019), and both primary differences still excluded zero.</w:t>
      </w:r>
    </w:p>
    <w:p>
      <w:pPr>
        <w:pStyle w:val="BodyText"/>
      </w:pPr>
      <w:r>
        <w:rPr>
          <w:bCs/>
          <w:b/>
        </w:rPr>
        <w:t xml:space="preserve">Accuracy is concentrated in the strongest signals [pre-specified core].</w:t>
      </w:r>
      <w:r>
        <w:t xml:space="preserve"> </w:t>
      </w:r>
      <w:r>
        <w:t xml:space="preserve">By quintile of top-K mean zavg_BEF,</w:t>
      </w:r>
      <w:r>
        <w:t xml:space="preserve"> </w:t>
      </w:r>
      <w:r>
        <w:t xml:space="preserve">precision@1 was 0 in the two lowest quintiles and 0.117 (0.067–0.174) in the highest (top-K mean 5.4–15.5)</w:t>
      </w:r>
      <w:r>
        <w:t xml:space="preserve"> </w:t>
      </w:r>
      <w:r>
        <w:t xml:space="preserve">(Fig 2C). GLS showed the same gradient, reaching 0.074</w:t>
      </w:r>
      <w:r>
        <w:t xml:space="preserve"> </w:t>
      </w:r>
      <w:r>
        <w:t xml:space="preserve">in the top quintile.</w:t>
      </w:r>
    </w:p>
    <w:p>
      <w:pPr>
        <w:pStyle w:val="BodyText"/>
      </w:pPr>
      <w:r>
        <w:rPr>
          <w:bCs/>
          <w:b/>
        </w:rPr>
        <w:t xml:space="preserve">Calibration [pre-specified].</w:t>
      </w:r>
      <w:r>
        <w:t xml:space="preserve"> </w:t>
      </w:r>
      <w:r>
        <w:t xml:space="preserve">The calibration model was fitted on the 775</w:t>
      </w:r>
      <w:r>
        <w:t xml:space="preserve"> </w:t>
      </w:r>
      <w:r>
        <w:t xml:space="preserve">H genes with a top term and evaluated by 10-fold cluster</w:t>
      </w:r>
      <w:r>
        <w:t xml:space="preserve"> </w:t>
      </w:r>
      <w:r>
        <w:t xml:space="preserve">cross-fitting. Out of fold, the calibration slope was 0.82 (Wald 95% CI 0.51–1.13) and the intercept −0.01 (−0.44 to</w:t>
      </w:r>
      <w:r>
        <w:t xml:space="preserve"> </w:t>
      </w:r>
      <w:r>
        <w:t xml:space="preserve">0.43) (Fig 2D). Neither interval crosses the pre-specified</w:t>
      </w:r>
      <w:r>
        <w:t xml:space="preserve"> </w:t>
      </w:r>
      <w:r>
        <w:t xml:space="preserve">poor-calibration bound, so the caveat branch was not triggered. That is a statement about detectability, not adequacy</w:t>
      </w:r>
      <w:r>
        <w:t xml:space="preserve"> </w:t>
      </w:r>
      <w:r>
        <w:t xml:space="preserve">[post-review exploratory]. The model rests on 24 events among 775 genes, with seven parameters besides the intercept</w:t>
      </w:r>
      <w:r>
        <w:t xml:space="preserve"> </w:t>
      </w:r>
      <w:r>
        <w:t xml:space="preserve">(3.4 events per parameter). With a 3.1%</w:t>
      </w:r>
      <w:r>
        <w:t xml:space="preserve"> </w:t>
      </w:r>
      <w:r>
        <w:t xml:space="preserve">base rate, its Brier score (0.0294) was barely below that of a</w:t>
      </w:r>
      <w:r>
        <w:t xml:space="preserve"> </w:t>
      </w:r>
      <w:r>
        <w:t xml:space="preserve">constant-rate prediction (0.0300), a Brier skill of 0.021. The signalling family, with 0 hits among 111 genes, is</w:t>
      </w:r>
      <w:r>
        <w:t xml:space="preserve"> </w:t>
      </w:r>
      <w:r>
        <w:t xml:space="preserve">quasi-separated, which sets its p_cal to about zero. Models with</w:t>
      </w:r>
      <w:r>
        <w:t xml:space="preserve"> </w:t>
      </w:r>
      <w:r>
        <w:t xml:space="preserve">one or two covariates calibrate comparably (slopes 0.93 and 0.89, with intervals overlapping the frozen model’s; c 0.835</w:t>
      </w:r>
      <w:r>
        <w:t xml:space="preserve"> </w:t>
      </w:r>
      <w:r>
        <w:t xml:space="preserve">vs 0.855) (S4D Fig; S1 Text). We therefore describe p_cal as</w:t>
      </w:r>
      <w:r>
        <w:t xml:space="preserve"> </w:t>
      </w:r>
      <w:r>
        <w:t xml:space="preserve">not detectably miscalibrated, with wide uncertainty. A model fitted on LOO genes instead (secondary) predicted a mean of</w:t>
      </w:r>
      <w:r>
        <w:t xml:space="preserve"> </w:t>
      </w:r>
      <w:r>
        <w:t xml:space="preserve">0.089 against an observed 0.031 on H: current annotations of</w:t>
      </w:r>
      <w:r>
        <w:t xml:space="preserve"> </w:t>
      </w:r>
      <w:r>
        <w:t xml:space="preserve">characterised genes overstate, roughly threefold, the chance that a prediction for a newly studied gene will be</w:t>
      </w:r>
      <w:r>
        <w:t xml:space="preserve"> </w:t>
      </w:r>
      <w:r>
        <w:t xml:space="preserve">confirmed.</w:t>
      </w:r>
    </w:p>
    <w:p>
      <w:pPr>
        <w:pStyle w:val="BodyText"/>
      </w:pPr>
      <w:r>
        <w:rPr>
          <w:bCs/>
          <w:b/>
        </w:rPr>
        <w:t xml:space="preserve">Named controls [pre-specified case series].</w:t>
      </w:r>
      <w:r>
        <w:t xml:space="preserve"> </w:t>
      </w:r>
      <w:r>
        <w:t xml:space="preserve">Of the 14 named controls, 9</w:t>
      </w:r>
      <w:r>
        <w:t xml:space="preserve"> </w:t>
      </w:r>
      <w:r>
        <w:t xml:space="preserve">are in H (Fig 2E). TMEM242’s true term ranked first of 77</w:t>
      </w:r>
      <w:r>
        <w:t xml:space="preserve"> </w:t>
      </w:r>
      <w:r>
        <w:t xml:space="preserve">reportable terms and PEDS1’s seventh of 79. For most other</w:t>
      </w:r>
      <w:r>
        <w:t xml:space="preserve"> </w:t>
      </w:r>
      <w:r>
        <w:t xml:space="preserve">controls no clean true term was ranked, because their new annotations cite DepMap or co-essentiality papers and were</w:t>
      </w:r>
      <w:r>
        <w:t xml:space="preserve"> </w:t>
      </w:r>
      <w:r>
        <w:t xml:space="preserve">excluded (for example 20 of 23 for SLC25A51). [Post-review</w:t>
      </w:r>
      <w:r>
        <w:t xml:space="preserve"> </w:t>
      </w:r>
      <w:r>
        <w:t xml:space="preserve">exploratory] INTS15 and TMEM41B missed for a different reason: their partners were right (Integrator subunits; VMP1 and</w:t>
      </w:r>
      <w:r>
        <w:t xml:space="preserve"> </w:t>
      </w:r>
      <w:r>
        <w:t xml:space="preserve">ERAD factors), but the terms curators later added were carried by fewer than two of their neighbours at t0</w:t>
      </w:r>
      <w:r>
        <w:t xml:space="preserve"> </w:t>
      </w:r>
      <w:r>
        <w:t xml:space="preserve">(S1 Text). Because much recent literature on these</w:t>
      </w:r>
      <w:r>
        <w:t xml:space="preserve"> </w:t>
      </w:r>
      <w:r>
        <w:t xml:space="preserve">controls depends on co-essentiality itself, the case series cannot serve as independent validation.</w:t>
      </w:r>
    </w:p>
    <w:p>
      <w:pPr>
        <w:pStyle w:val="BodyText"/>
      </w:pPr>
      <w:r>
        <w:rPr>
          <w:bCs/>
          <w:b/>
        </w:rPr>
        <w:t xml:space="preserve">Complementarity [exploratory; post hoc, logged in LOOKS.md].</w:t>
      </w:r>
      <w:r>
        <w:t xml:space="preserve"> </w:t>
      </w:r>
      <w:r>
        <w:t xml:space="preserve">zavg_BEF alone was right for 15 genes, homology alone</w:t>
      </w:r>
      <w:r>
        <w:t xml:space="preserve"> </w:t>
      </w:r>
      <w:r>
        <w:t xml:space="preserve">for 167 and both for 9. The oracle union, which credits</w:t>
      </w:r>
      <w:r>
        <w:t xml:space="preserve"> </w:t>
      </w:r>
      <w:r>
        <w:t xml:space="preserve">a gene if either method is right, reached 0.236 (cluster bootstrap 0.202–0.272), an upper bound rather than a usable rule. [Post-review</w:t>
      </w:r>
      <w:r>
        <w:t xml:space="preserve"> </w:t>
      </w:r>
      <w:r>
        <w:t xml:space="preserve">exploratory] The deployable rule</w:t>
      </w:r>
      <w:r>
        <w:t xml:space="preserve"> </w:t>
      </w:r>
      <w:r>
        <w:t xml:space="preserve">“</w:t>
      </w:r>
      <w:r>
        <w:t xml:space="preserve">homology where it makes a prediction, otherwise zavg_BEF</w:t>
      </w:r>
      <w:r>
        <w:t xml:space="preserve">”</w:t>
      </w:r>
      <w:r>
        <w:t xml:space="preserve"> </w:t>
      </w:r>
      <w:r>
        <w:t xml:space="preserve">reached 0.224</w:t>
      </w:r>
      <w:r>
        <w:t xml:space="preserve"> </w:t>
      </w:r>
      <w:r>
        <w:t xml:space="preserve">(0.190–0.259), a gain over homology of +0.006 (+0.001 to +0.012);</w:t>
      </w:r>
      <w:r>
        <w:t xml:space="preserve"> </w:t>
      </w:r>
      <w:r>
        <w:t xml:space="preserve">in the 348 genes without a homology prediction, zavg_BEF reached 0.014 (5 hits). Co-essentiality thus adds a few distinct correct calls</w:t>
      </w:r>
      <w:r>
        <w:t xml:space="preserve"> </w:t>
      </w:r>
      <w:r>
        <w:t xml:space="preserve">but does not replace homology- or interaction-based annotation.</w:t>
      </w:r>
    </w:p>
    <w:bookmarkEnd w:id="25"/>
    <w:bookmarkStart w:id="26" w:name="X44cc6446993d283ef8093b6dca371fb2777c213"/>
    <w:p>
      <w:pPr>
        <w:pStyle w:val="Heading2"/>
      </w:pPr>
      <w:r>
        <w:t xml:space="preserve">C3: calibrated predictions for U are uniformly low, and the low-yield branch applies</w:t>
      </w:r>
    </w:p>
    <w:p>
      <w:pPr>
        <w:pStyle w:val="FirstParagraph"/>
      </w:pPr>
      <w:r>
        <w:rPr>
          <w:bCs/>
          <w:b/>
        </w:rPr>
        <w:t xml:space="preserve">Coverage of the catalogue.</w:t>
      </w:r>
      <w:r>
        <w:t xml:space="preserve"> </w:t>
      </w:r>
      <w:r>
        <w:t xml:space="preserve">All 4,271 scorable U genes were scored</w:t>
      </w:r>
      <w:r>
        <w:t xml:space="preserve"> </w:t>
      </w:r>
      <w:r>
        <w:t xml:space="preserve">with the hold-out code path, and 4,137 received a reportable top term.</w:t>
      </w:r>
      <w:r>
        <w:t xml:space="preserve"> </w:t>
      </w:r>
      <w:r>
        <w:t xml:space="preserve">Of these, 2,583 were inside calibration support, 133</w:t>
      </w:r>
      <w:r>
        <w:t xml:space="preserve"> </w:t>
      </w:r>
      <w:r>
        <w:t xml:space="preserve">received only a boundary upper bound and 1,421</w:t>
      </w:r>
      <w:r>
        <w:t xml:space="preserve"> </w:t>
      </w:r>
      <w:r>
        <w:t xml:space="preserve">were out of support (Fig 3D). The support rule removed every prediction</w:t>
      </w:r>
      <w:r>
        <w:t xml:space="preserve"> </w:t>
      </w:r>
      <w:r>
        <w:t xml:space="preserve">in five under-represented machinery families and 96 genes whose signal</w:t>
      </w:r>
      <w:r>
        <w:t xml:space="preserve"> </w:t>
      </w:r>
      <w:r>
        <w:t xml:space="preserve">exceeded H’s 95th percentile (S1 Text), so calibration leaves out the domain where co-essentiality is best established</w:t>
      </w:r>
      <w:r>
        <w:t xml:space="preserve"> </w:t>
      </w:r>
      <w:r>
        <w:t xml:space="preserve">and, on H, most accurate (Fig 2C). Among the 646 assessable genes, 269 are</w:t>
      </w:r>
      <w:r>
        <w:t xml:space="preserve"> </w:t>
      </w:r>
      <w:r>
        <w:t xml:space="preserve">in support. A secondary, uncalibrated list (S20) of the strongest predictions without p_cal was defined before any</w:t>
      </w:r>
      <w:r>
        <w:t xml:space="preserve"> </w:t>
      </w:r>
      <w:r>
        <w:t xml:space="preserve">literature step [deviation] and is analysed under C4.</w:t>
      </w:r>
    </w:p>
    <w:p>
      <w:pPr>
        <w:pStyle w:val="BodyText"/>
      </w:pPr>
      <w:r>
        <w:rPr>
          <w:bCs/>
          <w:b/>
        </w:rPr>
        <w:t xml:space="preserve">Calibrated probabilities and decision branch [pre-specified].</w:t>
      </w:r>
      <w:r>
        <w:t xml:space="preserve"> </w:t>
      </w:r>
      <w:r>
        <w:t xml:space="preserve">No in-support U gene reached the Tier B threshold of</w:t>
      </w:r>
      <w:r>
        <w:t xml:space="preserve"> </w:t>
      </w:r>
      <w:r>
        <w:t xml:space="preserve">0.3, let alone the Tier A threshold of 0.5. The largest in-support p_cal was 0.141; among expressed, assessable genes in support the median was 0.014 and the</w:t>
      </w:r>
      <w:r>
        <w:t xml:space="preserve"> </w:t>
      </w:r>
      <w:r>
        <w:t xml:space="preserve">90th percentile 0.047 (Fig 3A). This ceiling follows from the model: with</w:t>
      </w:r>
      <w:r>
        <w:t xml:space="preserve"> </w:t>
      </w:r>
      <w:r>
        <w:t xml:space="preserve">an H hit rate of 3% and covariates bounded by H’s 95th percentiles,</w:t>
      </w:r>
      <w:r>
        <w:t xml:space="preserve"> </w:t>
      </w:r>
      <w:r>
        <w:t xml:space="preserve">the fitted model cannot reach 0.3 inside support. With no Tier A or Tier B</w:t>
      </w:r>
      <w:r>
        <w:t xml:space="preserve"> </w:t>
      </w:r>
      <w:r>
        <w:t xml:space="preserve">gene, the pre-specified low-yield branch applies: the paper leads with C1 and</w:t>
      </w:r>
      <w:r>
        <w:t xml:space="preserve"> </w:t>
      </w:r>
      <w:r>
        <w:t xml:space="preserve">C2, the top 40 is filled by p_cal, and thresholds are not relaxed. Because C2 passed and at least 100 genes are</w:t>
      </w:r>
      <w:r>
        <w:t xml:space="preserve"> </w:t>
      </w:r>
      <w:r>
        <w:t xml:space="preserve">assessable, the catalogue remains calibrated rather than descriptive.</w:t>
      </w:r>
    </w:p>
    <w:p>
      <w:pPr>
        <w:pStyle w:val="BodyText"/>
      </w:pPr>
      <w:r>
        <w:rPr>
          <w:bCs/>
          <w:b/>
        </w:rPr>
        <w:t xml:space="preserve">Σp_cal [pre-specified headline].</w:t>
      </w:r>
      <w:r>
        <w:t xml:space="preserve"> </w:t>
      </w:r>
      <w:r>
        <w:t xml:space="preserve">Summed over the 2,583 in-support genes, the expected number of top terms that would</w:t>
      </w:r>
      <w:r>
        <w:t xml:space="preserve"> </w:t>
      </w:r>
      <w:r>
        <w:t xml:space="preserve">be confirmed if every gene gained new experimental BP/MF annotation within about eight years</w:t>
      </w:r>
      <w:r>
        <w:t xml:space="preserve"> </w:t>
      </w:r>
      <w:r>
        <w:t xml:space="preserve">(conditional; see below) is</w:t>
      </w:r>
      <w:r>
        <w:t xml:space="preserve"> </w:t>
      </w:r>
      <w:r>
        <w:rPr>
          <w:bCs/>
          <w:b/>
        </w:rPr>
        <w:t xml:space="preserve">30.5 (95% CI 13.8–49.7)</w:t>
      </w:r>
      <w:r>
        <w:t xml:space="preserve">, a mean of about 1.2% per gene</w:t>
      </w:r>
      <w:r>
        <w:t xml:space="preserve"> </w:t>
      </w:r>
      <w:r>
        <w:t xml:space="preserve">(Fig 3B). Over the 269 expressed, assessable genes in support it is 5.5</w:t>
      </w:r>
      <w:r>
        <w:t xml:space="preserve"> </w:t>
      </w:r>
      <w:r>
        <w:t xml:space="preserve">(2.8–8.6). The interval reflects parameter uncertainty in the</w:t>
      </w:r>
      <w:r>
        <w:t xml:space="preserve"> </w:t>
      </w:r>
      <w:r>
        <w:t xml:space="preserve">expectation; it is not a prediction interval for the realised count, which has a further Poisson-binomial standard</w:t>
      </w:r>
      <w:r>
        <w:t xml:space="preserve"> </w:t>
      </w:r>
      <w:r>
        <w:t xml:space="preserve">deviation of about 5.5.</w:t>
      </w:r>
    </w:p>
    <w:p>
      <w:pPr>
        <w:pStyle w:val="BodyText"/>
      </w:pPr>
      <w:r>
        <w:rPr>
          <w:bCs/>
          <w:b/>
        </w:rPr>
        <w:t xml:space="preserve">p_cal is conditional on later annotation [post-review exploratory].</w:t>
      </w:r>
      <w:r>
        <w:t xml:space="preserve"> </w:t>
      </w:r>
      <w:r>
        <w:t xml:space="preserve">H contains only genes that gained at least one</w:t>
      </w:r>
      <w:r>
        <w:t xml:space="preserve"> </w:t>
      </w:r>
      <w:r>
        <w:t xml:space="preserve">experimental target, so p_cal estimates the probability that the top term is confirmed</w:t>
      </w:r>
      <w:r>
        <w:t xml:space="preserve"> </w:t>
      </w:r>
      <w:r>
        <w:rPr>
          <w:iCs/>
          <w:i/>
        </w:rPr>
        <w:t xml:space="preserve">given that the gene receives</w:t>
      </w:r>
      <w:r>
        <w:rPr>
          <w:iCs/>
          <w:i/>
        </w:rPr>
        <w:t xml:space="preserve"> </w:t>
      </w:r>
      <w:r>
        <w:rPr>
          <w:iCs/>
          <w:i/>
        </w:rPr>
        <w:t xml:space="preserve">new experimental BP/MF annotation</w:t>
      </w:r>
      <w:r>
        <w:t xml:space="preserve">, not the unconditional probability of confirmation (Methods). Of the 4,822</w:t>
      </w:r>
      <w:r>
        <w:t xml:space="preserve"> </w:t>
      </w:r>
      <w:r>
        <w:t xml:space="preserve">t0-eligible genes with a reportable top term, 775 (16.1%, 15.1–17.1%) gained such annotation over the 7.9-year horizon. If the 2018 cohort’s</w:t>
      </w:r>
      <w:r>
        <w:t xml:space="preserve"> </w:t>
      </w:r>
      <w:r>
        <w:t xml:space="preserve">annotation rate applies to U, the unconditional expectation over the 2,583 in-support genes is about 4.9 (2.2–8.1), with</w:t>
      </w:r>
      <w:r>
        <w:t xml:space="preserve"> </w:t>
      </w:r>
      <w:r>
        <w:t xml:space="preserve">a Poisson-binomial SD of the realised count of about 2.2. Gaining annotation is not</w:t>
      </w:r>
      <w:r>
        <w:t xml:space="preserve"> </w:t>
      </w:r>
      <w:r>
        <w:t xml:space="preserve">independent of signal (gain rate 0.13–0.14 in the four lower quintiles of top-K mean zavg_BEF and 0.25 in the highest); with</w:t>
      </w:r>
      <w:r>
        <w:t xml:space="preserve"> </w:t>
      </w:r>
      <w:r>
        <w:t xml:space="preserve">quintile-specific rates the expectation is 5.1 (2.4–8.3), and with the lower</w:t>
      </w:r>
      <w:r>
        <w:t xml:space="preserve"> </w:t>
      </w:r>
      <w:r>
        <w:t xml:space="preserve">hazard of 2018 genes still uncharacterised in 2022, which resemble U, it is about 4.4. The annual hazard was similar for the 2018 cohort, a 2022 cohort</w:t>
      </w:r>
      <w:r>
        <w:t xml:space="preserve"> </w:t>
      </w:r>
      <w:r>
        <w:t xml:space="preserve">and those survivors (0.0225, 0.0222 and 0.0199), but large phylogenetic and</w:t>
      </w:r>
      <w:r>
        <w:t xml:space="preserve"> </w:t>
      </w:r>
      <w:r>
        <w:t xml:space="preserve">AI-assisted annotation efforts [44] could change it.</w:t>
      </w:r>
    </w:p>
    <w:p>
      <w:pPr>
        <w:pStyle w:val="BodyText"/>
      </w:pPr>
      <w:r>
        <w:rPr>
          <w:bCs/>
          <w:b/>
        </w:rPr>
        <w:t xml:space="preserve">Top 40 [pre-specified fill; deviation in its reading].</w:t>
      </w:r>
      <w:r>
        <w:t xml:space="preserve"> </w:t>
      </w:r>
      <w:r>
        <w:t xml:space="preserve">The fill pool held 269</w:t>
      </w:r>
      <w:r>
        <w:t xml:space="preserve"> </w:t>
      </w:r>
      <w:r>
        <w:t xml:space="preserve">expressed, assessable, in-support genes, of which 24</w:t>
      </w:r>
      <w:r>
        <w:t xml:space="preserve"> </w:t>
      </w:r>
      <w:r>
        <w:t xml:space="preserve">were removed by a built-in artefact exclusion (23) or a</w:t>
      </w:r>
      <w:r>
        <w:t xml:space="preserve"> </w:t>
      </w:r>
      <w:r>
        <w:t xml:space="preserve">contradiction (1). With no tiered gene, the frozen order Tier A → Tier B → p_cal reduces to p_cal. The top-40-only</w:t>
      </w:r>
      <w:r>
        <w:t xml:space="preserve"> </w:t>
      </w:r>
      <w:r>
        <w:t xml:space="preserve">checks (lineage leave-out, DEMETER2 RNAi replication [59] and TP53 status) are tier caps, so they are shown</w:t>
      </w:r>
      <w:r>
        <w:t xml:space="preserve"> </w:t>
      </w:r>
      <w:r>
        <w:t xml:space="preserve">as labels, not demotions (PI ruling before any literature step) [deviation]. The primary top 40 is therefore the 40</w:t>
      </w:r>
      <w:r>
        <w:t xml:space="preserve"> </w:t>
      </w:r>
      <w:r>
        <w:t xml:space="preserve">highest p_cal values after exclusions (Fig 4). p_cal ranges from 0.036 to 0.141, and the sum is 2.50</w:t>
      </w:r>
      <w:r>
        <w:t xml:space="preserve"> </w:t>
      </w:r>
      <w:r>
        <w:t xml:space="preserve">(point estimate): about two to three of these 40 top</w:t>
      </w:r>
      <w:r>
        <w:t xml:space="preserve"> </w:t>
      </w:r>
      <w:r>
        <w:t xml:space="preserve">terms would be confirmed if every gene were later annotated. [Post-review exploratory] The top 40 lies in the highest</w:t>
      </w:r>
      <w:r>
        <w:t xml:space="preserve"> </w:t>
      </w:r>
      <w:r>
        <w:t xml:space="preserve">signal quintile, where the annotation rate is higher, so the unconditional expectation is about 0.4–0.6 (signal-adjusted</w:t>
      </w:r>
      <w:r>
        <w:t xml:space="preserve"> </w:t>
      </w:r>
      <w:r>
        <w:t xml:space="preserve">0.64, 0.32–1.02);</w:t>
      </w:r>
      <w:r>
        <w:t xml:space="preserve"> </w:t>
      </w:r>
      <w:r>
        <w:t xml:space="preserve">with 31 of these genes already published (C4), their rate is probably higher still. Thirty-three of the 40</w:t>
      </w:r>
      <w:r>
        <w:t xml:space="preserve"> </w:t>
      </w:r>
      <w:r>
        <w:t xml:space="preserve">genes fail at least one top-40 check. The DEMETER2</w:t>
      </w:r>
      <w:r>
        <w:t xml:space="preserve"> </w:t>
      </w:r>
      <w:r>
        <w:t xml:space="preserve">check failed for 182 of 204 measured pool genes and was never validated on</w:t>
      </w:r>
      <w:r>
        <w:t xml:space="preserve"> </w:t>
      </w:r>
      <w:r>
        <w:t xml:space="preserve">positive controls, so a DEMETER2 flag is not evidence against a prediction (S1 Text). The implementing agent’s</w:t>
      </w:r>
      <w:r>
        <w:t xml:space="preserve"> </w:t>
      </w:r>
      <w:r>
        <w:t xml:space="preserve">“</w:t>
      </w:r>
      <w:r>
        <w:t xml:space="preserve">clean-first</w:t>
      </w:r>
      <w:r>
        <w:t xml:space="preserve">”</w:t>
      </w:r>
      <w:r>
        <w:t xml:space="preserve"> </w:t>
      </w:r>
      <w:r>
        <w:t xml:space="preserve">list, which applied the checks as demotions, shares 20</w:t>
      </w:r>
      <w:r>
        <w:t xml:space="preserve"> </w:t>
      </w:r>
      <w:r>
        <w:t xml:space="preserve">genes with the primary top 40 (S3 Table).</w:t>
      </w:r>
    </w:p>
    <w:p>
      <w:pPr>
        <w:pStyle w:val="BodyText"/>
      </w:pPr>
      <w:r>
        <w:rPr>
          <w:bCs/>
          <w:b/>
        </w:rPr>
        <w:t xml:space="preserve">Controls for the catalogue [pre-specified].</w:t>
      </w:r>
      <w:r>
        <w:t xml:space="preserve"> </w:t>
      </w:r>
      <w:r>
        <w:t xml:space="preserve">None of the 708</w:t>
      </w:r>
      <w:r>
        <w:t xml:space="preserve"> </w:t>
      </w:r>
      <w:r>
        <w:t xml:space="preserve">in-support clean-negative genes reached either tier threshold, which is uninformative because no expressed gene did</w:t>
      </w:r>
      <w:r>
        <w:t xml:space="preserve"> </w:t>
      </w:r>
      <w:r>
        <w:t xml:space="preserve">either; their p_cal was lower mainly in the upper tail (maximum 0.057 against 0.141; Fig 3A). Artefact flags gave a built-in Tier-A exclusion to 293 of the 4,137</w:t>
      </w:r>
      <w:r>
        <w:t xml:space="preserve"> </w:t>
      </w:r>
      <w:r>
        <w:t xml:space="preserve">predictions, mostly hub-driven (S1 Text). Orthogonal support</w:t>
      </w:r>
      <w:r>
        <w:t xml:space="preserve"> </w:t>
      </w:r>
      <w:r>
        <w:t xml:space="preserve">separated real from control predictions only weakly: over 247 anchors, the Tier-A support rule was met by 0.320 of real</w:t>
      </w:r>
      <w:r>
        <w:t xml:space="preserve"> </w:t>
      </w:r>
      <w:r>
        <w:t xml:space="preserve">predictions, 0.279 of matched-gene predictions and 0.223 of decoy-term predictions</w:t>
      </w:r>
      <w:r>
        <w:t xml:space="preserve"> </w:t>
      </w:r>
      <w:r>
        <w:t xml:space="preserve">(Fig 3C; paired tests in S1 Text). Orthogonal</w:t>
      </w:r>
      <w:r>
        <w:t xml:space="preserve"> </w:t>
      </w:r>
      <w:r>
        <w:t xml:space="preserve">“</w:t>
      </w:r>
      <w:r>
        <w:t xml:space="preserve">support</w:t>
      </w:r>
      <w:r>
        <w:t xml:space="preserve">”</w:t>
      </w:r>
      <w:r>
        <w:t xml:space="preserve"> </w:t>
      </w:r>
      <w:r>
        <w:t xml:space="preserve">therefore upgrades</w:t>
      </w:r>
      <w:r>
        <w:t xml:space="preserve"> </w:t>
      </w:r>
      <w:r>
        <w:t xml:space="preserve">no prediction; physical-interaction support gave the clearest contrast, and Table 2 reports it separately.</w:t>
      </w:r>
    </w:p>
    <w:bookmarkEnd w:id="26"/>
    <w:bookmarkStart w:id="27" w:name="X739f80efebffd6f3e8121c68993d6d03a0f0512"/>
    <w:p>
      <w:pPr>
        <w:pStyle w:val="Heading2"/>
      </w:pPr>
      <w:r>
        <w:t xml:space="preserve">C4: blinded literature concordance supports the top predictions, mostly as rediscovery of published function</w:t>
      </w:r>
    </w:p>
    <w:p>
      <w:pPr>
        <w:pStyle w:val="FirstParagraph"/>
      </w:pPr>
      <w:r>
        <w:rPr>
          <w:bCs/>
          <w:b/>
        </w:rPr>
        <w:t xml:space="preserve">Candidate sets.</w:t>
      </w:r>
      <w:r>
        <w:t xml:space="preserve"> </w:t>
      </w:r>
      <w:r>
        <w:t xml:space="preserve">Four gene sets entered the literature step (Fig 5A). The primary set is the top 40 by p_cal. S20</w:t>
      </w:r>
      <w:r>
        <w:t xml:space="preserve"> </w:t>
      </w:r>
      <w:r>
        <w:t xml:space="preserve">holds the 20 strongest predictions that have no p_cal, because their family has fewer than 30 H genes or their signal</w:t>
      </w:r>
      <w:r>
        <w:t xml:space="preserve"> </w:t>
      </w:r>
      <w:r>
        <w:t xml:space="preserve">exceeds H’s 95th percentile; it was defined before any literature step and is analysed</w:t>
      </w:r>
      <w:r>
        <w:t xml:space="preserve"> </w:t>
      </w:r>
      <w:r>
        <w:t xml:space="preserve">separately [deviation]. Extra30 holds 30 further fill-pool genes, six in each p_cal quintile (p_cal 6 × 10⁻⁸ to 0.099)</w:t>
      </w:r>
      <w:r>
        <w:t xml:space="preserve"> </w:t>
      </w:r>
      <w:r>
        <w:t xml:space="preserve">[pre-specified secondary]. Ten H genes whose</w:t>
      </w:r>
      <w:r>
        <w:t xml:space="preserve"> </w:t>
      </w:r>
      <w:r>
        <w:t xml:space="preserve">“</w:t>
      </w:r>
      <w:r>
        <w:t xml:space="preserve">real</w:t>
      </w:r>
      <w:r>
        <w:t xml:space="preserve">”</w:t>
      </w:r>
      <w:r>
        <w:t xml:space="preserve"> </w:t>
      </w:r>
      <w:r>
        <w:t xml:space="preserve">statement is a known current</w:t>
      </w:r>
      <w:r>
        <w:t xml:space="preserve"> </w:t>
      </w:r>
      <w:r>
        <w:t xml:space="preserve">target term served only to validate the judges [pre-specified]. Judged statements</w:t>
      </w:r>
      <w:r>
        <w:t xml:space="preserve"> </w:t>
      </w:r>
      <w:r>
        <w:t xml:space="preserve">contained the predicted GO term and the descriptive module label but not the relationship type, which existed for no</w:t>
      </w:r>
      <w:r>
        <w:t xml:space="preserve"> </w:t>
      </w:r>
      <w:r>
        <w:t xml:space="preserve">decoy donor and would have marked the real slot [deviation]. The judge instruction credited a match to</w:t>
      </w:r>
      <w:r>
        <w:t xml:space="preserve"> </w:t>
      </w:r>
      <w:r>
        <w:t xml:space="preserve">“</w:t>
      </w:r>
      <w:r>
        <w:t xml:space="preserve">the stated</w:t>
      </w:r>
      <w:r>
        <w:t xml:space="preserve"> </w:t>
      </w:r>
      <w:r>
        <w:t xml:space="preserve">process or module</w:t>
      </w:r>
      <w:r>
        <w:t xml:space="preserve">”</w:t>
      </w:r>
      <w:r>
        <w:t xml:space="preserve">, so a module-label match counted as support; this was entered in DEVIATIONS.md only after the result</w:t>
      </w:r>
      <w:r>
        <w:t xml:space="preserve"> </w:t>
      </w:r>
      <w:r>
        <w:t xml:space="preserve">[deviation, logged after the result], and term-only results are reported beside the primary ones (Methods).</w:t>
      </w:r>
    </w:p>
    <w:p>
      <w:pPr>
        <w:pStyle w:val="BodyText"/>
      </w:pPr>
      <w:r>
        <w:rPr>
          <w:bCs/>
          <w:b/>
        </w:rPr>
        <w:t xml:space="preserve">Recall probe and blind literature screen [pre-specified; extended].</w:t>
      </w:r>
      <w:r>
        <w:t xml:space="preserve"> </w:t>
      </w:r>
      <w:r>
        <w:t xml:space="preserve">Before any agent saw network output for these</w:t>
      </w:r>
      <w:r>
        <w:t xml:space="preserve"> </w:t>
      </w:r>
      <w:r>
        <w:t xml:space="preserve">genes, a closed-book language model</w:t>
      </w:r>
      <w:r>
        <w:t xml:space="preserve"> </w:t>
      </w:r>
      <w:r>
        <w:t xml:space="preserve">“</w:t>
      </w:r>
      <w:r>
        <w:t xml:space="preserve">recognised</w:t>
      </w:r>
      <w:r>
        <w:t xml:space="preserve">”</w:t>
      </w:r>
      <w:r>
        <w:t xml:space="preserve"> </w:t>
      </w:r>
      <w:r>
        <w:t xml:space="preserve">43 of 59 N1 candidates but 1 of 7 N3 candidates</w:t>
      </w:r>
      <w:r>
        <w:t xml:space="preserve"> </w:t>
      </w:r>
      <w:r>
        <w:t xml:space="preserve">(Fig 5D; S1 Text). A language model therefore</w:t>
      </w:r>
      <w:r>
        <w:t xml:space="preserve"> </w:t>
      </w:r>
      <w:r>
        <w:t xml:space="preserve">already knows most published-but-uncurated functions, which is why the judges saw only evidence retrieved by a separate</w:t>
      </w:r>
      <w:r>
        <w:t xml:space="preserve"> </w:t>
      </w:r>
      <w:r>
        <w:t xml:space="preserve">agent, L, under a redacted gene name. Agent L, with no access to co-essentiality output or to our predictions, recorded</w:t>
      </w:r>
      <w:r>
        <w:t xml:space="preserve"> </w:t>
      </w:r>
      <w:r>
        <w:t xml:space="preserve">887 evidence items with verbatim spans for the 100 genes. Among the 90 U candidates, 59 were N1, 24 N2 and 7</w:t>
      </w:r>
      <w:r>
        <w:t xml:space="preserve"> </w:t>
      </w:r>
      <w:r>
        <w:t xml:space="preserve">N3; in the primary top 40 the split was 31 N1, 7</w:t>
      </w:r>
      <w:r>
        <w:t xml:space="preserve"> </w:t>
      </w:r>
      <w:r>
        <w:t xml:space="preserve">N2 and 2 N3, and in S20 17 N1 and 3 N2 (Fig 5C).</w:t>
      </w:r>
      <w:r>
        <w:t xml:space="preserve"> </w:t>
      </w:r>
      <w:r>
        <w:t xml:space="preserve">These sets were selected on p_cal or signal and do not estimate a prevalence, but the highest-ranked predictions are</w:t>
      </w:r>
      <w:r>
        <w:t xml:space="preserve"> </w:t>
      </w:r>
      <w:r>
        <w:t xml:space="preserve">concentrated in genes whose function is already published but not yet in GO experimental annotation: 78% of the top 40</w:t>
      </w:r>
      <w:r>
        <w:t xml:space="preserve"> </w:t>
      </w:r>
      <w:r>
        <w:t xml:space="preserve">and 85% of S20. [Post-review exploratory] The</w:t>
      </w:r>
      <w:r>
        <w:t xml:space="preserve"> </w:t>
      </w:r>
      <w:r>
        <w:t xml:space="preserve">definition artefacts described under C1 are concentrated here: 37 of the top 40 and all 20 S20 genes entered U through</w:t>
      </w:r>
      <w:r>
        <w:t xml:space="preserve"> </w:t>
      </w:r>
      <w:r>
        <w:t xml:space="preserve">the literature criterion alone, and 30 of the top 40 and all of S20 carry a definition-artefact flag (13 and 17 are</w:t>
      </w:r>
      <w:r>
        <w:t xml:space="preserve"> </w:t>
      </w:r>
      <w:r>
        <w:t xml:space="preserve">Complex Portal subunits).</w:t>
      </w:r>
    </w:p>
    <w:p>
      <w:pPr>
        <w:pStyle w:val="BodyText"/>
      </w:pPr>
      <w:r>
        <w:rPr>
          <w:bCs/>
          <w:b/>
        </w:rPr>
        <w:t xml:space="preserve">Judges [pre-specified].</w:t>
      </w:r>
      <w:r>
        <w:t xml:space="preserve"> </w:t>
      </w:r>
      <w:r>
        <w:t xml:space="preserve">On the 10 H validation genes, adjudicated scores supported 9 of 10 real statements and 1 of</w:t>
      </w:r>
      <w:r>
        <w:t xml:space="preserve"> </w:t>
      </w:r>
      <w:r>
        <w:t xml:space="preserve">30 decoys, meeting the acceptance rule (at least 7 of 10 real, at most 3</w:t>
      </w:r>
      <w:r>
        <w:t xml:space="preserve"> </w:t>
      </w:r>
      <w:r>
        <w:t xml:space="preserve">of 30 decoys) at the first attempt. Over the 360 main statements the two judges, two instances of one model (Methods),</w:t>
      </w:r>
      <w:r>
        <w:t xml:space="preserve"> </w:t>
      </w:r>
      <w:r>
        <w:t xml:space="preserve">agreed with κ = 0.975, with 2 disagreements, both resolved by the adjudicator.</w:t>
      </w:r>
      <w:r>
        <w:t xml:space="preserve"> </w:t>
      </w:r>
      <w:r>
        <w:t xml:space="preserve">This is between-instance reproducibility, not validity, which rests on the validation set and the low decoy support</w:t>
      </w:r>
      <w:r>
        <w:t xml:space="preserve"> </w:t>
      </w:r>
      <w:r>
        <w:t xml:space="preserve">rate. No packet leaked a gene or partner name.</w:t>
      </w:r>
    </w:p>
    <w:p>
      <w:pPr>
        <w:pStyle w:val="BodyText"/>
      </w:pPr>
      <w:r>
        <w:rPr>
          <w:bCs/>
          <w:b/>
        </w:rPr>
        <w:t xml:space="preserve">Primary blinded test: top 40 [pre-specified; scoring operationalised, see above].</w:t>
      </w:r>
      <w:r>
        <w:t xml:space="preserve"> </w:t>
      </w:r>
      <w:r>
        <w:t xml:space="preserve">Each gene’s packet held the real</w:t>
      </w:r>
      <w:r>
        <w:t xml:space="preserve"> </w:t>
      </w:r>
      <w:r>
        <w:t xml:space="preserve">statement and three decoys in random order; the decoys were top terms of other U genes, matched on family and term size. Judges supported 18 of 40 real statements (45%, Wilson 95% CI 31–60%),</w:t>
      </w:r>
      <w:r>
        <w:t xml:space="preserve"> </w:t>
      </w:r>
      <w:r>
        <w:t xml:space="preserve">left 20 unaddressed and scored 2 as contradicted, both on direction (S1</w:t>
      </w:r>
      <w:r>
        <w:t xml:space="preserve"> </w:t>
      </w:r>
      <w:r>
        <w:t xml:space="preserve">Text). They supported 3 of 120 decoys (2.5%). The mean of real minus</w:t>
      </w:r>
      <w:r>
        <w:t xml:space="preserve"> </w:t>
      </w:r>
      <w:r>
        <w:t xml:space="preserve">mean decoy score was 0.375; with 20 non-zero differences, the exact one-sided sign-flip p was 2.2 × 10⁻⁴, so the primary test passes (Fig 5A). [Post-review exploratory] Counting</w:t>
      </w:r>
      <w:r>
        <w:t xml:space="preserve"> </w:t>
      </w:r>
      <w:r>
        <w:t xml:space="preserve">support for the GO term only, which is what p_cal estimates, 16 of 40 real statements were supported (sign-flip p = 7.1</w:t>
      </w:r>
      <w:r>
        <w:t xml:space="preserve"> </w:t>
      </w:r>
      <w:r>
        <w:t xml:space="preserve">× 10⁻⁴); every supported decoy was supported on its term. Slot-permutation and</w:t>
      </w:r>
      <w:r>
        <w:t xml:space="preserve"> </w:t>
      </w:r>
      <w:r>
        <w:t xml:space="preserve">module-clustered tests gave the same conclusion (S1 Text). The test is nonetheless easy: decoys are other genes’ terms,</w:t>
      </w:r>
      <w:r>
        <w:t xml:space="preserve"> </w:t>
      </w:r>
      <w:r>
        <w:t xml:space="preserve">so for a gene with literature the real statement can win on topic alone; within-gene decoys (the gene’s own</w:t>
      </w:r>
      <w:r>
        <w:t xml:space="preserve"> </w:t>
      </w:r>
      <w:r>
        <w:t xml:space="preserve">lower-ranked terms) would test whether the</w:t>
      </w:r>
      <w:r>
        <w:t xml:space="preserve"> </w:t>
      </w:r>
      <w:r>
        <w:rPr>
          <w:iCs/>
          <w:i/>
        </w:rPr>
        <w:t xml:space="preserve">top</w:t>
      </w:r>
      <w:r>
        <w:t xml:space="preserve"> </w:t>
      </w:r>
      <w:r>
        <w:t xml:space="preserve">prediction is preferred, and were not run. Support fell with rank: 12</w:t>
      </w:r>
      <w:r>
        <w:t xml:space="preserve"> </w:t>
      </w:r>
      <w:r>
        <w:t xml:space="preserve">of 20 for ranks 1–20 and 6 of 20 for ranks 21–40</w:t>
      </w:r>
      <w:r>
        <w:t xml:space="preserve"> </w:t>
      </w:r>
      <w:r>
        <w:t xml:space="preserve">(Fig 5B).</w:t>
      </w:r>
    </w:p>
    <w:p>
      <w:pPr>
        <w:pStyle w:val="BodyText"/>
      </w:pPr>
      <w:r>
        <w:rPr>
          <w:bCs/>
          <w:b/>
        </w:rPr>
        <w:t xml:space="preserve">Secondary sets [S20: deviation; extra30: pre-specified].</w:t>
      </w:r>
      <w:r>
        <w:t xml:space="preserve"> </w:t>
      </w:r>
      <w:r>
        <w:t xml:space="preserve">These sets were analysed separately and never pooled with</w:t>
      </w:r>
      <w:r>
        <w:t xml:space="preserve"> </w:t>
      </w:r>
      <w:r>
        <w:t xml:space="preserve">the primary test. In S20, judges supported 19 of 20 real statements and 2 of 60 decoys (sign-flip p = 1.9 × 10⁻⁶); 15 of the 20 carry a Commander, complex I/OXPHOS or Elongator module</w:t>
      </w:r>
      <w:r>
        <w:t xml:space="preserve"> </w:t>
      </w:r>
      <w:r>
        <w:t xml:space="preserve">label, the machinery modules that the calibration support rule excludes. In extra30,</w:t>
      </w:r>
      <w:r>
        <w:t xml:space="preserve"> </w:t>
      </w:r>
      <w:r>
        <w:t xml:space="preserve">judges supported 1 of 30 real statements and 1 of 90 decoys (p = 0.5).</w:t>
      </w:r>
      <w:r>
        <w:t xml:space="preserve"> </w:t>
      </w:r>
      <w:r>
        <w:t xml:space="preserve">Literature support therefore rose with p_cal across the fill pool (Fig 5B): 18 of 40 in the top 40 against 1 of 30 in</w:t>
      </w:r>
      <w:r>
        <w:t xml:space="preserve"> </w:t>
      </w:r>
      <w:r>
        <w:t xml:space="preserve">extra30 (one-sided Fisher p = 5.6 × 10⁻⁵) [exploratory; post hoc, unadjusted]. Literature support is a different and more</w:t>
      </w:r>
      <w:r>
        <w:t xml:space="preserve"> </w:t>
      </w:r>
      <w:r>
        <w:t xml:space="preserve">lenient endpoint than p_cal, which estimates curation of the exact GO term with experimental evidence: the 18 (or 16)</w:t>
      </w:r>
      <w:r>
        <w:t xml:space="preserve"> </w:t>
      </w:r>
      <w:r>
        <w:t xml:space="preserve">supported statements sit beside a summed p_cal of 2.50 for the top 40</w:t>
      </w:r>
      <w:r>
        <w:t xml:space="preserve"> </w:t>
      </w:r>
      <w:r>
        <w:t xml:space="preserve">if every gene were annotated, or about 0.4–0.6</w:t>
      </w:r>
      <w:r>
        <w:t xml:space="preserve"> </w:t>
      </w:r>
      <w:r>
        <w:t xml:space="preserve">unconditionally (signal-adjusted 0.64, 0.32–1.02)</w:t>
      </w:r>
      <w:r>
        <w:t xml:space="preserve"> </w:t>
      </w:r>
      <w:r>
        <w:t xml:space="preserve">[post-review</w:t>
      </w:r>
      <w:r>
        <w:t xml:space="preserve"> </w:t>
      </w:r>
      <w:r>
        <w:t xml:space="preserve">exploratory]. The gap measures how much more often</w:t>
      </w:r>
      <w:r>
        <w:t xml:space="preserve"> </w:t>
      </w:r>
      <w:r>
        <w:t xml:space="preserve">“</w:t>
      </w:r>
      <w:r>
        <w:t xml:space="preserve">the literature reports the gene in this process or module</w:t>
      </w:r>
      <w:r>
        <w:t xml:space="preserve">”</w:t>
      </w:r>
      <w:r>
        <w:t xml:space="preserve"> </w:t>
      </w:r>
      <w:r>
        <w:t xml:space="preserve">holds</w:t>
      </w:r>
      <w:r>
        <w:t xml:space="preserve"> </w:t>
      </w:r>
      <w:r>
        <w:t xml:space="preserve">than</w:t>
      </w:r>
      <w:r>
        <w:t xml:space="preserve"> </w:t>
      </w:r>
      <w:r>
        <w:t xml:space="preserve">“</w:t>
      </w:r>
      <w:r>
        <w:t xml:space="preserve">curators annotate this exact term</w:t>
      </w:r>
      <w:r>
        <w:t xml:space="preserve">”</w:t>
      </w:r>
      <w:r>
        <w:t xml:space="preserve">.</w:t>
      </w:r>
    </w:p>
    <w:p>
      <w:pPr>
        <w:pStyle w:val="BodyText"/>
      </w:pPr>
      <w:r>
        <w:rPr>
          <w:bCs/>
          <w:b/>
        </w:rPr>
        <w:t xml:space="preserve">Support by novelty class [pre-specified reporting].</w:t>
      </w:r>
      <w:r>
        <w:t xml:space="preserve"> </w:t>
      </w:r>
      <w:r>
        <w:t xml:space="preserve">The support is mostly rediscovery. In the top 40, judges</w:t>
      </w:r>
      <w:r>
        <w:t xml:space="preserve"> </w:t>
      </w:r>
      <w:r>
        <w:t xml:space="preserve">supported 16 of 31 N1, 2 of 7 N2 and 0 of 2 N3 genes (Fig 5C); in S20,</w:t>
      </w:r>
      <w:r>
        <w:t xml:space="preserve"> </w:t>
      </w:r>
      <w:r>
        <w:t xml:space="preserve">17 of 17 N1 and 2 of 3 N2 genes. Of the 37 supported top-40 and S20</w:t>
      </w:r>
      <w:r>
        <w:t xml:space="preserve"> </w:t>
      </w:r>
      <w:r>
        <w:t xml:space="preserve">genes, 33 are N1, and the recall probe recognised 35</w:t>
      </w:r>
      <w:r>
        <w:t xml:space="preserve"> </w:t>
      </w:r>
      <w:r>
        <w:t xml:space="preserve">(Table A in S1 Text). Among top-40 genes with published function, selected on p_cal, the predicted function matched the</w:t>
      </w:r>
      <w:r>
        <w:t xml:space="preserve"> </w:t>
      </w:r>
      <w:r>
        <w:t xml:space="preserve">published one for 16 of 31 (52%, Wilson 95% CI 35–68%); on the GO term alone it matched for 14 of 31 (45%), because</w:t>
      </w:r>
      <w:r>
        <w:t xml:space="preserve"> </w:t>
      </w:r>
      <w:r>
        <w:t xml:space="preserve">YPEL5 and DPCD are N1 genes supported on the module label only.</w:t>
      </w:r>
      <w:r>
        <w:t xml:space="preserve"> </w:t>
      </w:r>
      <w:r>
        <w:t xml:space="preserve">This is a curation-independent estimate of accuracy within that selected group, on a lenient endpoint. In extra30 the</w:t>
      </w:r>
      <w:r>
        <w:t xml:space="preserve"> </w:t>
      </w:r>
      <w:r>
        <w:t xml:space="preserve">corresponding count was 1 of 11 N1 genes (one-sided</w:t>
      </w:r>
      <w:r>
        <w:t xml:space="preserve"> </w:t>
      </w:r>
      <w:r>
        <w:t xml:space="preserve">Fisher p = 0.014) [exploratory; post hoc,</w:t>
      </w:r>
      <w:r>
        <w:t xml:space="preserve"> </w:t>
      </w:r>
      <w:r>
        <w:t xml:space="preserve">unadjusted]. This suggests that higher-ranked predictions match published function more often, and not only because</w:t>
      </w:r>
      <w:r>
        <w:t xml:space="preserve"> </w:t>
      </w:r>
      <w:r>
        <w:t xml:space="preserve">their genes are better studied; it rests on one uncorrected test with 11 extra30 genes. [Post-review exploratory] In</w:t>
      </w:r>
      <w:r>
        <w:t xml:space="preserve"> </w:t>
      </w:r>
      <w:r>
        <w:t xml:space="preserve">the top 40, judged support was 17 of 30 for genes with a definition-artefact flag and 1 of 10 for genes without. Only four supported genes are N2: TRAPPC5 and BICRAL in the</w:t>
      </w:r>
      <w:r>
        <w:t xml:space="preserve"> </w:t>
      </w:r>
      <w:r>
        <w:t xml:space="preserve">top 40, NDUFB2 and MED9 in S20. No N3 prediction</w:t>
      </w:r>
      <w:r>
        <w:t xml:space="preserve"> </w:t>
      </w:r>
      <w:r>
        <w:t xml:space="preserve">could be checked against the literature by construction.</w:t>
      </w:r>
    </w:p>
    <w:p>
      <w:pPr>
        <w:pStyle w:val="BodyText"/>
      </w:pPr>
      <w:r>
        <w:rPr>
          <w:bCs/>
          <w:b/>
        </w:rPr>
        <w:t xml:space="preserve">Overlap with earlier catalogues [post-review exploratory].</w:t>
      </w:r>
      <w:r>
        <w:t xml:space="preserve"> </w:t>
      </w:r>
      <w:r>
        <w:t xml:space="preserve">For each candidate we asked whether the relationship</w:t>
      </w:r>
      <w:r>
        <w:t xml:space="preserve"> </w:t>
      </w:r>
      <w:r>
        <w:t xml:space="preserve">between the gene and at least one of its ten strongest partners had already been published (S9 Table; S4B Fig). Of the</w:t>
      </w:r>
      <w:r>
        <w:t xml:space="preserve"> </w:t>
      </w:r>
      <w:r>
        <w:t xml:space="preserve">primary top 40, 19 have a significant GLS pair and 22 share a tight module in the 2021 co-essentiality atlas</w:t>
      </w:r>
      <w:r>
        <w:t xml:space="preserve"> </w:t>
      </w:r>
      <w:r>
        <w:t xml:space="preserve">[23], 17 share a hu.MAP 3.0 complex with a top-10 partner and 20 have a Predictomes AlphaFold pair (SPOC ≥</w:t>
      </w:r>
      <w:r>
        <w:t xml:space="preserve"> </w:t>
      </w:r>
      <w:r>
        <w:t xml:space="preserve">0.5).</w:t>
      </w:r>
      <w:r>
        <w:t xml:space="preserve"> </w:t>
      </w:r>
      <w:r>
        <w:t xml:space="preserve">Overall, 27 of the top 40 have a prior in a co-essentiality catalogue and 34 in any resource we obtained; only 6 have</w:t>
      </w:r>
      <w:r>
        <w:t xml:space="preserve"> </w:t>
      </w:r>
      <w:r>
        <w:t xml:space="preserve">none, and all 20 S20 genes have a prior. Wainberg et al. listed</w:t>
      </w:r>
      <w:r>
        <w:t xml:space="preserve"> </w:t>
      </w:r>
      <w:r>
        <w:t xml:space="preserve">explicit function predictions for three of our top-40 genes, CCDC71L, C5orf34 and INAFM1, all of which became candidate reports. These flags record that the</w:t>
      </w:r>
      <w:r>
        <w:t xml:space="preserve"> </w:t>
      </w:r>
      <w:r>
        <w:t xml:space="preserve">link was published, not that the same function was assigned; Pan et al. [20], FIREWORKS [60] and</w:t>
      </w:r>
      <w:r>
        <w:t xml:space="preserve"> </w:t>
      </w:r>
      <w:r>
        <w:t xml:space="preserve">Perturb-seq clusters [39] could not be checked, so the counts are lower bounds on prior knowledge.</w:t>
      </w:r>
    </w:p>
    <w:bookmarkEnd w:id="27"/>
    <w:bookmarkStart w:id="28" w:name="Xdeb8def6c09e66cb0bf2c4614b2dde646fd00b3"/>
    <w:p>
      <w:pPr>
        <w:pStyle w:val="Heading2"/>
      </w:pPr>
      <w:r>
        <w:t xml:space="preserve">Ten candidate reports: three rediscoveries, one partial rediscovery and five hypotheses, four of them previously proposed</w:t>
      </w:r>
    </w:p>
    <w:p>
      <w:pPr>
        <w:pStyle w:val="FirstParagraph"/>
      </w:pPr>
      <w:r>
        <w:t xml:space="preserve">The ten report genes were fixed before any judging result existed: the</w:t>
      </w:r>
      <w:r>
        <w:t xml:space="preserve"> </w:t>
      </w:r>
      <w:r>
        <w:t xml:space="preserve">nine highest-ranked N2 and N3 genes of the primary top 40 and one N1 rediscovery exemplar, ANKRD52, the top-ranked gene</w:t>
      </w:r>
      <w:r>
        <w:t xml:space="preserve"> </w:t>
      </w:r>
      <w:r>
        <w:t xml:space="preserve">overall. Each report was written from a machine-generated evidence bundle, attacked by an independent red-team agent,</w:t>
      </w:r>
      <w:r>
        <w:t xml:space="preserve"> </w:t>
      </w:r>
      <w:r>
        <w:t xml:space="preserve">and revised (S1–S10 Reports); all ten red-team verdicts were</w:t>
      </w:r>
      <w:r>
        <w:t xml:space="preserve"> </w:t>
      </w:r>
      <w:r>
        <w:t xml:space="preserve">“</w:t>
      </w:r>
      <w:r>
        <w:t xml:space="preserve">accept with revisions</w:t>
      </w:r>
      <w:r>
        <w:t xml:space="preserve">”</w:t>
      </w:r>
      <w:r>
        <w:t xml:space="preserve">.</w:t>
      </w:r>
      <w:r>
        <w:t xml:space="preserve"> </w:t>
      </w:r>
      <w:r>
        <w:t xml:space="preserve">Nine of the ten genes had a prior co-essential or physical link in earlier catalogues; only PLEKHH3 had none. Table 2 summarises the reports, S10 Table gives the decisive</w:t>
      </w:r>
      <w:r>
        <w:t xml:space="preserve"> </w:t>
      </w:r>
      <w:r>
        <w:t xml:space="preserve">experiments, and S1 Text gives the full narrative.</w:t>
      </w:r>
    </w:p>
    <w:p>
      <w:pPr>
        <w:pStyle w:val="BodyText"/>
      </w:pPr>
      <w:r>
        <w:rPr>
          <w:bCs/>
          <w:b/>
        </w:rPr>
        <w:t xml:space="preserve">Rediscoveries.</w:t>
      </w:r>
      <w:r>
        <w:t xml:space="preserve"> </w:t>
      </w:r>
      <w:r>
        <w:t xml:space="preserve">ANKRD52, BICRAL and TRAPPC5 recovered published biology blind. ANKRD52 is the regulatory subunit of</w:t>
      </w:r>
      <w:r>
        <w:t xml:space="preserve"> </w:t>
      </w:r>
      <w:r>
        <w:t xml:space="preserve">the phosphatase PP6, which dephosphorylates Argonaute 2 to sustain microRNA silencing [61]; its</w:t>
      </w:r>
      <w:r>
        <w:t xml:space="preserve"> </w:t>
      </w:r>
      <w:r>
        <w:t xml:space="preserve">co-essentiality neighbourhood is the miRNA biogenesis and silencing machinery, and the AGO2–ANKRD52 co-dependency had</w:t>
      </w:r>
      <w:r>
        <w:t xml:space="preserve"> </w:t>
      </w:r>
      <w:r>
        <w:t xml:space="preserve">itself been reported [62]. BICRAL’s two strongest partners, SMARCD1 and BRD9, are the defining subunits of the</w:t>
      </w:r>
      <w:r>
        <w:t xml:space="preserve"> </w:t>
      </w:r>
      <w:r>
        <w:t xml:space="preserve">non-canonical BAF (GBAF/ncBAF) complex in which it was placed biochemically in 2018 [63]. TRAPPC5 is a known</w:t>
      </w:r>
      <w:r>
        <w:t xml:space="preserve"> </w:t>
      </w:r>
      <w:r>
        <w:t xml:space="preserve">TRAPP core subunit. RBM34 is a partial rediscovery: its partners are RNA polymerase I subunits and large-subunit</w:t>
      </w:r>
      <w:r>
        <w:t xml:space="preserve"> </w:t>
      </w:r>
      <w:r>
        <w:t xml:space="preserve">pre-rRNA assembly factors, consistent with its yeast orthologue Nop12, a 60S maturation factor [64], and with a</w:t>
      </w:r>
      <w:r>
        <w:t xml:space="preserve"> </w:t>
      </w:r>
      <w:r>
        <w:t xml:space="preserve">pre-ribosome module of Wainberg et al., while the predicted term</w:t>
      </w:r>
      <w:r>
        <w:t xml:space="preserve"> </w:t>
      </w:r>
      <w:r>
        <w:t xml:space="preserve">“</w:t>
      </w:r>
      <w:r>
        <w:t xml:space="preserve">DNA-templated transcription elongation</w:t>
      </w:r>
      <w:r>
        <w:t xml:space="preserve">”</w:t>
      </w:r>
      <w:r>
        <w:t xml:space="preserve"> </w:t>
      </w:r>
      <w:r>
        <w:t xml:space="preserve">reflects how</w:t>
      </w:r>
      <w:r>
        <w:t xml:space="preserve"> </w:t>
      </w:r>
      <w:r>
        <w:t xml:space="preserve">the Pol I subunits are annotated.</w:t>
      </w:r>
    </w:p>
    <w:p>
      <w:pPr>
        <w:pStyle w:val="BodyText"/>
      </w:pPr>
      <w:r>
        <w:rPr>
          <w:bCs/>
          <w:b/>
        </w:rPr>
        <w:t xml:space="preserve">PLEKHH3.</w:t>
      </w:r>
      <w:r>
        <w:t xml:space="preserve"> </w:t>
      </w:r>
      <w:r>
        <w:t xml:space="preserve">The one hypothesis without precedent in any catalogue we checked rests on a fitness co-advantage rather</w:t>
      </w:r>
      <w:r>
        <w:t xml:space="preserve"> </w:t>
      </w:r>
      <w:r>
        <w:t xml:space="preserve">than on shared essentiality. PLEKHH3’s two strongest correlates among all 18,433 genes are PLEKHA1 (TAPP1) and PTEN</w:t>
      </w:r>
      <w:r>
        <w:t xml:space="preserve"> </w:t>
      </w:r>
      <w:r>
        <w:t xml:space="preserve">(r = 0.424 and 0.400), followed by TSC2, TSC1 and DDIT4, while the pathway’s accelerator PIK3CA runs the other way</w:t>
      </w:r>
      <w:r>
        <w:t xml:space="preserve"> </w:t>
      </w:r>
      <w:r>
        <w:t xml:space="preserve">(r = −0.186). PTEN and PLEKHA1, like PLEKHH3 itself, are genes whose loss helps</w:t>
      </w:r>
      <w:r>
        <w:t xml:space="preserve"> </w:t>
      </w:r>
      <w:r>
        <w:t xml:space="preserve">cells grow (mean Chronos effects +0.377, +0.219 and +0.087). The two</w:t>
      </w:r>
      <w:r>
        <w:t xml:space="preserve"> </w:t>
      </w:r>
      <w:r>
        <w:t xml:space="preserve">partners are themselves correlated (r 0.453), but each keeps a partial correlation with PLEKHH3 given the other (0.257</w:t>
      </w:r>
      <w:r>
        <w:t xml:space="preserve"> </w:t>
      </w:r>
      <w:r>
        <w:t xml:space="preserve">and 0.298). The report predicts that PLEKHH3 restrains PI3K/AKT output with the</w:t>
      </w:r>
      <w:r>
        <w:t xml:space="preserve"> </w:t>
      </w:r>
      <w:r>
        <w:t xml:space="preserve">PI(3,4)P₂ arm, a direction that a</w:t>
      </w:r>
      <w:r>
        <w:t xml:space="preserve"> </w:t>
      </w:r>
      <w:r>
        <w:t xml:space="preserve">“</w:t>
      </w:r>
      <w:r>
        <w:t xml:space="preserve">function in a module</w:t>
      </w:r>
      <w:r>
        <w:t xml:space="preserve">”</w:t>
      </w:r>
      <w:r>
        <w:t xml:space="preserve"> </w:t>
      </w:r>
      <w:r>
        <w:t xml:space="preserve">vocabulary cannot express. For now this is a low-amplitude</w:t>
      </w:r>
      <w:r>
        <w:t xml:space="preserve"> </w:t>
      </w:r>
      <w:r>
        <w:t xml:space="preserve">co-advantage signal not yet controlled for lineage: the co-dependency is absent in lymphoid lines, and the checks that</w:t>
      </w:r>
      <w:r>
        <w:t xml:space="preserve"> </w:t>
      </w:r>
      <w:r>
        <w:t xml:space="preserve">need only DepMap data (lineage-adjusted partial correlations and an analysis excluding PTEN-null lines) were not run.</w:t>
      </w:r>
    </w:p>
    <w:p>
      <w:pPr>
        <w:pStyle w:val="BodyText"/>
      </w:pPr>
      <w:r>
        <w:rPr>
          <w:bCs/>
          <w:b/>
        </w:rPr>
        <w:t xml:space="preserve">C5orf34.</w:t>
      </w:r>
      <w:r>
        <w:t xml:space="preserve"> </w:t>
      </w:r>
      <w:r>
        <w:t xml:space="preserve">C5orf34 co-depends exclusively on centriole-duplication genes, including the recently described A–C linker</w:t>
      </w:r>
      <w:r>
        <w:t xml:space="preserve"> </w:t>
      </w:r>
      <w:r>
        <w:t xml:space="preserve">proteins CCDC77, MIIP and TBC1D31 (alias WDR67) [65], and Wainberg et al. had already predicted a</w:t>
      </w:r>
      <w:r>
        <w:t xml:space="preserve"> </w:t>
      </w:r>
      <w:r>
        <w:t xml:space="preserve">centriole function for it. A red-team-prompted refit showed that</w:t>
      </w:r>
      <w:r>
        <w:t xml:space="preserve"> </w:t>
      </w:r>
      <w:r>
        <w:t xml:space="preserve">the centriolar neighbourhood survives in the 902 TP53-mutant lines and collapses in the 459 wild-type lines, whereas</w:t>
      </w:r>
      <w:r>
        <w:t xml:space="preserve"> </w:t>
      </w:r>
      <w:r>
        <w:t xml:space="preserve">three random 459-line refits retain it. The signal is second-order, from</w:t>
      </w:r>
      <w:r>
        <w:t xml:space="preserve"> </w:t>
      </w:r>
      <w:r>
        <w:t xml:space="preserve">partner-list overlap rather than direct correlation (S1 Text). The TP53 dependence could reflect a centriolar phenotype</w:t>
      </w:r>
      <w:r>
        <w:t xml:space="preserve"> </w:t>
      </w:r>
      <w:r>
        <w:t xml:space="preserve">masked by p53-dependent arrest [66], a p53-context dependency unrelated to centrioles, or p53 arrest</w:t>
      </w:r>
      <w:r>
        <w:t xml:space="preserve"> </w:t>
      </w:r>
      <w:r>
        <w:t xml:space="preserve">homogenising the dependency of the whole module. The DepMap-only check that would address the last explanation, the</w:t>
      </w:r>
      <w:r>
        <w:t xml:space="preserve"> </w:t>
      </w:r>
      <w:r>
        <w:t xml:space="preserve">coherence of the centriole module itself in TP53-wild-type lines, was not run, so the TP53 condition is an observation</w:t>
      </w:r>
      <w:r>
        <w:t xml:space="preserve"> </w:t>
      </w:r>
      <w:r>
        <w:t xml:space="preserve">to be tested, not an established property of C5orf34.</w:t>
      </w:r>
    </w:p>
    <w:p>
      <w:pPr>
        <w:pStyle w:val="BodyText"/>
      </w:pPr>
      <w:r>
        <w:rPr>
          <w:bCs/>
          <w:b/>
        </w:rPr>
        <w:t xml:space="preserve">The other hypotheses</w:t>
      </w:r>
      <w:r>
        <w:t xml:space="preserve"> </w:t>
      </w:r>
      <w:r>
        <w:t xml:space="preserve">are weak or anticipated, as the reports state up front. CCDC71L’s Polycomb-dominated</w:t>
      </w:r>
      <w:r>
        <w:t xml:space="preserve"> </w:t>
      </w:r>
      <w:r>
        <w:t xml:space="preserve">neighbourhood exists only after bias correction, and Wainberg et al. had predicted an H3K27-methyltransferase function</w:t>
      </w:r>
      <w:r>
        <w:t xml:space="preserve"> </w:t>
      </w:r>
      <w:r>
        <w:t xml:space="preserve">for it. TM2D1 and TM2D2 form one co-dependency module with AUP1, JOSD1, STUB1 and</w:t>
      </w:r>
      <w:r>
        <w:t xml:space="preserve"> </w:t>
      </w:r>
      <w:r>
        <w:t xml:space="preserve">CHIC2, whose</w:t>
      </w:r>
      <w:r>
        <w:t xml:space="preserve"> </w:t>
      </w:r>
      <w:r>
        <w:t xml:space="preserve">“</w:t>
      </w:r>
      <w:r>
        <w:t xml:space="preserve">ER stress</w:t>
      </w:r>
      <w:r>
        <w:t xml:space="preserve">”</w:t>
      </w:r>
      <w:r>
        <w:t xml:space="preserve"> </w:t>
      </w:r>
      <w:r>
        <w:t xml:space="preserve">label rests on two partners and which was already in Wainberg et al.’s modules. INAFM1, the weakest, is dependency-flat (4 of 1,361 lines</w:t>
      </w:r>
      <w:r>
        <w:t xml:space="preserve"> </w:t>
      </w:r>
      <w:r>
        <w:t xml:space="preserve">below −0.5), and a related ubiquitination function had been predicted before. None of the seven reports that are not rediscoveries was supported</w:t>
      </w:r>
      <w:r>
        <w:t xml:space="preserve"> </w:t>
      </w:r>
      <w:r>
        <w:t xml:space="preserve">by the blinded judges, as expected for genes with partial or no literature.</w:t>
      </w:r>
    </w:p>
    <w:p>
      <w:pPr>
        <w:pStyle w:val="BodyText"/>
      </w:pPr>
      <w:r>
        <w:rPr>
          <w:bCs/>
          <w:b/>
        </w:rPr>
        <w:t xml:space="preserve">Table 2. The ten candidate reports.</w:t>
      </w:r>
      <w:r>
        <w:t xml:space="preserve"> </w:t>
      </w:r>
      <w:r>
        <w:t xml:space="preserve">Rank and p_cal in the primary top 40; relationship type: a, stable subunit;</w:t>
      </w:r>
      <w:r>
        <w:t xml:space="preserve"> </w:t>
      </w:r>
      <w:r>
        <w:t xml:space="preserve">b, assembly or maturation factor; d, pathway member, type unresolved. Orthogonal classes that support the predicted term</w:t>
      </w:r>
      <w:r>
        <w:t xml:space="preserve"> </w:t>
      </w:r>
      <w:r>
        <w:t xml:space="preserve">after Holm correction: P, physical; A, co-abundance; L, localisation; G, Perturb-seq. L class: agent L’s novelty class;</w:t>
      </w:r>
      <w:r>
        <w:t xml:space="preserve"> </w:t>
      </w:r>
      <w:r>
        <w:t xml:space="preserve">judged: blinded, adjudicated verdict. Prior: earlier catalogue evidence for the gene’s co-essential or physical link</w:t>
      </w:r>
      <w:r>
        <w:t xml:space="preserve"> </w:t>
      </w:r>
      <w:r>
        <w:t xml:space="preserve">[post-review]. DEMETER2 non-replication is not listed as a caveat, because the check was never validated (S1 Text).</w:t>
      </w:r>
      <w:r>
        <w:t xml:space="preserve"> </w:t>
      </w:r>
      <w:r>
        <w:t xml:space="preserve">Decisive experiments: S10 Table.</w:t>
      </w:r>
    </w:p>
    <w:tbl>
      <w:tblPr>
        <w:tblStyle w:val="Table"/>
        <w:tblW w:type="pct" w:w="4999.999999999999"/>
        <w:tblLook w:firstRow="1" w:lastRow="0" w:firstColumn="0" w:lastColumn="0" w:noHBand="0" w:noVBand="0" w:val="0020"/>
      </w:tblPr>
      <w:tblGrid>
        <w:gridCol w:w="1131"/>
        <w:gridCol w:w="1131"/>
        <w:gridCol w:w="1131"/>
        <w:gridCol w:w="1131"/>
        <w:gridCol w:w="1131"/>
        <w:gridCol w:w="1131"/>
        <w:gridCol w:w="1131"/>
      </w:tblGrid>
      <w:tr>
        <w:tc>
          <w:p>
            <w:pPr>
              <w:pStyle w:val="Compact"/>
              <w:jc w:val="left"/>
            </w:pPr>
            <w:r>
              <w:t xml:space="preserve">Gene (rank; p_cal)</w:t>
            </w:r>
          </w:p>
        </w:tc>
        <w:tc>
          <w:p>
            <w:pPr>
              <w:pStyle w:val="Compact"/>
              <w:jc w:val="left"/>
            </w:pPr>
            <w:r>
              <w:t xml:space="preserve">Predicted function; type</w:t>
            </w:r>
          </w:p>
        </w:tc>
        <w:tc>
          <w:p>
            <w:pPr>
              <w:pStyle w:val="Compact"/>
              <w:jc w:val="left"/>
            </w:pPr>
            <w:r>
              <w:t xml:space="preserve">Key co-essential partners</w:t>
            </w:r>
          </w:p>
        </w:tc>
        <w:tc>
          <w:p>
            <w:pPr>
              <w:pStyle w:val="Compact"/>
              <w:jc w:val="left"/>
            </w:pPr>
            <w:r>
              <w:t xml:space="preserve">Evidence: physical; other orthogonal; L class; judged</w:t>
            </w:r>
          </w:p>
        </w:tc>
        <w:tc>
          <w:p>
            <w:pPr>
              <w:pStyle w:val="Compact"/>
              <w:jc w:val="left"/>
            </w:pPr>
            <w:r>
              <w:t xml:space="preserve">Prior in catalogues</w:t>
            </w:r>
          </w:p>
        </w:tc>
        <w:tc>
          <w:p>
            <w:pPr>
              <w:pStyle w:val="Compact"/>
              <w:jc w:val="left"/>
            </w:pPr>
            <w:r>
              <w:t xml:space="preserve">Main caveat</w:t>
            </w:r>
          </w:p>
        </w:tc>
        <w:tc>
          <w:p>
            <w:pPr>
              <w:pStyle w:val="Compact"/>
              <w:jc w:val="left"/>
            </w:pPr>
            <w:r>
              <w:t xml:space="preserve">Status</w:t>
            </w:r>
          </w:p>
        </w:tc>
      </w:tr>
      <w:tr>
        <w:tc>
          <w:p>
            <w:pPr>
              <w:pStyle w:val="Compact"/>
              <w:jc w:val="left"/>
            </w:pPr>
            <w:r>
              <w:t xml:space="preserve">ANKRD52 (1; 0.141)</w:t>
            </w:r>
          </w:p>
        </w:tc>
        <w:tc>
          <w:p>
            <w:pPr>
              <w:pStyle w:val="Compact"/>
              <w:jc w:val="left"/>
            </w:pPr>
            <w:r>
              <w:t xml:space="preserve">Regulatory ncRNA-mediated gene silencing; d (PP6 subunit acting on AGO2)</w:t>
            </w:r>
          </w:p>
        </w:tc>
        <w:tc>
          <w:p>
            <w:pPr>
              <w:pStyle w:val="Compact"/>
              <w:jc w:val="left"/>
            </w:pPr>
            <w:r>
              <w:t xml:space="preserve">AGO2, XPO5, DICER1, DROSHA, TNRC6A, DGCR8; PPP6C</w:t>
            </w:r>
          </w:p>
        </w:tc>
        <w:tc>
          <w:p>
            <w:pPr>
              <w:pStyle w:val="Compact"/>
              <w:jc w:val="left"/>
            </w:pPr>
            <w:r>
              <w:t xml:space="preserve">none (physical data point to PP6); none; N1; supported</w:t>
            </w:r>
          </w:p>
        </w:tc>
        <w:tc>
          <w:p>
            <w:pPr>
              <w:pStyle w:val="Compact"/>
              <w:jc w:val="left"/>
            </w:pPr>
            <w:r>
              <w:t xml:space="preserve">Wainberg module and GLS pairs; Kim edge; hu.MAP; Predictomes</w:t>
            </w:r>
          </w:p>
        </w:tc>
        <w:tc>
          <w:p>
            <w:pPr>
              <w:pStyle w:val="Compact"/>
              <w:jc w:val="left"/>
            </w:pPr>
            <w:r>
              <w:t xml:space="preserve">Published mechanism and co-dependency; AGO2 loss near-neutral</w:t>
            </w:r>
          </w:p>
        </w:tc>
        <w:tc>
          <w:p>
            <w:pPr>
              <w:pStyle w:val="Compact"/>
              <w:jc w:val="left"/>
            </w:pPr>
            <w:r>
              <w:t xml:space="preserve">rediscovery</w:t>
            </w:r>
          </w:p>
        </w:tc>
      </w:tr>
      <w:tr>
        <w:tc>
          <w:p>
            <w:pPr>
              <w:pStyle w:val="Compact"/>
              <w:jc w:val="left"/>
            </w:pPr>
            <w:r>
              <w:t xml:space="preserve">TRAPPC5 (4; 0.114)</w:t>
            </w:r>
          </w:p>
        </w:tc>
        <w:tc>
          <w:p>
            <w:pPr>
              <w:pStyle w:val="Compact"/>
              <w:jc w:val="left"/>
            </w:pPr>
            <w:r>
              <w:t xml:space="preserve">Golgi vesicle transport; a (TRAPP subunit)</w:t>
            </w:r>
          </w:p>
        </w:tc>
        <w:tc>
          <w:p>
            <w:pPr>
              <w:pStyle w:val="Compact"/>
              <w:jc w:val="left"/>
            </w:pPr>
            <w:r>
              <w:t xml:space="preserve">TRAPPC3, TRAPPC1, TRAPPC11, TRAPPC4, TRAPPC2L, TRAPPC13, TRAPPC8</w:t>
            </w:r>
          </w:p>
        </w:tc>
        <w:tc>
          <w:p>
            <w:pPr>
              <w:pStyle w:val="Compact"/>
              <w:jc w:val="left"/>
            </w:pPr>
            <w:r>
              <w:t xml:space="preserve">P; A, L, G; N2; supported</w:t>
            </w:r>
          </w:p>
        </w:tc>
        <w:tc>
          <w:p>
            <w:pPr>
              <w:pStyle w:val="Compact"/>
              <w:jc w:val="left"/>
            </w:pPr>
            <w:r>
              <w:t xml:space="preserve">Wainberg module; Kim edge; hu.MAP; Predictomes</w:t>
            </w:r>
          </w:p>
        </w:tc>
        <w:tc>
          <w:p>
            <w:pPr>
              <w:pStyle w:val="Compact"/>
              <w:jc w:val="left"/>
            </w:pPr>
            <w:r>
              <w:t xml:space="preserve">Membership in UniProt and Complex Portal; TRAPPIII leaning untested against other core subunits; TP53 flag</w:t>
            </w:r>
          </w:p>
        </w:tc>
        <w:tc>
          <w:p>
            <w:pPr>
              <w:pStyle w:val="Compact"/>
              <w:jc w:val="left"/>
            </w:pPr>
            <w:r>
              <w:t xml:space="preserve">rediscovery</w:t>
            </w:r>
          </w:p>
        </w:tc>
      </w:tr>
      <w:tr>
        <w:tc>
          <w:p>
            <w:pPr>
              <w:pStyle w:val="Compact"/>
              <w:jc w:val="left"/>
            </w:pPr>
            <w:r>
              <w:t xml:space="preserve">RBM34 (5; 0.103)</w:t>
            </w:r>
          </w:p>
        </w:tc>
        <w:tc>
          <w:p>
            <w:pPr>
              <w:pStyle w:val="Compact"/>
              <w:jc w:val="left"/>
            </w:pPr>
            <w:r>
              <w:t xml:space="preserve">DNA-templated transcription elongation (label from Pol I subunits); script a, evidence favours b</w:t>
            </w:r>
          </w:p>
        </w:tc>
        <w:tc>
          <w:p>
            <w:pPr>
              <w:pStyle w:val="Compact"/>
              <w:jc w:val="left"/>
            </w:pPr>
            <w:r>
              <w:t xml:space="preserve">WDR89, DDX31, PWP1, RPF1, CEBPZ, POLR1E/G/H, TCOF1</w:t>
            </w:r>
          </w:p>
        </w:tc>
        <w:tc>
          <w:p>
            <w:pPr>
              <w:pStyle w:val="Compact"/>
              <w:jc w:val="left"/>
            </w:pPr>
            <w:r>
              <w:t xml:space="preserve">P; A, L; N2; unaddressed</w:t>
            </w:r>
          </w:p>
        </w:tc>
        <w:tc>
          <w:p>
            <w:pPr>
              <w:pStyle w:val="Compact"/>
              <w:jc w:val="left"/>
            </w:pPr>
            <w:r>
              <w:t xml:space="preserve">Wainberg pre-ribosome module; Predictomes (PWP1)</w:t>
            </w:r>
          </w:p>
        </w:tc>
        <w:tc>
          <w:p>
            <w:pPr>
              <w:pStyle w:val="Compact"/>
              <w:jc w:val="left"/>
            </w:pPr>
            <w:r>
              <w:t xml:space="preserve">Term is a vocabulary artefact; Nop12 orthology implies the module; TP53 flag</w:t>
            </w:r>
          </w:p>
        </w:tc>
        <w:tc>
          <w:p>
            <w:pPr>
              <w:pStyle w:val="Compact"/>
              <w:jc w:val="left"/>
            </w:pPr>
            <w:r>
              <w:t xml:space="preserve">partial rediscovery</w:t>
            </w:r>
          </w:p>
        </w:tc>
      </w:tr>
      <w:tr>
        <w:tc>
          <w:p>
            <w:pPr>
              <w:pStyle w:val="Compact"/>
              <w:jc w:val="left"/>
            </w:pPr>
            <w:r>
              <w:t xml:space="preserve">PLEKHH3 (12; 0.076)</w:t>
            </w:r>
          </w:p>
        </w:tc>
        <w:tc>
          <w:p>
            <w:pPr>
              <w:pStyle w:val="Compact"/>
              <w:jc w:val="left"/>
            </w:pPr>
            <w:r>
              <w:t xml:space="preserve">Regulation of PI3K/AKT signal transduction, as a negative regulator; d</w:t>
            </w:r>
          </w:p>
        </w:tc>
        <w:tc>
          <w:p>
            <w:pPr>
              <w:pStyle w:val="Compact"/>
              <w:jc w:val="left"/>
            </w:pPr>
            <w:r>
              <w:t xml:space="preserve">PLEKHA1, PTEN, PTPN13; TSC2, TSC1, DDIT4</w:t>
            </w:r>
          </w:p>
        </w:tc>
        <w:tc>
          <w:p>
            <w:pPr>
              <w:pStyle w:val="Compact"/>
              <w:jc w:val="left"/>
            </w:pPr>
            <w:r>
              <w:t xml:space="preserve">none; none; N3; unaddressed</w:t>
            </w:r>
          </w:p>
        </w:tc>
        <w:tc>
          <w:p>
            <w:pPr>
              <w:pStyle w:val="Compact"/>
              <w:jc w:val="left"/>
            </w:pPr>
            <w:r>
              <w:t xml:space="preserve">none found</w:t>
            </w:r>
          </w:p>
        </w:tc>
        <w:tc>
          <w:p>
            <w:pPr>
              <w:pStyle w:val="Compact"/>
              <w:jc w:val="left"/>
            </w:pPr>
            <w:r>
              <w:t xml:space="preserve">Low-amplitude co-advantage, not yet controlled for lineage or PTEN-null lines; PTEN and PLEKHA1 correlated (r 0.45), about two effective partners; absent in lymphoid lines</w:t>
            </w:r>
          </w:p>
        </w:tc>
        <w:tc>
          <w:p>
            <w:pPr>
              <w:pStyle w:val="Compact"/>
              <w:jc w:val="left"/>
            </w:pPr>
            <w:r>
              <w:t xml:space="preserve">hypothesis (no precedent found)</w:t>
            </w:r>
          </w:p>
        </w:tc>
      </w:tr>
      <w:tr>
        <w:tc>
          <w:p>
            <w:pPr>
              <w:pStyle w:val="Compact"/>
              <w:jc w:val="left"/>
            </w:pPr>
            <w:r>
              <w:t xml:space="preserve">CCDC71L (16; 0.064)</w:t>
            </w:r>
          </w:p>
        </w:tc>
        <w:tc>
          <w:p>
            <w:pPr>
              <w:pStyle w:val="Compact"/>
              <w:jc w:val="left"/>
            </w:pPr>
            <w:r>
              <w:t xml:space="preserve">Epigenetic regulation of gene expression; d</w:t>
            </w:r>
          </w:p>
        </w:tc>
        <w:tc>
          <w:p>
            <w:pPr>
              <w:pStyle w:val="Compact"/>
              <w:jc w:val="left"/>
            </w:pPr>
            <w:r>
              <w:t xml:space="preserve">SUZ12, EED, BMI1, RING1, CBX4, CBX8, PHC3, MTF2; SMCHD1, LRIF1</w:t>
            </w:r>
          </w:p>
        </w:tc>
        <w:tc>
          <w:p>
            <w:pPr>
              <w:pStyle w:val="Compact"/>
              <w:jc w:val="left"/>
            </w:pPr>
            <w:r>
              <w:t xml:space="preserve">none; none; N2; unaddressed</w:t>
            </w:r>
          </w:p>
        </w:tc>
        <w:tc>
          <w:p>
            <w:pPr>
              <w:pStyle w:val="Compact"/>
              <w:jc w:val="left"/>
            </w:pPr>
            <w:r>
              <w:t xml:space="preserve">Wainberg function prediction (H3K27 methyltransferase), module and GLS pair</w:t>
            </w:r>
          </w:p>
        </w:tc>
        <w:tc>
          <w:p>
            <w:pPr>
              <w:pStyle w:val="Compact"/>
              <w:jc w:val="left"/>
            </w:pPr>
            <w:r>
              <w:t xml:space="preserve">Exists only after bias correction; very basic protein; lineage leave-out changes the term; HP1 not co-dependent</w:t>
            </w:r>
          </w:p>
        </w:tc>
        <w:tc>
          <w:p>
            <w:pPr>
              <w:pStyle w:val="Compact"/>
              <w:jc w:val="left"/>
            </w:pPr>
            <w:r>
              <w:t xml:space="preserve">hypothesis (predicted before)</w:t>
            </w:r>
          </w:p>
        </w:tc>
      </w:tr>
      <w:tr>
        <w:tc>
          <w:p>
            <w:pPr>
              <w:pStyle w:val="Compact"/>
              <w:jc w:val="left"/>
            </w:pPr>
            <w:r>
              <w:t xml:space="preserve">TM2D2 (21; 0.050)</w:t>
            </w:r>
          </w:p>
        </w:tc>
        <w:tc>
          <w:p>
            <w:pPr>
              <w:pStyle w:val="Compact"/>
              <w:jc w:val="left"/>
            </w:pPr>
            <w:r>
              <w:t xml:space="preserve">Response to ER stress (tied with ERAD); d</w:t>
            </w:r>
          </w:p>
        </w:tc>
        <w:tc>
          <w:p>
            <w:pPr>
              <w:pStyle w:val="Compact"/>
              <w:jc w:val="left"/>
            </w:pPr>
            <w:r>
              <w:t xml:space="preserve">TM2D1, JOSD1, AUP1, STUB1, CHIC2</w:t>
            </w:r>
          </w:p>
        </w:tc>
        <w:tc>
          <w:p>
            <w:pPr>
              <w:pStyle w:val="Compact"/>
              <w:jc w:val="left"/>
            </w:pPr>
            <w:r>
              <w:t xml:space="preserve">none; none; N2; unaddressed</w:t>
            </w:r>
          </w:p>
        </w:tc>
        <w:tc>
          <w:p>
            <w:pPr>
              <w:pStyle w:val="Compact"/>
              <w:jc w:val="left"/>
            </w:pPr>
            <w:r>
              <w:t xml:space="preserve">Wainberg module and GLS pairs</w:t>
            </w:r>
          </w:p>
        </w:tc>
        <w:tc>
          <w:p>
            <w:pPr>
              <w:pStyle w:val="Compact"/>
              <w:jc w:val="left"/>
            </w:pPr>
            <w:r>
              <w:t xml:space="preserve">Term rests on two partners; no co-variation with HRD1–SEL1L–UBE2G2 or UPR genes</w:t>
            </w:r>
          </w:p>
        </w:tc>
        <w:tc>
          <w:p>
            <w:pPr>
              <w:pStyle w:val="Compact"/>
              <w:jc w:val="left"/>
            </w:pPr>
            <w:r>
              <w:t xml:space="preserve">hypothesis (with TM2D1; link published)</w:t>
            </w:r>
          </w:p>
        </w:tc>
      </w:tr>
      <w:tr>
        <w:tc>
          <w:p>
            <w:pPr>
              <w:pStyle w:val="Compact"/>
              <w:jc w:val="left"/>
            </w:pPr>
            <w:r>
              <w:t xml:space="preserve">TM2D1 (28; 0.045)</w:t>
            </w:r>
          </w:p>
        </w:tc>
        <w:tc>
          <w:p>
            <w:pPr>
              <w:pStyle w:val="Compact"/>
              <w:jc w:val="left"/>
            </w:pPr>
            <w:r>
              <w:t xml:space="preserve">Response to ER stress (tied with ERAD); d</w:t>
            </w:r>
          </w:p>
        </w:tc>
        <w:tc>
          <w:p>
            <w:pPr>
              <w:pStyle w:val="Compact"/>
              <w:jc w:val="left"/>
            </w:pPr>
            <w:r>
              <w:t xml:space="preserve">TM2D2, AUP1, JOSD1, STUB1, CHIC2</w:t>
            </w:r>
          </w:p>
        </w:tc>
        <w:tc>
          <w:p>
            <w:pPr>
              <w:pStyle w:val="Compact"/>
              <w:jc w:val="left"/>
            </w:pPr>
            <w:r>
              <w:t xml:space="preserve">none; none; N2; unaddressed</w:t>
            </w:r>
          </w:p>
        </w:tc>
        <w:tc>
          <w:p>
            <w:pPr>
              <w:pStyle w:val="Compact"/>
              <w:jc w:val="left"/>
            </w:pPr>
            <w:r>
              <w:t xml:space="preserve">Wainberg module and GLS pairs; hu.MAP; Predictomes</w:t>
            </w:r>
          </w:p>
        </w:tc>
        <w:tc>
          <w:p>
            <w:pPr>
              <w:pStyle w:val="Compact"/>
              <w:jc w:val="left"/>
            </w:pPr>
            <w:r>
              <w:t xml:space="preserve">Same module as TM2D2 (one observation); STUB1 only raw rank 234; GLS gives a different top term</w:t>
            </w:r>
          </w:p>
        </w:tc>
        <w:tc>
          <w:p>
            <w:pPr>
              <w:pStyle w:val="Compact"/>
              <w:jc w:val="left"/>
            </w:pPr>
            <w:r>
              <w:t xml:space="preserve">hypothesis (with TM2D2)</w:t>
            </w:r>
          </w:p>
        </w:tc>
      </w:tr>
      <w:tr>
        <w:tc>
          <w:p>
            <w:pPr>
              <w:pStyle w:val="Compact"/>
              <w:jc w:val="left"/>
            </w:pPr>
            <w:r>
              <w:t xml:space="preserve">C5orf34 (31; 0.044)</w:t>
            </w:r>
          </w:p>
        </w:tc>
        <w:tc>
          <w:p>
            <w:pPr>
              <w:pStyle w:val="Compact"/>
              <w:jc w:val="left"/>
            </w:pPr>
            <w:r>
              <w:t xml:space="preserve">Regulation of organelle assembly (centriole duplication); b</w:t>
            </w:r>
          </w:p>
        </w:tc>
        <w:tc>
          <w:p>
            <w:pPr>
              <w:pStyle w:val="Compact"/>
              <w:jc w:val="left"/>
            </w:pPr>
            <w:r>
              <w:t xml:space="preserve">SPICE1, CEP135, CEP295, WRAP73, PPP1R35, CEP120, CCDC77, MIIP, TBC1D31</w:t>
            </w:r>
          </w:p>
        </w:tc>
        <w:tc>
          <w:p>
            <w:pPr>
              <w:pStyle w:val="Compact"/>
              <w:jc w:val="left"/>
            </w:pPr>
            <w:r>
              <w:t xml:space="preserve">none; none; N2; unaddressed</w:t>
            </w:r>
          </w:p>
        </w:tc>
        <w:tc>
          <w:p>
            <w:pPr>
              <w:pStyle w:val="Compact"/>
              <w:jc w:val="left"/>
            </w:pPr>
            <w:r>
              <w:t xml:space="preserve">Wainberg function prediction (centriole elongation)</w:t>
            </w:r>
          </w:p>
        </w:tc>
        <w:tc>
          <w:p>
            <w:pPr>
              <w:pStyle w:val="Compact"/>
              <w:jc w:val="left"/>
            </w:pPr>
            <w:r>
              <w:t xml:space="preserve">TP53-mutant lines only, module coherence in wild-type lines untested; second-order signal (raw r with SPICE1 0.06); GLS gives a different term; TP53 flag</w:t>
            </w:r>
          </w:p>
        </w:tc>
        <w:tc>
          <w:p>
            <w:pPr>
              <w:pStyle w:val="Compact"/>
              <w:jc w:val="left"/>
            </w:pPr>
            <w:r>
              <w:t xml:space="preserve">hypothesis (function predicted before; TP53 condition untested)</w:t>
            </w:r>
          </w:p>
        </w:tc>
      </w:tr>
      <w:tr>
        <w:tc>
          <w:p>
            <w:pPr>
              <w:pStyle w:val="Compact"/>
              <w:jc w:val="left"/>
            </w:pPr>
            <w:r>
              <w:t xml:space="preserve">BICRAL (33; 0.041)</w:t>
            </w:r>
          </w:p>
        </w:tc>
        <w:tc>
          <w:p>
            <w:pPr>
              <w:pStyle w:val="Compact"/>
              <w:jc w:val="left"/>
            </w:pPr>
            <w:r>
              <w:t xml:space="preserve">Transcription coregulator binding (GBAF complex); a (weight from literature)</w:t>
            </w:r>
          </w:p>
        </w:tc>
        <w:tc>
          <w:p>
            <w:pPr>
              <w:pStyle w:val="Compact"/>
              <w:jc w:val="left"/>
            </w:pPr>
            <w:r>
              <w:t xml:space="preserve">SMARCD1, BRD9, CTBP1, SMARCA4, CREBBP</w:t>
            </w:r>
          </w:p>
        </w:tc>
        <w:tc>
          <w:p>
            <w:pPr>
              <w:pStyle w:val="Compact"/>
              <w:jc w:val="left"/>
            </w:pPr>
            <w:r>
              <w:t xml:space="preserve">none; A, L (near-tautological); N2; supported</w:t>
            </w:r>
          </w:p>
        </w:tc>
        <w:tc>
          <w:p>
            <w:pPr>
              <w:pStyle w:val="Compact"/>
              <w:jc w:val="left"/>
            </w:pPr>
            <w:r>
              <w:t xml:space="preserve">Wainberg module and GLS pairs; hu.MAP; Predictomes</w:t>
            </w:r>
          </w:p>
        </w:tc>
        <w:tc>
          <w:p>
            <w:pPr>
              <w:pStyle w:val="Compact"/>
              <w:jc w:val="left"/>
            </w:pPr>
            <w:r>
              <w:t xml:space="preserve">Membership published in 2018; paralogue-specificity downgraded; lineage leave-out changes the term</w:t>
            </w:r>
          </w:p>
        </w:tc>
        <w:tc>
          <w:p>
            <w:pPr>
              <w:pStyle w:val="Compact"/>
              <w:jc w:val="left"/>
            </w:pPr>
            <w:r>
              <w:t xml:space="preserve">rediscovery</w:t>
            </w:r>
          </w:p>
        </w:tc>
      </w:tr>
      <w:tr>
        <w:tc>
          <w:p>
            <w:pPr>
              <w:pStyle w:val="Compact"/>
              <w:jc w:val="left"/>
            </w:pPr>
            <w:r>
              <w:t xml:space="preserve">INAFM1 (37; 0.037)</w:t>
            </w:r>
          </w:p>
        </w:tc>
        <w:tc>
          <w:p>
            <w:pPr>
              <w:pStyle w:val="Compact"/>
              <w:jc w:val="left"/>
            </w:pPr>
            <w:r>
              <w:t xml:space="preserve">Polyubiquitin modification-dependent protein binding; d</w:t>
            </w:r>
          </w:p>
        </w:tc>
        <w:tc>
          <w:p>
            <w:pPr>
              <w:pStyle w:val="Compact"/>
              <w:jc w:val="left"/>
            </w:pPr>
            <w:r>
              <w:t xml:space="preserve">label from RAD23B, VCP, UBQLN1; strongest NFE2L1, NGLY1, DDI2</w:t>
            </w:r>
          </w:p>
        </w:tc>
        <w:tc>
          <w:p>
            <w:pPr>
              <w:pStyle w:val="Compact"/>
              <w:jc w:val="left"/>
            </w:pPr>
            <w:r>
              <w:t xml:space="preserve">none; none; N3; unaddressed</w:t>
            </w:r>
          </w:p>
        </w:tc>
        <w:tc>
          <w:p>
            <w:pPr>
              <w:pStyle w:val="Compact"/>
              <w:jc w:val="left"/>
            </w:pPr>
            <w:r>
              <w:t xml:space="preserve">Wainberg function prediction (K63-ubiquitination), module and GLS pairs</w:t>
            </w:r>
          </w:p>
        </w:tc>
        <w:tc>
          <w:p>
            <w:pPr>
              <w:pStyle w:val="Compact"/>
              <w:jc w:val="left"/>
            </w:pPr>
            <w:r>
              <w:t xml:space="preserve">Dependency-flat (4 of 1,361 lines &lt; −0.5); NRF1 axis weakly attached; lineage leave-out changes the term</w:t>
            </w:r>
          </w:p>
        </w:tc>
        <w:tc>
          <w:p>
            <w:pPr>
              <w:pStyle w:val="Compact"/>
              <w:jc w:val="left"/>
            </w:pPr>
            <w:r>
              <w:t xml:space="preserve">hypothesis (predicted before; weakest)</w:t>
            </w:r>
          </w:p>
        </w:tc>
      </w:tr>
    </w:tbl>
    <w:bookmarkEnd w:id="28"/>
    <w:bookmarkEnd w:id="29"/>
    <w:bookmarkStart w:id="37" w:name="discussion"/>
    <w:p>
      <w:pPr>
        <w:pStyle w:val="Heading1"/>
      </w:pPr>
      <w:r>
        <w:t xml:space="preserve">Discussion</w:t>
      </w:r>
    </w:p>
    <w:p>
      <w:pPr>
        <w:pStyle w:val="FirstParagraph"/>
      </w:pPr>
      <w:r>
        <w:t xml:space="preserve">We asked how far co-essentiality can be trusted as a source of function for uncharacterised human genes, under rules</w:t>
      </w:r>
      <w:r>
        <w:t xml:space="preserve"> </w:t>
      </w:r>
      <w:r>
        <w:t xml:space="preserve">fixed before any network quantity was computed. Three answers emerge. The signal is real and specific: on genes that</w:t>
      </w:r>
      <w:r>
        <w:t xml:space="preserve"> </w:t>
      </w:r>
      <w:r>
        <w:t xml:space="preserve">were uncharacterised in 2018, the method beat a profile-matched null (the prior-only arm was degenerate at rank 1), and</w:t>
      </w:r>
      <w:r>
        <w:t xml:space="preserve"> </w:t>
      </w:r>
      <w:r>
        <w:t xml:space="preserve">in blinded judging its top predictions matched the literature far more often than decoy statements. Its absolute</w:t>
      </w:r>
      <w:r>
        <w:t xml:space="preserve"> </w:t>
      </w:r>
      <w:r>
        <w:t xml:space="preserve">accuracy is low and its reach is narrow: at most one pre-registered gene in eight is assessable, and once the</w:t>
      </w:r>
      <w:r>
        <w:t xml:space="preserve"> </w:t>
      </w:r>
      <w:r>
        <w:t xml:space="preserve">reproducibility test’s false-call rate is allowed for, the calls exceed the null by one gene in twenty, implying at</w:t>
      </w:r>
      <w:r>
        <w:t xml:space="preserve"> </w:t>
      </w:r>
      <w:r>
        <w:t xml:space="preserve">least one in fifteen with real signal under an untested assumption; no in-support calibrated probability exceeds</w:t>
      </w:r>
      <w:r>
        <w:t xml:space="preserve"> </w:t>
      </w:r>
      <w:r>
        <w:t xml:space="preserve">0.141; and transfer from homology or interaction partners is more accurate. And the most confident predictions point</w:t>
      </w:r>
      <w:r>
        <w:t xml:space="preserve"> </w:t>
      </w:r>
      <w:r>
        <w:t xml:space="preserve">mainly to functions that are already published, and usually already linked by earlier co-essentiality or interaction</w:t>
      </w:r>
      <w:r>
        <w:t xml:space="preserve"> </w:t>
      </w:r>
      <w:r>
        <w:t xml:space="preserve">catalogues, which says as much about how</w:t>
      </w:r>
      <w:r>
        <w:t xml:space="preserve"> </w:t>
      </w:r>
      <w:r>
        <w:t xml:space="preserve">“</w:t>
      </w:r>
      <w:r>
        <w:t xml:space="preserve">uncharacterised</w:t>
      </w:r>
      <w:r>
        <w:t xml:space="preserve">”</w:t>
      </w:r>
      <w:r>
        <w:t xml:space="preserve"> </w:t>
      </w:r>
      <w:r>
        <w:t xml:space="preserve">is defined as about the method.</w:t>
      </w:r>
    </w:p>
    <w:bookmarkStart w:id="30" w:name="Xe7d99141ff50c239d1a58d7fd4e793fc85e473b"/>
    <w:p>
      <w:pPr>
        <w:pStyle w:val="Heading2"/>
      </w:pPr>
      <w:r>
        <w:t xml:space="preserve">Co-essentiality as calibrated, complementary evidence</w:t>
      </w:r>
    </w:p>
    <w:p>
      <w:pPr>
        <w:pStyle w:val="FirstParagraph"/>
      </w:pPr>
      <w:r>
        <w:t xml:space="preserve">The primary result is modest in size. A precision@1 of 0.030 means that</w:t>
      </w:r>
      <w:r>
        <w:t xml:space="preserve"> </w:t>
      </w:r>
      <w:r>
        <w:t xml:space="preserve">about one gene in 33 of the hold-out receives, as its single top term, a term that curators later annotated with</w:t>
      </w:r>
      <w:r>
        <w:t xml:space="preserve"> </w:t>
      </w:r>
      <w:r>
        <w:t xml:space="preserve">experimental evidence. Reweighted to the covariate distribution of U it is 0.012,</w:t>
      </w:r>
      <w:r>
        <w:t xml:space="preserve"> </w:t>
      </w:r>
      <w:r>
        <w:t xml:space="preserve">about one gene in 83. Accuracy rose steeply with signal strength, to 0.117</w:t>
      </w:r>
      <w:r>
        <w:t xml:space="preserve"> </w:t>
      </w:r>
      <w:r>
        <w:t xml:space="preserve">in the top quintile, and was much higher for complex</w:t>
      </w:r>
      <w:r>
        <w:t xml:space="preserve"> </w:t>
      </w:r>
      <w:r>
        <w:t xml:space="preserve">membership (0.182) than for the broad process terms that dominate GO, so the</w:t>
      </w:r>
      <w:r>
        <w:t xml:space="preserve"> </w:t>
      </w:r>
      <w:r>
        <w:t xml:space="preserve">low headline is partly a property of the pre-registered endpoint. Both observations agree with earlier evidence that</w:t>
      </w:r>
      <w:r>
        <w:t xml:space="preserve"> </w:t>
      </w:r>
      <w:r>
        <w:t xml:space="preserve">co-essentiality is strongest for stable complexes and strong dependencies [20,23,51]. zavg_BEF</w:t>
      </w:r>
      <w:r>
        <w:t xml:space="preserve"> </w:t>
      </w:r>
      <w:r>
        <w:t xml:space="preserve">did not differ detectably from GLS or from plain Pearson correlation, so these are statements about co-essentiality, not</w:t>
      </w:r>
      <w:r>
        <w:t xml:space="preserve"> </w:t>
      </w:r>
      <w:r>
        <w:t xml:space="preserve">about one tool. The homology baseline was seven times more accurate (0.218),</w:t>
      </w:r>
      <w:r>
        <w:t xml:space="preserve"> </w:t>
      </w:r>
      <w:r>
        <w:t xml:space="preserve">and module transfer from hu.MAP 3.0 partners also did better (0.049),</w:t>
      </w:r>
      <w:r>
        <w:t xml:space="preserve"> </w:t>
      </w:r>
      <w:r>
        <w:t xml:space="preserve">although hu.MAP was built after t0 and was favoured by the comparison. Used where homology makes no prediction,</w:t>
      </w:r>
      <w:r>
        <w:t xml:space="preserve"> </w:t>
      </w:r>
      <w:r>
        <w:t xml:space="preserve">co-essentiality raised precision from 0.218 to 0.224 [post-review</w:t>
      </w:r>
      <w:r>
        <w:t xml:space="preserve"> </w:t>
      </w:r>
      <w:r>
        <w:t xml:space="preserve">exploratory]; the oracle union, which credits either method, bounds the gain at 0.236. It is a complementary line of evidence, best weighed</w:t>
      </w:r>
      <w:r>
        <w:t xml:space="preserve"> </w:t>
      </w:r>
      <w:r>
        <w:t xml:space="preserve">alongside homology and physical interaction data, not a stand-alone annotator.</w:t>
      </w:r>
    </w:p>
    <w:p>
      <w:pPr>
        <w:pStyle w:val="BodyText"/>
      </w:pPr>
      <w:r>
        <w:t xml:space="preserve">What the study adds is a calibration, with two qualifications. The pre-specified logistic model was not detectably</w:t>
      </w:r>
      <w:r>
        <w:t xml:space="preserve"> </w:t>
      </w:r>
      <w:r>
        <w:t xml:space="preserve">miscalibrated out of fold (slope 0.82, 95% CI 0.51–1.13; c-statistic 0.855), but it rests on 24 events at 3.4 per parameter, its Brier score barely</w:t>
      </w:r>
      <w:r>
        <w:t xml:space="preserve"> </w:t>
      </w:r>
      <w:r>
        <w:t xml:space="preserve">improves on a constant, one family coefficient reflects</w:t>
      </w:r>
      <w:r>
        <w:t xml:space="preserve"> </w:t>
      </w:r>
      <w:r>
        <w:t xml:space="preserve">separation, and simpler models calibrate comparably (S4D Fig), so the data cannot say whether the frozen model is</w:t>
      </w:r>
      <w:r>
        <w:t xml:space="preserve"> </w:t>
      </w:r>
      <w:r>
        <w:t xml:space="preserve">over-parameterised. And p_cal is conditional: it estimates the chance</w:t>
      </w:r>
      <w:r>
        <w:t xml:space="preserve"> </w:t>
      </w:r>
      <w:r>
        <w:t xml:space="preserve">that the top term is confirmed if the gene is annotated at all, which happened for about one eligible gene in six over</w:t>
      </w:r>
      <w:r>
        <w:t xml:space="preserve"> </w:t>
      </w:r>
      <w:r>
        <w:t xml:space="preserve">eight years. The catalogue’s headline of about 30</w:t>
      </w:r>
      <w:r>
        <w:t xml:space="preserve"> </w:t>
      </w:r>
      <w:r>
        <w:t xml:space="preserve">confirmations among 2,583 calibrated top terms therefore corresponds to</w:t>
      </w:r>
      <w:r>
        <w:t xml:space="preserve"> </w:t>
      </w:r>
      <w:r>
        <w:t xml:space="preserve">about five confirmations if the 2018 cohort’s annotation rate applies to U</w:t>
      </w:r>
      <w:r>
        <w:t xml:space="preserve"> </w:t>
      </w:r>
      <w:r>
        <w:t xml:space="preserve">[post-review</w:t>
      </w:r>
      <w:r>
        <w:t xml:space="preserve"> </w:t>
      </w:r>
      <w:r>
        <w:t xml:space="preserve">exploratory]. A model fitted on characterised</w:t>
      </w:r>
      <w:r>
        <w:t xml:space="preserve"> </w:t>
      </w:r>
      <w:r>
        <w:t xml:space="preserve">genes, the usual leave-one-out set-up, overstated even the conditional probability about threefold. Leave-one-out accuracy on well-annotated genes is therefore an optimistic</w:t>
      </w:r>
      <w:r>
        <w:t xml:space="preserve"> </w:t>
      </w:r>
      <w:r>
        <w:t xml:space="preserve">guide to performance on genes that are only now being studied, a point that CAFA-style evaluations have made for other</w:t>
      </w:r>
      <w:r>
        <w:t xml:space="preserve"> </w:t>
      </w:r>
      <w:r>
        <w:t xml:space="preserve">predictors [45,52,53]. The pre-specified tier thresholds (0.3 and 0.5) could not be reached by</w:t>
      </w:r>
      <w:r>
        <w:t xml:space="preserve"> </w:t>
      </w:r>
      <w:r>
        <w:t xml:space="preserve">construction with a 3% hit rate and covariates bounded by the hold-out; a design lesson is to set such thresholds from a</w:t>
      </w:r>
      <w:r>
        <w:t xml:space="preserve"> </w:t>
      </w:r>
      <w:r>
        <w:t xml:space="preserve">pilot of the attainable range, or relative to the base rate.</w:t>
      </w:r>
    </w:p>
    <w:bookmarkEnd w:id="30"/>
    <w:bookmarkStart w:id="31" w:name="Xbfb9bdb4e348c8068fe889b06c4e3d4ff2394e2"/>
    <w:p>
      <w:pPr>
        <w:pStyle w:val="Heading2"/>
      </w:pPr>
      <w:r>
        <w:t xml:space="preserve">Published functions, uncurated or invisible to the definition</w:t>
      </w:r>
    </w:p>
    <w:p>
      <w:pPr>
        <w:pStyle w:val="FirstParagraph"/>
      </w:pPr>
      <w:r>
        <w:t xml:space="preserve">Two independent agents, using different gene samples, found that a large share of database-</w:t>
      </w:r>
      <w:r>
        <w:t xml:space="preserve">“</w:t>
      </w:r>
      <w:r>
        <w:t xml:space="preserve">uncharacterised</w:t>
      </w:r>
      <w:r>
        <w:t xml:space="preserve">”</w:t>
      </w:r>
      <w:r>
        <w:t xml:space="preserve"> </w:t>
      </w:r>
      <w:r>
        <w:t xml:space="preserve">genes</w:t>
      </w:r>
      <w:r>
        <w:t xml:space="preserve"> </w:t>
      </w:r>
      <w:r>
        <w:t xml:space="preserve">already have published functions: 42% (29–56%) of a random sample of the pre-registered list, the only estimate of prevalence, and 59 of the 90 candidate genes in</w:t>
      </w:r>
      <w:r>
        <w:t xml:space="preserve"> </w:t>
      </w:r>
      <w:r>
        <w:t xml:space="preserve">the blinded literature screen, which were selected on</w:t>
      </w:r>
      <w:r>
        <w:t xml:space="preserve"> </w:t>
      </w:r>
      <w:r>
        <w:t xml:space="preserve">p_cal or signal and estimate nothing about prevalence. Among the primary top 40, 31 genes were N1, and 16 of the 18 supported predictions were for</w:t>
      </w:r>
      <w:r>
        <w:t xml:space="preserve"> </w:t>
      </w:r>
      <w:r>
        <w:t xml:space="preserve">N1 genes.</w:t>
      </w:r>
    </w:p>
    <w:p>
      <w:pPr>
        <w:pStyle w:val="BodyText"/>
      </w:pPr>
      <w:r>
        <w:t xml:space="preserve">Part of this, and most of it among top candidates, is not slow curation but a property of our definition. U combined the absence of experimental GO process</w:t>
      </w:r>
      <w:r>
        <w:t xml:space="preserve"> </w:t>
      </w:r>
      <w:r>
        <w:t xml:space="preserve">and function evidence with either a low UniProt annotation score or low focused literature, following Wainberg et al.’s</w:t>
      </w:r>
      <w:r>
        <w:t xml:space="preserve"> </w:t>
      </w:r>
      <w:r>
        <w:t xml:space="preserve">UniProt criterion [23] only in part. The literature criterion counted papers about at most ten genes and the</w:t>
      </w:r>
      <w:r>
        <w:t xml:space="preserve"> </w:t>
      </w:r>
      <w:r>
        <w:t xml:space="preserve">GO criterion ignored cellular component, so genes studied mainly in multi-gene papers entered U: 3,819 genes came in</w:t>
      </w:r>
      <w:r>
        <w:t xml:space="preserve"> </w:t>
      </w:r>
      <w:r>
        <w:t xml:space="preserve">through the literature criterion alone. In the random sample, 56% of</w:t>
      </w:r>
      <w:r>
        <w:t xml:space="preserve"> </w:t>
      </w:r>
      <w:r>
        <w:t xml:space="preserve">such literature-route genes were N1 against 13% of genes with a low UniProt score. There, 13 of the 21 N1 genes rest on evidence from 2021</w:t>
      </w:r>
      <w:r>
        <w:t xml:space="preserve"> </w:t>
      </w:r>
      <w:r>
        <w:t xml:space="preserve">or later, which is curation lag in the usual sense; of the 8 with older evidence, 6 carry a definition-artefact flag,</w:t>
      </w:r>
      <w:r>
        <w:t xml:space="preserve"> </w:t>
      </w:r>
      <w:r>
        <w:t xml:space="preserve">mostly a UniProt score of 5, and none is a Complex Portal subunit.</w:t>
      </w:r>
      <w:r>
        <w:t xml:space="preserve"> </w:t>
      </w:r>
      <w:r>
        <w:t xml:space="preserve">Among the top 40, by contrast, 30 genes carry a flag and 13 are Complex Portal subunits, so complex membership matters mainly for the selected candidates.</w:t>
      </w:r>
      <w:r>
        <w:t xml:space="preserve"> </w:t>
      </w:r>
      <w:r>
        <w:t xml:space="preserve">Electronic and phylogenetic</w:t>
      </w:r>
      <w:r>
        <w:t xml:space="preserve"> </w:t>
      </w:r>
      <w:r>
        <w:t xml:space="preserve">annotation now covers most human genes [44], although its reliability varies by evidence source</w:t>
      </w:r>
      <w:r>
        <w:t xml:space="preserve"> </w:t>
      </w:r>
      <w:r>
        <w:t xml:space="preserve">[67], and experimental curation lags. A stricter definition (UniProt score ≤ 2, or exclusion of genes with</w:t>
      </w:r>
      <w:r>
        <w:t xml:space="preserve"> </w:t>
      </w:r>
      <w:r>
        <w:t xml:space="preserve">experimental cellular-component or Complex Portal membership) would have given a smaller and more genuinely</w:t>
      </w:r>
      <w:r>
        <w:t xml:space="preserve"> </w:t>
      </w:r>
      <w:r>
        <w:t xml:space="preserve">uncharacterised list, at the cost of some genes that are truly unstudied.</w:t>
      </w:r>
    </w:p>
    <w:p>
      <w:pPr>
        <w:pStyle w:val="BodyText"/>
      </w:pPr>
      <w:r>
        <w:t xml:space="preserve">This shapes how co-essentiality results should be read. Blinded literature concordance shows that the method’s best</w:t>
      </w:r>
      <w:r>
        <w:t xml:space="preserve"> </w:t>
      </w:r>
      <w:r>
        <w:t xml:space="preserve">predictions recover real, published biology without access to it. But a high-ranking prediction for an</w:t>
      </w:r>
      <w:r>
        <w:t xml:space="preserve"> </w:t>
      </w:r>
      <w:r>
        <w:t xml:space="preserve">“</w:t>
      </w:r>
      <w:r>
        <w:t xml:space="preserve">uncharacterised</w:t>
      </w:r>
      <w:r>
        <w:t xml:space="preserve">”</w:t>
      </w:r>
      <w:r>
        <w:t xml:space="preserve"> </w:t>
      </w:r>
      <w:r>
        <w:t xml:space="preserve">gene is more likely a rediscovery than a discovery, and most of our top predictions had been anticipated:</w:t>
      </w:r>
      <w:r>
        <w:t xml:space="preserve"> </w:t>
      </w:r>
      <w:r>
        <w:t xml:space="preserve">34 of the top 40 genes had a co-essential or physical link in earlier catalogues, and Wainberg et al. had already</w:t>
      </w:r>
      <w:r>
        <w:t xml:space="preserve"> </w:t>
      </w:r>
      <w:r>
        <w:t xml:space="preserve">predicted functions for three of our report genes. Novelty claims</w:t>
      </w:r>
      <w:r>
        <w:t xml:space="preserve"> </w:t>
      </w:r>
      <w:r>
        <w:t xml:space="preserve">therefore require both a literature screen and a catalogue check first. The closed-book recall probe adds a warning for</w:t>
      </w:r>
      <w:r>
        <w:t xml:space="preserve"> </w:t>
      </w:r>
      <w:r>
        <w:t xml:space="preserve">AI-assisted work: a language model</w:t>
      </w:r>
      <w:r>
        <w:t xml:space="preserve"> </w:t>
      </w:r>
      <w:r>
        <w:t xml:space="preserve">“</w:t>
      </w:r>
      <w:r>
        <w:t xml:space="preserve">recognised</w:t>
      </w:r>
      <w:r>
        <w:t xml:space="preserve">”</w:t>
      </w:r>
      <w:r>
        <w:t xml:space="preserve"> </w:t>
      </w:r>
      <w:r>
        <w:t xml:space="preserve">most N1 genes (43 of 59 among candidates), so an unblinded model judging its own predictions</w:t>
      </w:r>
      <w:r>
        <w:t xml:space="preserve"> </w:t>
      </w:r>
      <w:r>
        <w:t xml:space="preserve">would have rewarded prior knowledge. Within N1 genes, support was higher in the top 40 than in extra30 (16 of 31 against</w:t>
      </w:r>
      <w:r>
        <w:t xml:space="preserve"> </w:t>
      </w:r>
      <w:r>
        <w:t xml:space="preserve">1 of 11), which suggests that the ranking reflects</w:t>
      </w:r>
      <w:r>
        <w:t xml:space="preserve"> </w:t>
      </w:r>
      <w:r>
        <w:t xml:space="preserve">the correctness of the predicted function and not only the fame of the gene; this rests on one exploratory test with 11</w:t>
      </w:r>
      <w:r>
        <w:t xml:space="preserve"> </w:t>
      </w:r>
      <w:r>
        <w:t xml:space="preserve">N1 genes in extra30 and should be confirmed.</w:t>
      </w:r>
    </w:p>
    <w:bookmarkEnd w:id="31"/>
    <w:bookmarkStart w:id="32" w:name="the-calibration-support-gap"/>
    <w:p>
      <w:pPr>
        <w:pStyle w:val="Heading2"/>
      </w:pPr>
      <w:r>
        <w:t xml:space="preserve">The calibration-support gap</w:t>
      </w:r>
    </w:p>
    <w:p>
      <w:pPr>
        <w:pStyle w:val="FirstParagraph"/>
      </w:pPr>
      <w:r>
        <w:t xml:space="preserve">The pre-specified support rule withheld p_cal from every prediction in five machinery families and from the strongest</w:t>
      </w:r>
      <w:r>
        <w:t xml:space="preserve"> </w:t>
      </w:r>
      <w:r>
        <w:t xml:space="preserve">signals, because the hold-out held too few such genes to calibrate them.</w:t>
      </w:r>
      <w:r>
        <w:t xml:space="preserve"> </w:t>
      </w:r>
      <w:r>
        <w:t xml:space="preserve">This is the domain in which co-essentiality is most reliable. The secondary S20 list, defined before any literature step</w:t>
      </w:r>
      <w:r>
        <w:t xml:space="preserve"> </w:t>
      </w:r>
      <w:r>
        <w:t xml:space="preserve">to avoid misrepresenting the method, made the cost visible: 19 of 20 strong but uncalibrated predictions were supported, nearly all for Commander, complex I and Elongator genes that are N1 and</w:t>
      </w:r>
      <w:r>
        <w:t xml:space="preserve"> </w:t>
      </w:r>
      <w:r>
        <w:t xml:space="preserve">already in earlier catalogues. The gap is a property of honest calibration on a small hold-out, not of the method; a</w:t>
      </w:r>
      <w:r>
        <w:t xml:space="preserve"> </w:t>
      </w:r>
      <w:r>
        <w:t xml:space="preserve">larger hold-out, pooled families or a hierarchical model could close it, at the price of new assumptions that should</w:t>
      </w:r>
      <w:r>
        <w:t xml:space="preserve"> </w:t>
      </w:r>
      <w:r>
        <w:t xml:space="preserve">themselves be pre-specified.</w:t>
      </w:r>
    </w:p>
    <w:bookmarkEnd w:id="32"/>
    <w:bookmarkStart w:id="33" w:name="Xa791bd29160c635402f20789fa556936514c98b"/>
    <w:p>
      <w:pPr>
        <w:pStyle w:val="Heading2"/>
      </w:pPr>
      <w:r>
        <w:t xml:space="preserve">Context, direction, vocabulary and circularity</w:t>
      </w:r>
    </w:p>
    <w:p>
      <w:pPr>
        <w:pStyle w:val="FirstParagraph"/>
      </w:pPr>
      <w:r>
        <w:t xml:space="preserve">Two reports show that the</w:t>
      </w:r>
      <w:r>
        <w:t xml:space="preserve"> </w:t>
      </w:r>
      <w:r>
        <w:t xml:space="preserve">“</w:t>
      </w:r>
      <w:r>
        <w:t xml:space="preserve">gene functions in module M</w:t>
      </w:r>
      <w:r>
        <w:t xml:space="preserve">”</w:t>
      </w:r>
      <w:r>
        <w:t xml:space="preserve"> </w:t>
      </w:r>
      <w:r>
        <w:t xml:space="preserve">vocabulary is too coarse for some of the method’s signal.</w:t>
      </w:r>
      <w:r>
        <w:t xml:space="preserve"> </w:t>
      </w:r>
      <w:r>
        <w:t xml:space="preserve">PLEKHH3 tracks PTEN and PLEKHA1 in fitness</w:t>
      </w:r>
      <w:r>
        <w:t xml:space="preserve"> </w:t>
      </w:r>
      <w:r>
        <w:rPr>
          <w:iCs/>
          <w:i/>
        </w:rPr>
        <w:t xml:space="preserve">gains</w:t>
      </w:r>
      <w:r>
        <w:t xml:space="preserve"> </w:t>
      </w:r>
      <w:r>
        <w:t xml:space="preserve">on knockout, which suggests a</w:t>
      </w:r>
      <w:r>
        <w:t xml:space="preserve"> </w:t>
      </w:r>
      <w:r>
        <w:t xml:space="preserve">brake on PI3K/AKT signalling rather than a requirement for it; a GO-term hit cannot encode that direction, and PLEKHH3 is</w:t>
      </w:r>
      <w:r>
        <w:t xml:space="preserve"> </w:t>
      </w:r>
      <w:r>
        <w:t xml:space="preserve">the one report gene without a precedent in the catalogues we checked. C5orf34’s centriolar co-dependency exists only in</w:t>
      </w:r>
      <w:r>
        <w:t xml:space="preserve"> </w:t>
      </w:r>
      <w:r>
        <w:t xml:space="preserve">TP53-mutant lines, and the method’s genome-wide summary hides that condition.</w:t>
      </w:r>
      <w:r>
        <w:t xml:space="preserve"> </w:t>
      </w:r>
      <w:r>
        <w:t xml:space="preserve">Context-specific co-dependency is known to carry real information [60,68]; it should become part of the</w:t>
      </w:r>
      <w:r>
        <w:t xml:space="preserve"> </w:t>
      </w:r>
      <w:r>
        <w:t xml:space="preserve">prediction rather than a caveat discovered afterwards. RBM34 illustrates the converse problem: the module was right, but</w:t>
      </w:r>
      <w:r>
        <w:t xml:space="preserve"> </w:t>
      </w:r>
      <w:r>
        <w:t xml:space="preserve">the term that carried the probability,</w:t>
      </w:r>
      <w:r>
        <w:t xml:space="preserve"> </w:t>
      </w:r>
      <w:r>
        <w:t xml:space="preserve">“</w:t>
      </w:r>
      <w:r>
        <w:t xml:space="preserve">transcription elongation</w:t>
      </w:r>
      <w:r>
        <w:t xml:space="preserve">”</w:t>
      </w:r>
      <w:r>
        <w:t xml:space="preserve">, reflects how its RNA polymerase I partners happen to</w:t>
      </w:r>
      <w:r>
        <w:t xml:space="preserve"> </w:t>
      </w:r>
      <w:r>
        <w:t xml:space="preserve">be annotated. The named controls INTS15 and TMEM41B fail for a related reason: their</w:t>
      </w:r>
      <w:r>
        <w:t xml:space="preserve"> </w:t>
      </w:r>
      <w:r>
        <w:t xml:space="preserve">networks were right, but the terms curators later added were not carried by their neighbours at t0.</w:t>
      </w:r>
    </w:p>
    <w:p>
      <w:pPr>
        <w:pStyle w:val="BodyText"/>
      </w:pPr>
      <w:r>
        <w:t xml:space="preserve">Annotation also feeds back on itself. For most named controls the experimental annotations added since 2018 cite DepMap</w:t>
      </w:r>
      <w:r>
        <w:t xml:space="preserve"> </w:t>
      </w:r>
      <w:r>
        <w:t xml:space="preserve">or co-essentiality papers, and 16 of 1,050 supporting PMIDs</w:t>
      </w:r>
      <w:r>
        <w:t xml:space="preserve"> </w:t>
      </w:r>
      <w:r>
        <w:t xml:space="preserve">in the hold-out were flagged this way. Integrated interaction</w:t>
      </w:r>
      <w:r>
        <w:t xml:space="preserve"> </w:t>
      </w:r>
      <w:r>
        <w:t xml:space="preserve">resources also embed DepMap [43,48], so hu.MAP 3.0, Predictomes and STRING text-mining were not used as</w:t>
      </w:r>
      <w:r>
        <w:t xml:space="preserve"> </w:t>
      </w:r>
      <w:r>
        <w:t xml:space="preserve">independent support. Excluding flagged evidence made no material difference here (precision@1 0.030–0.032 across</w:t>
      </w:r>
      <w:r>
        <w:t xml:space="preserve"> </w:t>
      </w:r>
      <w:r>
        <w:t xml:space="preserve">sensitivities), but as co-essentiality-derived annotations enter GO,</w:t>
      </w:r>
      <w:r>
        <w:t xml:space="preserve"> </w:t>
      </w:r>
      <w:r>
        <w:t xml:space="preserve">benchmarks that do not track evidence provenance will increasingly reward the method for agreeing with itself.</w:t>
      </w:r>
    </w:p>
    <w:bookmarkEnd w:id="33"/>
    <w:bookmarkStart w:id="34" w:name="Xbaf41932b3a3a5ec270acfc6805a7053c856077"/>
    <w:p>
      <w:pPr>
        <w:pStyle w:val="Heading2"/>
      </w:pPr>
      <w:r>
        <w:t xml:space="preserve">What the AI-agent safeguards caught, and what they did not</w:t>
      </w:r>
    </w:p>
    <w:p>
      <w:pPr>
        <w:pStyle w:val="FirstParagraph"/>
      </w:pPr>
      <w:r>
        <w:t xml:space="preserve">Several safeguards changed the result rather than merely documenting it. Independent re-derivation of the</w:t>
      </w:r>
      <w:r>
        <w:t xml:space="preserve"> </w:t>
      </w:r>
      <w:r>
        <w:t xml:space="preserve">pre-registered list exposed a mismatch between two implementations of the generic-term list (7 versus 22 terms); an independent verifier reproduced hit@1 for 809 of 809 hold-out genes</w:t>
      </w:r>
      <w:r>
        <w:t xml:space="preserve"> </w:t>
      </w:r>
      <w:r>
        <w:t xml:space="preserve">and found an unspecified tie-break affecting 401 of 820 genes; the PI overrode a top-40 fill that ranked genes with p_cal near zero above flagged genes</w:t>
      </w:r>
      <w:r>
        <w:t xml:space="preserve"> </w:t>
      </w:r>
      <w:r>
        <w:t xml:space="preserve">with p_cal ≥ 0.06; and red-team review changed every report, prompting the TP53-stratified</w:t>
      </w:r>
      <w:r>
        <w:t xml:space="preserve"> </w:t>
      </w:r>
      <w:r>
        <w:t xml:space="preserve">refit for C5orf34 and downgrading the paralogue claim for BICRAL. No packet leaked a gene or partner name. The gaps were exposed by peer review: the module-label crediting rule and</w:t>
      </w:r>
      <w:r>
        <w:t xml:space="preserve"> </w:t>
      </w:r>
      <w:r>
        <w:t xml:space="preserve">three other deviations were logged only after the results they affect existed, the agent-run log is sparse, the</w:t>
      </w:r>
      <w:r>
        <w:t xml:space="preserve"> </w:t>
      </w:r>
      <w:r>
        <w:t xml:space="preserve">role-scope file is a template, and the agents’ novelty statements had not been checked against earlier catalogues. Of</w:t>
      </w:r>
      <w:r>
        <w:t xml:space="preserve"> </w:t>
      </w:r>
      <w:r>
        <w:t xml:space="preserve">22 logged deviations, 13 filled operational details the design had left open; a full dry</w:t>
      </w:r>
      <w:r>
        <w:t xml:space="preserve"> </w:t>
      </w:r>
      <w:r>
        <w:t xml:space="preserve">run of the pipeline before the freeze would have prevented most of them.</w:t>
      </w:r>
    </w:p>
    <w:bookmarkEnd w:id="34"/>
    <w:bookmarkStart w:id="35" w:name="limitations"/>
    <w:p>
      <w:pPr>
        <w:pStyle w:val="Heading2"/>
      </w:pPr>
      <w:r>
        <w:t xml:space="preserve">Limitations</w:t>
      </w:r>
    </w:p>
    <w:p>
      <w:pPr>
        <w:pStyle w:val="FirstParagraph"/>
      </w:pPr>
      <w:r>
        <w:t xml:space="preserve">The study used a single DepMap release (26Q3), on which the tool’s hyper-parameters were also set, so we cannot say how</w:t>
      </w:r>
      <w:r>
        <w:t xml:space="preserve"> </w:t>
      </w:r>
      <w:r>
        <w:t xml:space="preserve">the predictions would change with other releases, other screen libraries or non-cancer cells. The tool was tuned on hu.MAP</w:t>
      </w:r>
      <w:r>
        <w:t xml:space="preserve"> </w:t>
      </w:r>
      <w:r>
        <w:t xml:space="preserve">3.0 co-complex pairs, which post-date t0; parity with untuned Pearson correlation suggests this did not help it on H.</w:t>
      </w:r>
      <w:r>
        <w:t xml:space="preserve"> </w:t>
      </w:r>
      <w:r>
        <w:t xml:space="preserve">GO is incomplete and lags the literature, so a</w:t>
      </w:r>
      <w:r>
        <w:t xml:space="preserve"> </w:t>
      </w:r>
      <w:r>
        <w:t xml:space="preserve">“</w:t>
      </w:r>
      <w:r>
        <w:t xml:space="preserve">miss</w:t>
      </w:r>
      <w:r>
        <w:t xml:space="preserve">”</w:t>
      </w:r>
      <w:r>
        <w:t xml:space="preserve"> </w:t>
      </w:r>
      <w:r>
        <w:t xml:space="preserve">on the hold-out is often an annotation not yet made, and p_cal</w:t>
      </w:r>
      <w:r>
        <w:t xml:space="preserve"> </w:t>
      </w:r>
      <w:r>
        <w:t xml:space="preserve">estimates the probability of curation, given that curation occurs, within about eight years, rather than of biological</w:t>
      </w:r>
      <w:r>
        <w:t xml:space="preserve"> </w:t>
      </w:r>
      <w:r>
        <w:t xml:space="preserve">truth. The hold-out genes had stronger signal than U genes, and reweighting to U lowered precision@1 to 0.012. Confidence intervals use PMID-only clusters; complex-mates in H that share</w:t>
      </w:r>
      <w:r>
        <w:t xml:space="preserve"> </w:t>
      </w:r>
      <w:r>
        <w:t xml:space="preserve">no paper are treated as independent, and we did not run a leave-one-module-out sensitivity on H. Judging used two</w:t>
      </w:r>
      <w:r>
        <w:t xml:space="preserve"> </w:t>
      </w:r>
      <w:r>
        <w:t xml:space="preserve">instances of one language model and an adjudicator from the same model family as the agents that ran the study; their</w:t>
      </w:r>
      <w:r>
        <w:t xml:space="preserve"> </w:t>
      </w:r>
      <w:r>
        <w:t xml:space="preserve">very high agreement (κ = 0.975) reflects shared training and shared</w:t>
      </w:r>
      <w:r>
        <w:t xml:space="preserve"> </w:t>
      </w:r>
      <w:r>
        <w:t xml:space="preserve">evidence rather than independent assessment, all evidence came from a single retrieval agent, the decoys were other</w:t>
      </w:r>
      <w:r>
        <w:t xml:space="preserve"> </w:t>
      </w:r>
      <w:r>
        <w:t xml:space="preserve">genes’ terms rather than the gene’s own alternatives, and no human expert scored the packets. The judging rule credited</w:t>
      </w:r>
      <w:r>
        <w:t xml:space="preserve"> </w:t>
      </w:r>
      <w:r>
        <w:t xml:space="preserve">matches to the module label as well as to the term; on terms alone the top 40 has 16 rather than 18 supported</w:t>
      </w:r>
      <w:r>
        <w:t xml:space="preserve"> </w:t>
      </w:r>
      <w:r>
        <w:t xml:space="preserve">statements. The literature agent’s search was incomplete in at</w:t>
      </w:r>
      <w:r>
        <w:t xml:space="preserve"> </w:t>
      </w:r>
      <w:r>
        <w:t xml:space="preserve">least one case (CCDC71L). The novelty check covered the catalogues we could obtain; Pan et al., FIREWORKS and the</w:t>
      </w:r>
      <w:r>
        <w:t xml:space="preserve"> </w:t>
      </w:r>
      <w:r>
        <w:t xml:space="preserve">Perturb-seq clusters were not checked. Orthogonal support separated real from decoy predictions only weakly, and DEMETER2</w:t>
      </w:r>
      <w:r>
        <w:t xml:space="preserve"> </w:t>
      </w:r>
      <w:r>
        <w:t xml:space="preserve">replication failed for most genes, a check that was never validated on positive controls. The DepMap-only controls for</w:t>
      </w:r>
      <w:r>
        <w:t xml:space="preserve"> </w:t>
      </w:r>
      <w:r>
        <w:t xml:space="preserve">the two most novel report observations (lineage-adjusted and PTEN-null-excluded correlations for PLEKHH3; centriole-module</w:t>
      </w:r>
      <w:r>
        <w:t xml:space="preserve"> </w:t>
      </w:r>
      <w:r>
        <w:t xml:space="preserve">coherence in TP53-wild-type lines for C5orf34) were not run. Twenty-two deviations from</w:t>
      </w:r>
      <w:r>
        <w:t xml:space="preserve"> </w:t>
      </w:r>
      <w:r>
        <w:t xml:space="preserve">the frozen design are logged. Finally, no prediction was tested at the bench: the reports</w:t>
      </w:r>
      <w:r>
        <w:t xml:space="preserve"> </w:t>
      </w:r>
      <w:r>
        <w:t xml:space="preserve">specify decisive experiments, with matched-essentiality controls and decision rules, but these remain proposals.</w:t>
      </w:r>
    </w:p>
    <w:bookmarkEnd w:id="35"/>
    <w:bookmarkStart w:id="36" w:name="future-work"/>
    <w:p>
      <w:pPr>
        <w:pStyle w:val="Heading2"/>
      </w:pPr>
      <w:r>
        <w:t xml:space="preserve">Future work</w:t>
      </w:r>
    </w:p>
    <w:p>
      <w:pPr>
        <w:pStyle w:val="FirstParagraph"/>
      </w:pPr>
      <w:r>
        <w:t xml:space="preserve">Four extensions follow directly. First, repeating the temporal design on later DepMap releases and annotation snapshots</w:t>
      </w:r>
      <w:r>
        <w:t xml:space="preserve"> </w:t>
      </w:r>
      <w:r>
        <w:t xml:space="preserve">would test whether p_cal remains calibrated and would enlarge the hold-out enough to calibrate the machinery families;</w:t>
      </w:r>
      <w:r>
        <w:t xml:space="preserve"> </w:t>
      </w:r>
      <w:r>
        <w:t xml:space="preserve">the same design applies unchanged to Perturb-seq, interaction maps and AlphaFold-based predictors, and a joint evaluation</w:t>
      </w:r>
      <w:r>
        <w:t xml:space="preserve"> </w:t>
      </w:r>
      <w:r>
        <w:t xml:space="preserve">would show what each adds to homology. Second, prediction targets should include direction (co-advantage versus</w:t>
      </w:r>
      <w:r>
        <w:t xml:space="preserve"> </w:t>
      </w:r>
      <w:r>
        <w:t xml:space="preserve">co-dependency) and context (lineage, TP53 status), which the reports show carry information that GO terms cannot</w:t>
      </w:r>
      <w:r>
        <w:t xml:space="preserve"> </w:t>
      </w:r>
      <w:r>
        <w:t xml:space="preserve">express. Third, definitions of</w:t>
      </w:r>
      <w:r>
        <w:t xml:space="preserve"> </w:t>
      </w:r>
      <w:r>
        <w:t xml:space="preserve">“</w:t>
      </w:r>
      <w:r>
        <w:t xml:space="preserve">uncharacterised</w:t>
      </w:r>
      <w:r>
        <w:t xml:space="preserve">”</w:t>
      </w:r>
      <w:r>
        <w:t xml:space="preserve"> </w:t>
      </w:r>
      <w:r>
        <w:t xml:space="preserve">should exclude genes with experimental cellular-component or curated</w:t>
      </w:r>
      <w:r>
        <w:t xml:space="preserve"> </w:t>
      </w:r>
      <w:r>
        <w:t xml:space="preserve">complex membership, or report them separately. Fourth, the most decisive next step is experimental: the reports each name</w:t>
      </w:r>
      <w:r>
        <w:t xml:space="preserve"> </w:t>
      </w:r>
      <w:r>
        <w:t xml:space="preserve">a first experiment and a pre-registered decision rule, and PLEKHH3, the only report gene without precedent, together</w:t>
      </w:r>
      <w:r>
        <w:t xml:space="preserve"> </w:t>
      </w:r>
      <w:r>
        <w:t xml:space="preserve">with the TP53 condition for C5orf34, offers the clearest test, once the DepMap-only controls above have been run, of whether co-essentiality can identify genuinely new</w:t>
      </w:r>
      <w:r>
        <w:t xml:space="preserve"> </w:t>
      </w:r>
      <w:r>
        <w:t xml:space="preserve">functions rather than recover known ones.</w:t>
      </w:r>
    </w:p>
    <w:bookmarkEnd w:id="36"/>
    <w:bookmarkEnd w:id="37"/>
    <w:bookmarkStart w:id="52" w:name="methods"/>
    <w:p>
      <w:pPr>
        <w:pStyle w:val="Heading1"/>
      </w:pPr>
      <w:r>
        <w:t xml:space="preserve">Methods</w:t>
      </w:r>
    </w:p>
    <w:p>
      <w:pPr>
        <w:pStyle w:val="FirstParagraph"/>
      </w:pPr>
      <w:r>
        <w:t xml:space="preserve">The analysis followed DESIGN.md v2.3, frozen at git tag</w:t>
      </w:r>
      <w:r>
        <w:t xml:space="preserve"> </w:t>
      </w:r>
      <w:r>
        <w:rPr>
          <w:rStyle w:val="VerbatimChar"/>
        </w:rPr>
        <w:t xml:space="preserve">design-frozen</w:t>
      </w:r>
      <w:r>
        <w:t xml:space="preserve"> </w:t>
      </w:r>
      <w:r>
        <w:t xml:space="preserve">(commit afed1dd), with every later change logged</w:t>
      </w:r>
      <w:r>
        <w:t xml:space="preserve"> </w:t>
      </w:r>
      <w:r>
        <w:t xml:space="preserve">in DEVIATIONS.md (summarised at the end of this section, including which rows were logged after the affected result).</w:t>
      </w:r>
      <w:r>
        <w:t xml:space="preserve"> </w:t>
      </w:r>
      <w:r>
        <w:t xml:space="preserve">All steps were run by scripts in</w:t>
      </w:r>
      <w:r>
        <w:t xml:space="preserve"> </w:t>
      </w:r>
      <w:r>
        <w:rPr>
          <w:rStyle w:val="VerbatimChar"/>
        </w:rPr>
        <w:t xml:space="preserve">scripts/</w:t>
      </w:r>
      <w:r>
        <w:t xml:space="preserve">, numbered in execution order (README.md gives the run order). Table 3 defines</w:t>
      </w:r>
      <w:r>
        <w:t xml:space="preserve"> </w:t>
      </w:r>
      <w:r>
        <w:t xml:space="preserve">the notation.</w:t>
      </w:r>
    </w:p>
    <w:p>
      <w:pPr>
        <w:pStyle w:val="BodyText"/>
      </w:pPr>
      <w:r>
        <w:rPr>
          <w:bCs/>
          <w:b/>
        </w:rPr>
        <w:t xml:space="preserve">Table 3. Notation.</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Symbol</w:t>
            </w:r>
          </w:p>
        </w:tc>
        <w:tc>
          <w:p>
            <w:pPr>
              <w:pStyle w:val="Compact"/>
              <w:jc w:val="left"/>
            </w:pPr>
            <w:r>
              <w:t xml:space="preserve">Meaning</w:t>
            </w:r>
          </w:p>
        </w:tc>
      </w:tr>
      <w:tr>
        <w:tc>
          <w:p>
            <w:pPr>
              <w:pStyle w:val="Compact"/>
              <w:jc w:val="left"/>
            </w:pPr>
            <w:r>
              <w:t xml:space="preserve">U</w:t>
            </w:r>
          </w:p>
        </w:tc>
        <w:tc>
          <w:p>
            <w:pPr>
              <w:pStyle w:val="Compact"/>
              <w:jc w:val="left"/>
            </w:pPr>
            <w:r>
              <w:t xml:space="preserve">pre-registered uncharacterised genes (4,924)</w:t>
            </w:r>
          </w:p>
        </w:tc>
      </w:tr>
      <w:tr>
        <w:tc>
          <w:p>
            <w:pPr>
              <w:pStyle w:val="Compact"/>
              <w:jc w:val="left"/>
            </w:pPr>
            <w:r>
              <w:t xml:space="preserve">H</w:t>
            </w:r>
          </w:p>
        </w:tc>
        <w:tc>
          <w:p>
            <w:pPr>
              <w:pStyle w:val="Compact"/>
              <w:jc w:val="left"/>
            </w:pPr>
            <w:r>
              <w:t xml:space="preserve">temporal hold-out: genes uncharacterised at t0 (GO 2018-07-02) that gained experimental BP/MF targets since (820; 809 primary)</w:t>
            </w:r>
          </w:p>
        </w:tc>
      </w:tr>
      <w:tr>
        <w:tc>
          <w:p>
            <w:pPr>
              <w:pStyle w:val="Compact"/>
              <w:jc w:val="left"/>
            </w:pPr>
            <w:r>
              <w:t xml:space="preserve">LOO</w:t>
            </w:r>
          </w:p>
        </w:tc>
        <w:tc>
          <w:p>
            <w:pPr>
              <w:pStyle w:val="Compact"/>
              <w:jc w:val="left"/>
            </w:pPr>
            <w:r>
              <w:t xml:space="preserve">characterised leave-one-out genes used to choose the ranker</w:t>
            </w:r>
          </w:p>
        </w:tc>
      </w:tr>
      <w:tr>
        <w:tc>
          <w:p>
            <w:pPr>
              <w:pStyle w:val="Compact"/>
              <w:jc w:val="left"/>
            </w:pPr>
            <w:r>
              <w:t xml:space="preserve">D1, D2, D3</w:t>
            </w:r>
          </w:p>
        </w:tc>
        <w:tc>
          <w:p>
            <w:pPr>
              <w:pStyle w:val="Compact"/>
              <w:jc w:val="left"/>
            </w:pPr>
            <w:r>
              <w:t xml:space="preserve">knownness criteria: no experimental BP/MF GO; UniProt annotation score ≤ 2; low focused literature or IDG Tdark</w:t>
            </w:r>
          </w:p>
        </w:tc>
      </w:tr>
      <w:tr>
        <w:tc>
          <w:p>
            <w:pPr>
              <w:pStyle w:val="Compact"/>
              <w:jc w:val="left"/>
            </w:pPr>
            <w:r>
              <w:t xml:space="preserve">N(g), K</w:t>
            </w:r>
          </w:p>
        </w:tc>
        <w:tc>
          <w:p>
            <w:pPr>
              <w:pStyle w:val="Compact"/>
              <w:jc w:val="left"/>
            </w:pPr>
            <w:r>
              <w:t xml:space="preserve">the gene’s top K = 25 co-essentiality neighbours after exclusions</w:t>
            </w:r>
          </w:p>
        </w:tc>
      </w:tr>
      <w:tr>
        <w:tc>
          <w:p>
            <w:pPr>
              <w:pStyle w:val="Compact"/>
              <w:jc w:val="left"/>
            </w:pPr>
            <w:r>
              <w:t xml:space="preserve">R(g)</w:t>
            </w:r>
          </w:p>
        </w:tc>
        <w:tc>
          <w:p>
            <w:pPr>
              <w:pStyle w:val="Compact"/>
              <w:jc w:val="left"/>
            </w:pPr>
            <w:r>
              <w:t xml:space="preserve">split-half reproducibility of N(g)</w:t>
            </w:r>
          </w:p>
        </w:tc>
      </w:tr>
      <w:tr>
        <w:tc>
          <w:p>
            <w:pPr>
              <w:pStyle w:val="Compact"/>
              <w:jc w:val="left"/>
            </w:pPr>
            <w:r>
              <w:t xml:space="preserve">R1, R2, R3</w:t>
            </w:r>
          </w:p>
        </w:tc>
        <w:tc>
          <w:p>
            <w:pPr>
              <w:pStyle w:val="Compact"/>
              <w:jc w:val="left"/>
            </w:pPr>
            <w:r>
              <w:t xml:space="preserve">term rankers: raw neighbour support, hypergeometric, empirical</w:t>
            </w:r>
          </w:p>
        </w:tc>
      </w:tr>
      <w:tr>
        <w:tc>
          <w:p>
            <w:pPr>
              <w:pStyle w:val="Compact"/>
              <w:jc w:val="left"/>
            </w:pPr>
            <w:r>
              <w:t xml:space="preserve">V2; V1, V1′</w:t>
            </w:r>
          </w:p>
        </w:tc>
        <w:tc>
          <w:p>
            <w:pPr>
              <w:pStyle w:val="Compact"/>
              <w:jc w:val="left"/>
            </w:pPr>
            <w:r>
              <w:t xml:space="preserve">primary vocabulary (GO BP + MF); descriptive module labels (GO complexes; plus Complex Portal and MitoCarta)</w:t>
            </w:r>
          </w:p>
        </w:tc>
      </w:tr>
      <w:tr>
        <w:tc>
          <w:p>
            <w:pPr>
              <w:pStyle w:val="Compact"/>
              <w:jc w:val="left"/>
            </w:pPr>
            <w:r>
              <w:t xml:space="preserve">p_cal</w:t>
            </w:r>
          </w:p>
        </w:tc>
        <w:tc>
          <w:p>
            <w:pPr>
              <w:pStyle w:val="Compact"/>
              <w:jc w:val="left"/>
            </w:pPr>
            <w:r>
              <w:t xml:space="preserve">calibrated probability that the top term is confirmed, given that the gene gains experimental annotation</w:t>
            </w:r>
          </w:p>
        </w:tc>
      </w:tr>
      <w:tr>
        <w:tc>
          <w:p>
            <w:pPr>
              <w:pStyle w:val="Compact"/>
              <w:jc w:val="left"/>
            </w:pPr>
            <w:r>
              <w:t xml:space="preserve">Σp_cal</w:t>
            </w:r>
          </w:p>
        </w:tc>
        <w:tc>
          <w:p>
            <w:pPr>
              <w:pStyle w:val="Compact"/>
              <w:jc w:val="left"/>
            </w:pPr>
            <w:r>
              <w:t xml:space="preserve">sum of p_cal over a gene set (expected conditional confirmations)</w:t>
            </w:r>
          </w:p>
        </w:tc>
      </w:tr>
      <w:tr>
        <w:tc>
          <w:p>
            <w:pPr>
              <w:pStyle w:val="Compact"/>
              <w:jc w:val="left"/>
            </w:pPr>
            <w:r>
              <w:t xml:space="preserve">Tier A / B</w:t>
            </w:r>
          </w:p>
        </w:tc>
        <w:tc>
          <w:p>
            <w:pPr>
              <w:pStyle w:val="Compact"/>
              <w:jc w:val="left"/>
            </w:pPr>
            <w:r>
              <w:t xml:space="preserve">pre-specified prioritisation tiers (p_cal ≥ 0.5 / ≥ 0.3 plus conditions)</w:t>
            </w:r>
          </w:p>
        </w:tc>
      </w:tr>
      <w:tr>
        <w:tc>
          <w:p>
            <w:pPr>
              <w:pStyle w:val="Compact"/>
              <w:jc w:val="left"/>
            </w:pPr>
            <w:r>
              <w:t xml:space="preserve">S20; extra30</w:t>
            </w:r>
          </w:p>
        </w:tc>
        <w:tc>
          <w:p>
            <w:pPr>
              <w:pStyle w:val="Compact"/>
              <w:jc w:val="left"/>
            </w:pPr>
            <w:r>
              <w:t xml:space="preserve">secondary list of 20 strong uncalibrated predictions; 30 fill-pool genes outside the top 40</w:t>
            </w:r>
          </w:p>
        </w:tc>
      </w:tr>
      <w:tr>
        <w:tc>
          <w:p>
            <w:pPr>
              <w:pStyle w:val="Compact"/>
              <w:jc w:val="left"/>
            </w:pPr>
            <w:r>
              <w:t xml:space="preserve">N1, N2, N3</w:t>
            </w:r>
          </w:p>
        </w:tc>
        <w:tc>
          <w:p>
            <w:pPr>
              <w:pStyle w:val="Compact"/>
              <w:jc w:val="left"/>
            </w:pPr>
            <w:r>
              <w:t xml:space="preserve">literature class: function established; partial; none</w:t>
            </w:r>
          </w:p>
        </w:tc>
      </w:tr>
      <w:tr>
        <w:tc>
          <w:p>
            <w:pPr>
              <w:pStyle w:val="Compact"/>
              <w:jc w:val="left"/>
            </w:pPr>
            <w:r>
              <w:t xml:space="preserve">L</w:t>
            </w:r>
          </w:p>
        </w:tc>
        <w:tc>
          <w:p>
            <w:pPr>
              <w:pStyle w:val="Compact"/>
              <w:jc w:val="left"/>
            </w:pPr>
            <w:r>
              <w:t xml:space="preserve">blind literature agent</w:t>
            </w:r>
          </w:p>
        </w:tc>
      </w:tr>
      <w:tr>
        <w:tc>
          <w:p>
            <w:pPr>
              <w:pStyle w:val="Compact"/>
              <w:jc w:val="left"/>
            </w:pPr>
            <w:r>
              <w:t xml:space="preserve">definition-artefact flag</w:t>
            </w:r>
          </w:p>
        </w:tc>
        <w:tc>
          <w:p>
            <w:pPr>
              <w:pStyle w:val="Compact"/>
              <w:jc w:val="left"/>
            </w:pPr>
            <w:r>
              <w:t xml:space="preserve">UniProt score 5, Complex Portal subunit or experimental GO cellular-component annotation [post-review]</w:t>
            </w:r>
          </w:p>
        </w:tc>
      </w:tr>
    </w:tbl>
    <w:bookmarkStart w:id="38" w:name="data-and-versions"/>
    <w:p>
      <w:pPr>
        <w:pStyle w:val="Heading2"/>
      </w:pPr>
      <w:r>
        <w:t xml:space="preserve">Data and versions</w:t>
      </w:r>
    </w:p>
    <w:p>
      <w:pPr>
        <w:pStyle w:val="FirstParagraph"/>
      </w:pPr>
      <w:r>
        <w:t xml:space="preserve">Table 1 lists the principal inputs. Every raw file was checksummed (SHA-256) and verified by script before use.</w:t>
      </w:r>
      <w:r>
        <w:t xml:space="preserve"> </w:t>
      </w:r>
      <w:r>
        <w:t xml:space="preserve">Restricted-licence files were used internally and are not redistributed.</w:t>
      </w:r>
    </w:p>
    <w:p>
      <w:pPr>
        <w:pStyle w:val="BodyText"/>
      </w:pPr>
      <w:r>
        <w:rPr>
          <w:bCs/>
          <w:b/>
        </w:rPr>
        <w:t xml:space="preserve">Table 1. Principal data sources</w:t>
      </w:r>
      <w:r>
        <w:t xml:space="preserve"> </w:t>
      </w:r>
      <w:r>
        <w:t xml:space="preserve">(URLs, checksums and licences: DATA.md).</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Source</w:t>
            </w:r>
          </w:p>
        </w:tc>
        <w:tc>
          <w:p>
            <w:pPr>
              <w:pStyle w:val="Compact"/>
              <w:jc w:val="left"/>
            </w:pPr>
            <w:r>
              <w:t xml:space="preserve">Version</w:t>
            </w:r>
          </w:p>
        </w:tc>
        <w:tc>
          <w:p>
            <w:pPr>
              <w:pStyle w:val="Compact"/>
              <w:jc w:val="left"/>
            </w:pPr>
            <w:r>
              <w:t xml:space="preserve">Use</w:t>
            </w:r>
          </w:p>
        </w:tc>
      </w:tr>
      <w:tr>
        <w:tc>
          <w:p>
            <w:pPr>
              <w:pStyle w:val="Compact"/>
              <w:jc w:val="left"/>
            </w:pPr>
            <w:r>
              <w:t xml:space="preserve">DepMap CRISPRGeneEffect (Chronos) [19,69]</w:t>
            </w:r>
          </w:p>
        </w:tc>
        <w:tc>
          <w:p>
            <w:pPr>
              <w:pStyle w:val="Compact"/>
              <w:jc w:val="left"/>
            </w:pPr>
            <w:r>
              <w:t xml:space="preserve">Public 26Q3; 1,361 lines × 18,434 genes</w:t>
            </w:r>
          </w:p>
        </w:tc>
        <w:tc>
          <w:p>
            <w:pPr>
              <w:pStyle w:val="Compact"/>
              <w:jc w:val="left"/>
            </w:pPr>
            <w:r>
              <w:t xml:space="preserve">co-essentiality</w:t>
            </w:r>
          </w:p>
        </w:tc>
      </w:tr>
      <w:tr>
        <w:tc>
          <w:p>
            <w:pPr>
              <w:pStyle w:val="Compact"/>
              <w:jc w:val="left"/>
            </w:pPr>
            <w:r>
              <w:t xml:space="preserve">DepMap Model, CRISPRConfounders, expression, copy number, mutations [69]</w:t>
            </w:r>
          </w:p>
        </w:tc>
        <w:tc>
          <w:p>
            <w:pPr>
              <w:pStyle w:val="Compact"/>
              <w:jc w:val="left"/>
            </w:pPr>
            <w:r>
              <w:t xml:space="preserve">26Q3</w:t>
            </w:r>
          </w:p>
        </w:tc>
        <w:tc>
          <w:p>
            <w:pPr>
              <w:pStyle w:val="Compact"/>
              <w:jc w:val="left"/>
            </w:pPr>
            <w:r>
              <w:t xml:space="preserve">strata, split halves, artefact flags</w:t>
            </w:r>
          </w:p>
        </w:tc>
      </w:tr>
      <w:tr>
        <w:tc>
          <w:p>
            <w:pPr>
              <w:pStyle w:val="Compact"/>
              <w:jc w:val="left"/>
            </w:pPr>
            <w:r>
              <w:t xml:space="preserve">DEMETER2 RNAi [59]</w:t>
            </w:r>
          </w:p>
        </w:tc>
        <w:tc>
          <w:p>
            <w:pPr>
              <w:pStyle w:val="Compact"/>
              <w:jc w:val="left"/>
            </w:pPr>
            <w:r>
              <w:t xml:space="preserve">v6</w:t>
            </w:r>
          </w:p>
        </w:tc>
        <w:tc>
          <w:p>
            <w:pPr>
              <w:pStyle w:val="Compact"/>
              <w:jc w:val="left"/>
            </w:pPr>
            <w:r>
              <w:t xml:space="preserve">robustness only</w:t>
            </w:r>
          </w:p>
        </w:tc>
      </w:tr>
      <w:tr>
        <w:tc>
          <w:p>
            <w:pPr>
              <w:pStyle w:val="Compact"/>
              <w:jc w:val="left"/>
            </w:pPr>
            <w:r>
              <w:t xml:space="preserve">HGNC [70]</w:t>
            </w:r>
          </w:p>
        </w:tc>
        <w:tc>
          <w:p>
            <w:pPr>
              <w:pStyle w:val="Compact"/>
              <w:jc w:val="left"/>
            </w:pPr>
            <w:r>
              <w:t xml:space="preserve">2026-04-23</w:t>
            </w:r>
          </w:p>
        </w:tc>
        <w:tc>
          <w:p>
            <w:pPr>
              <w:pStyle w:val="Compact"/>
              <w:jc w:val="left"/>
            </w:pPr>
            <w:r>
              <w:t xml:space="preserve">universe, identifiers</w:t>
            </w:r>
          </w:p>
        </w:tc>
      </w:tr>
      <w:tr>
        <w:tc>
          <w:p>
            <w:pPr>
              <w:pStyle w:val="Compact"/>
              <w:jc w:val="left"/>
            </w:pPr>
            <w:r>
              <w:t xml:space="preserve">GO ontology and human GAF [10]</w:t>
            </w:r>
          </w:p>
        </w:tc>
        <w:tc>
          <w:p>
            <w:pPr>
              <w:pStyle w:val="Compact"/>
              <w:jc w:val="left"/>
            </w:pPr>
            <w:r>
              <w:t xml:space="preserve">2026-07-26 / 2026-05-21</w:t>
            </w:r>
          </w:p>
        </w:tc>
        <w:tc>
          <w:p>
            <w:pPr>
              <w:pStyle w:val="Compact"/>
              <w:jc w:val="left"/>
            </w:pPr>
            <w:r>
              <w:t xml:space="preserve">D1, vocabularies, targets</w:t>
            </w:r>
          </w:p>
        </w:tc>
      </w:tr>
      <w:tr>
        <w:tc>
          <w:p>
            <w:pPr>
              <w:pStyle w:val="Compact"/>
              <w:jc w:val="left"/>
            </w:pPr>
            <w:r>
              <w:t xml:space="preserve">Archived GO [54]</w:t>
            </w:r>
          </w:p>
        </w:tc>
        <w:tc>
          <w:p>
            <w:pPr>
              <w:pStyle w:val="Compact"/>
              <w:jc w:val="left"/>
            </w:pPr>
            <w:r>
              <w:t xml:space="preserve">2018-07-02 (t0), 2019-07-01</w:t>
            </w:r>
          </w:p>
        </w:tc>
        <w:tc>
          <w:p>
            <w:pPr>
              <w:pStyle w:val="Compact"/>
              <w:jc w:val="left"/>
            </w:pPr>
            <w:r>
              <w:t xml:space="preserve">temporal hold-out</w:t>
            </w:r>
          </w:p>
        </w:tc>
      </w:tr>
      <w:tr>
        <w:tc>
          <w:p>
            <w:pPr>
              <w:pStyle w:val="Compact"/>
              <w:jc w:val="left"/>
            </w:pPr>
            <w:r>
              <w:t xml:space="preserve">UniProtKB/Swiss-Prot [12]</w:t>
            </w:r>
          </w:p>
        </w:tc>
        <w:tc>
          <w:p>
            <w:pPr>
              <w:pStyle w:val="Compact"/>
              <w:jc w:val="left"/>
            </w:pPr>
            <w:r>
              <w:t xml:space="preserve">2026_03</w:t>
            </w:r>
          </w:p>
        </w:tc>
        <w:tc>
          <w:p>
            <w:pPr>
              <w:pStyle w:val="Compact"/>
              <w:jc w:val="left"/>
            </w:pPr>
            <w:r>
              <w:t xml:space="preserve">D2, identifiers</w:t>
            </w:r>
          </w:p>
        </w:tc>
      </w:tr>
      <w:tr>
        <w:tc>
          <w:p>
            <w:pPr>
              <w:pStyle w:val="Compact"/>
              <w:jc w:val="left"/>
            </w:pPr>
            <w:r>
              <w:t xml:space="preserve">NCBI gene2pubmed [71]</w:t>
            </w:r>
          </w:p>
        </w:tc>
        <w:tc>
          <w:p>
            <w:pPr>
              <w:pStyle w:val="Compact"/>
              <w:jc w:val="left"/>
            </w:pPr>
            <w:r>
              <w:t xml:space="preserve">2026-10-29</w:t>
            </w:r>
          </w:p>
        </w:tc>
        <w:tc>
          <w:p>
            <w:pPr>
              <w:pStyle w:val="Compact"/>
              <w:jc w:val="left"/>
            </w:pPr>
            <w:r>
              <w:t xml:space="preserve">D3, literature cut-off</w:t>
            </w:r>
          </w:p>
        </w:tc>
      </w:tr>
      <w:tr>
        <w:tc>
          <w:p>
            <w:pPr>
              <w:pStyle w:val="Compact"/>
              <w:jc w:val="left"/>
            </w:pPr>
            <w:r>
              <w:t xml:space="preserve">TCRD development levels [13]</w:t>
            </w:r>
          </w:p>
        </w:tc>
        <w:tc>
          <w:p>
            <w:pPr>
              <w:pStyle w:val="Compact"/>
              <w:jc w:val="left"/>
            </w:pPr>
            <w:r>
              <w:t xml:space="preserve">2023</w:t>
            </w:r>
          </w:p>
        </w:tc>
        <w:tc>
          <w:p>
            <w:pPr>
              <w:pStyle w:val="Compact"/>
              <w:jc w:val="left"/>
            </w:pPr>
            <w:r>
              <w:t xml:space="preserve">D3 (Tdark)</w:t>
            </w:r>
          </w:p>
        </w:tc>
      </w:tr>
      <w:tr>
        <w:tc>
          <w:p>
            <w:pPr>
              <w:pStyle w:val="Compact"/>
              <w:jc w:val="left"/>
            </w:pPr>
            <w:r>
              <w:t xml:space="preserve">Ensembl paralogues, coordinates [72]</w:t>
            </w:r>
          </w:p>
        </w:tc>
        <w:tc>
          <w:p>
            <w:pPr>
              <w:pStyle w:val="Compact"/>
              <w:jc w:val="left"/>
            </w:pPr>
            <w:r>
              <w:t xml:space="preserve">116</w:t>
            </w:r>
          </w:p>
        </w:tc>
        <w:tc>
          <w:p>
            <w:pPr>
              <w:pStyle w:val="Compact"/>
              <w:jc w:val="left"/>
            </w:pPr>
            <w:r>
              <w:t xml:space="preserve">exclusions, tandem stratum</w:t>
            </w:r>
          </w:p>
        </w:tc>
      </w:tr>
      <w:tr>
        <w:tc>
          <w:p>
            <w:pPr>
              <w:pStyle w:val="Compact"/>
              <w:jc w:val="left"/>
            </w:pPr>
            <w:r>
              <w:t xml:space="preserve">Orthogonal: BioPlex 3.0 [73], OpenCell [41], BioGRID [74], STRING v12.5 [75], Human Cell Map [76], ProteomeHD [77], CCLE proteomics [78], Perturb-seq [39], Olivieri screens [79], AlphaFold2 pairs [42], HPA [80], MitoCarta3.0 [81], Complex Portal [82], hu.MAP 3.0 [40]</w:t>
            </w:r>
          </w:p>
        </w:tc>
        <w:tc>
          <w:p>
            <w:pPr>
              <w:pStyle w:val="Compact"/>
              <w:jc w:val="left"/>
            </w:pPr>
            <w:r>
              <w:t xml:space="preserve">DATA.md</w:t>
            </w:r>
          </w:p>
        </w:tc>
        <w:tc>
          <w:p>
            <w:pPr>
              <w:pStyle w:val="Compact"/>
              <w:jc w:val="left"/>
            </w:pPr>
            <w:r>
              <w:t xml:space="preserve">support, admission</w:t>
            </w:r>
          </w:p>
        </w:tc>
      </w:tr>
    </w:tbl>
    <w:p>
      <w:pPr>
        <w:pStyle w:val="BodyText"/>
      </w:pPr>
      <w:r>
        <w:t xml:space="preserve">Genes were identified by HGNC ID through a hub that joined Entrez (DepMap), UniProt and Ensembl identifiers; symbols were</w:t>
      </w:r>
      <w:r>
        <w:t xml:space="preserve"> </w:t>
      </w:r>
      <w:r>
        <w:t xml:space="preserve">never join keys. All 18,434 DepMap columns mapped. A gene was</w:t>
      </w:r>
      <w:r>
        <w:t xml:space="preserve"> </w:t>
      </w:r>
      <w:r>
        <w:rPr>
          <w:bCs/>
          <w:b/>
        </w:rPr>
        <w:t xml:space="preserve">scorable</w:t>
      </w:r>
      <w:r>
        <w:t xml:space="preserve"> </w:t>
      </w:r>
      <w:r>
        <w:t xml:space="preserve">if it</w:t>
      </w:r>
      <w:r>
        <w:t xml:space="preserve"> </w:t>
      </w:r>
      <w:r>
        <w:t xml:space="preserve">had a DepMap column and at least one UniProt accession mapped uniquely to it by</w:t>
      </w:r>
      <w:r>
        <w:t xml:space="preserve"> </w:t>
      </w:r>
      <w:r>
        <w:t xml:space="preserve">the tool’s rule.</w:t>
      </w:r>
    </w:p>
    <w:bookmarkEnd w:id="38"/>
    <w:bookmarkStart w:id="39" w:name="the-co-essentiality-method"/>
    <w:p>
      <w:pPr>
        <w:pStyle w:val="Heading2"/>
      </w:pPr>
      <w:r>
        <w:t xml:space="preserve">The co-essentiality method</w:t>
      </w:r>
    </w:p>
    <w:p>
      <w:pPr>
        <w:pStyle w:val="FirstParagraph"/>
      </w:pPr>
      <w:r>
        <w:t xml:space="preserve">We used zavg_BEF from the ai-hackathon-Coessentiality tool [38] at commit 3c684c9, unmodified, through its public API and with its published configuration. In brief</w:t>
      </w:r>
      <w:r>
        <w:t xml:space="preserve"> </w:t>
      </w:r>
      <w:r>
        <w:t xml:space="preserve">(external/coessentiality/docs/explainer/METHOD.md; the description here is intended to allow reimplementation without</w:t>
      </w:r>
      <w:r>
        <w:t xml:space="preserve"> </w:t>
      </w:r>
      <w:r>
        <w:t xml:space="preserve">the repository), gene profiles were centred and standardised for covariance</w:t>
      </w:r>
      <w:r>
        <w:t xml:space="preserve"> </w:t>
      </w:r>
      <w:r>
        <w:t xml:space="preserve">estimation. The 20 strongest cell-line covariance components</w:t>
      </w:r>
      <w:r>
        <w:t xml:space="preserve"> </w:t>
      </w:r>
      <w:r>
        <w:t xml:space="preserve">were removed and the rest ridge-whitened (ridge 0.1 × mean</w:t>
      </w:r>
      <w:r>
        <w:t xml:space="preserve"> </w:t>
      </w:r>
      <w:r>
        <w:t xml:space="preserve">eigenvalue). The method combines three views:</w:t>
      </w:r>
    </w:p>
    <w:p>
      <w:pPr>
        <w:numPr>
          <w:ilvl w:val="0"/>
          <w:numId w:val="1002"/>
        </w:numPr>
        <w:pStyle w:val="Compact"/>
      </w:pPr>
      <w:r>
        <w:rPr>
          <w:bCs/>
          <w:b/>
        </w:rPr>
        <w:t xml:space="preserve">F</w:t>
      </w:r>
      <w:r>
        <w:t xml:space="preserve">, the cosine similarity of the cleaned profiles;</w:t>
      </w:r>
    </w:p>
    <w:p>
      <w:pPr>
        <w:numPr>
          <w:ilvl w:val="0"/>
          <w:numId w:val="1002"/>
        </w:numPr>
        <w:pStyle w:val="Compact"/>
      </w:pPr>
      <w:r>
        <w:rPr>
          <w:bCs/>
          <w:b/>
        </w:rPr>
        <w:t xml:space="preserve">B</w:t>
      </w:r>
      <w:r>
        <w:t xml:space="preserve">, the row-z-scored overlap of two genes’ weighted partner lists, each list being the top 0.25%</w:t>
      </w:r>
      <w:r>
        <w:t xml:space="preserve"> </w:t>
      </w:r>
      <w:r>
        <w:t xml:space="preserve">of background genes (44 genes here), with the pair itself excluded;</w:t>
      </w:r>
    </w:p>
    <w:p>
      <w:pPr>
        <w:numPr>
          <w:ilvl w:val="0"/>
          <w:numId w:val="1002"/>
        </w:numPr>
        <w:pStyle w:val="Compact"/>
      </w:pPr>
      <w:r>
        <w:rPr>
          <w:bCs/>
          <w:b/>
        </w:rPr>
        <w:t xml:space="preserve">E</w:t>
      </w:r>
      <w:r>
        <w:t xml:space="preserve">, the cosine similarity in a 512-dimensional Laplacian</w:t>
      </w:r>
      <w:r>
        <w:t xml:space="preserve"> </w:t>
      </w:r>
      <w:r>
        <w:t xml:space="preserve">eigenmap [83] of the partner graph.</w:t>
      </w:r>
    </w:p>
    <w:p>
      <w:pPr>
        <w:pStyle w:val="FirstParagraph"/>
      </w:pPr>
      <w:r>
        <w:t xml:space="preserve">Each view was z-scored against 200,000 fixed random pairs, and</w:t>
      </w:r>
      <w:r>
        <w:t xml:space="preserve"> </w:t>
      </w:r>
      <w:r>
        <w:t xml:space="preserve">the three z-scores were averaged. Background genes had less than 10%</w:t>
      </w:r>
      <w:r>
        <w:t xml:space="preserve"> </w:t>
      </w:r>
      <w:r>
        <w:t xml:space="preserve">missing values (17,525 genes). The tool’s settings had been tuned on hu.MAP 3.0 co-complex pairs</w:t>
      </w:r>
      <w:r>
        <w:t xml:space="preserve"> </w:t>
      </w:r>
      <w:r>
        <w:t xml:space="preserve">[38,40]; we tuned nothing. Because hu.MAP 3.0 post-dates t0 and contains complexes with H</w:t>
      </w:r>
      <w:r>
        <w:t xml:space="preserve"> </w:t>
      </w:r>
      <w:r>
        <w:t xml:space="preserve">genes, this tuning is a route by which post-t0 knowledge could enter zavg_BEF; GLS and Pearson, which were not tuned,</w:t>
      </w:r>
      <w:r>
        <w:t xml:space="preserve"> </w:t>
      </w:r>
      <w:r>
        <w:t xml:space="preserve">are reported beside it on H for this reason.</w:t>
      </w:r>
    </w:p>
    <w:p>
      <w:pPr>
        <w:pStyle w:val="BodyText"/>
      </w:pPr>
      <w:r>
        <w:rPr>
          <w:bCs/>
          <w:b/>
        </w:rPr>
        <w:t xml:space="preserve">Verification.</w:t>
      </w:r>
      <w:r>
        <w:t xml:space="preserve"> </w:t>
      </w:r>
      <w:r>
        <w:t xml:space="preserve">We computed one full zavg_BEF matrix, and GLS [23] and Pearson rows for the genes that</w:t>
      </w:r>
      <w:r>
        <w:t xml:space="preserve"> </w:t>
      </w:r>
      <w:r>
        <w:t xml:space="preserve">needed them. Our GLS and Pearson values matched the tool’s on 100,993</w:t>
      </w:r>
      <w:r>
        <w:t xml:space="preserve"> </w:t>
      </w:r>
      <w:r>
        <w:t xml:space="preserve">random pairs (maximum absolute difference 2.96 × 10⁻⁷). With the</w:t>
      </w:r>
      <w:r>
        <w:t xml:space="preserve"> </w:t>
      </w:r>
      <w:r>
        <w:t xml:space="preserve">tool’s own command-line interface we reproduced its published internal-test average precision (Results). All 14</w:t>
      </w:r>
      <w:r>
        <w:t xml:space="preserve"> </w:t>
      </w:r>
      <w:r>
        <w:t xml:space="preserve">pre-specified sanity checks passed; they covered Chronos sign,</w:t>
      </w:r>
      <w:r>
        <w:t xml:space="preserve"> </w:t>
      </w:r>
      <w:r>
        <w:t xml:space="preserve">matrix symmetry, median within-complex scores above 3 for seven</w:t>
      </w:r>
      <w:r>
        <w:t xml:space="preserve"> </w:t>
      </w:r>
      <w:r>
        <w:t xml:space="preserve">reference complexes, and a near-zero mean over random pairs.</w:t>
      </w:r>
    </w:p>
    <w:bookmarkEnd w:id="39"/>
    <w:bookmarkStart w:id="40" w:name="X6bd95ac4e55c0fc08c7efd5c8c9568ab712a7fc"/>
    <w:p>
      <w:pPr>
        <w:pStyle w:val="Heading2"/>
      </w:pPr>
      <w:r>
        <w:t xml:space="preserve">Pre-registration of uncharacterised genes</w:t>
      </w:r>
    </w:p>
    <w:p>
      <w:pPr>
        <w:pStyle w:val="FirstParagraph"/>
      </w:pPr>
      <w:r>
        <w:t xml:space="preserve">The universe was the 19,296 HGNC Approved protein-coding genes. A single</w:t>
      </w:r>
      <w:r>
        <w:t xml:space="preserve"> </w:t>
      </w:r>
      <w:r>
        <w:t xml:space="preserve">function (</w:t>
      </w:r>
      <w:r>
        <w:rPr>
          <w:rStyle w:val="VerbatimChar"/>
        </w:rPr>
        <w:t xml:space="preserve">src/knownness.py::d1</w:t>
      </w:r>
      <w:r>
        <w:t xml:space="preserve">) applied the criteria to every GO release:</w:t>
      </w:r>
    </w:p>
    <w:p>
      <w:pPr>
        <w:numPr>
          <w:ilvl w:val="0"/>
          <w:numId w:val="1003"/>
        </w:numPr>
        <w:pStyle w:val="Compact"/>
      </w:pPr>
      <w:r>
        <w:rPr>
          <w:bCs/>
          <w:b/>
        </w:rPr>
        <w:t xml:space="preserve">D1</w:t>
      </w:r>
      <w:r>
        <w:t xml:space="preserve">: no informative GO biological-process or molecular-function annotation with evidence EXP, IDA, IPI, IMP, IGI,</w:t>
      </w:r>
      <w:r>
        <w:t xml:space="preserve"> </w:t>
      </w:r>
      <w:r>
        <w:t xml:space="preserve">IEP, TAS or IC [84]. The GO guide classes TAS (traceable author statement) and IC (inferred by curator)</w:t>
      </w:r>
      <w:r>
        <w:t xml:space="preserve"> </w:t>
      </w:r>
      <w:r>
        <w:t xml:space="preserve">as author or curatorial statements rather than experimental evidence; we counted them deliberately, so that a gene</w:t>
      </w:r>
      <w:r>
        <w:t xml:space="preserve"> </w:t>
      </w:r>
      <w:r>
        <w:t xml:space="preserve">with a curated author statement of function was not called uncharacterised, and use</w:t>
      </w:r>
      <w:r>
        <w:t xml:space="preserve"> </w:t>
      </w:r>
      <w:r>
        <w:t xml:space="preserve">“</w:t>
      </w:r>
      <w:r>
        <w:t xml:space="preserve">experimental</w:t>
      </w:r>
      <w:r>
        <w:t xml:space="preserve">”</w:t>
      </w:r>
      <w:r>
        <w:t xml:space="preserve"> </w:t>
      </w:r>
      <w:r>
        <w:t xml:space="preserve">below for this</w:t>
      </w:r>
      <w:r>
        <w:t xml:space="preserve"> </w:t>
      </w:r>
      <w:r>
        <w:t xml:space="preserve">set of codes. NOT-qualified rows were removed and</w:t>
      </w:r>
      <w:r>
        <w:t xml:space="preserve"> </w:t>
      </w:r>
      <w:r>
        <w:rPr>
          <w:rStyle w:val="VerbatimChar"/>
        </w:rPr>
        <w:t xml:space="preserve">contributes_to</w:t>
      </w:r>
      <w:r>
        <w:t xml:space="preserve"> </w:t>
      </w:r>
      <w:r>
        <w:t xml:space="preserve">rows counted. High-throughput,</w:t>
      </w:r>
      <w:r>
        <w:t xml:space="preserve"> </w:t>
      </w:r>
      <w:r>
        <w:t xml:space="preserve">electronic, similarity-based, phylogenetic, RCA, NAS and ND codes were ignored, as were cellular-component</w:t>
      </w:r>
      <w:r>
        <w:t xml:space="preserve"> </w:t>
      </w:r>
      <w:r>
        <w:t xml:space="preserve">annotations. The 22 generic terms listed in CRITERIA.md (for example</w:t>
      </w:r>
      <w:r>
        <w:t xml:space="preserve"> </w:t>
      </w:r>
      <w:r>
        <w:t xml:space="preserve">“</w:t>
      </w:r>
      <w:r>
        <w:t xml:space="preserve">protein binding</w:t>
      </w:r>
      <w:r>
        <w:t xml:space="preserve">”</w:t>
      </w:r>
      <w:r>
        <w:t xml:space="preserve">, the roots and high-level grouping terms) did not count.</w:t>
      </w:r>
    </w:p>
    <w:p>
      <w:pPr>
        <w:numPr>
          <w:ilvl w:val="0"/>
          <w:numId w:val="1003"/>
        </w:numPr>
        <w:pStyle w:val="Compact"/>
      </w:pPr>
      <w:r>
        <w:rPr>
          <w:bCs/>
          <w:b/>
        </w:rPr>
        <w:t xml:space="preserve">D2</w:t>
      </w:r>
      <w:r>
        <w:t xml:space="preserve">: UniProt annotation score ≤ 2 [11], the</w:t>
      </w:r>
      <w:r>
        <w:t xml:space="preserve"> </w:t>
      </w:r>
      <w:r>
        <w:t xml:space="preserve">definition of Wainberg et al. [23].</w:t>
      </w:r>
    </w:p>
    <w:p>
      <w:pPr>
        <w:numPr>
          <w:ilvl w:val="0"/>
          <w:numId w:val="1003"/>
        </w:numPr>
        <w:pStyle w:val="Compact"/>
      </w:pPr>
      <w:r>
        <w:rPr>
          <w:bCs/>
          <w:b/>
        </w:rPr>
        <w:t xml:space="preserve">D3</w:t>
      </w:r>
      <w:r>
        <w:t xml:space="preserve">: at most 10 PubMed records among those linking at most 10</w:t>
      </w:r>
      <w:r>
        <w:t xml:space="preserve"> </w:t>
      </w:r>
      <w:r>
        <w:t xml:space="preserve">human genes,</w:t>
      </w:r>
      <w:r>
        <w:t xml:space="preserve"> </w:t>
      </w:r>
      <w:r>
        <w:rPr>
          <w:bCs/>
          <w:b/>
        </w:rPr>
        <w:t xml:space="preserve">or</w:t>
      </w:r>
      <w:r>
        <w:t xml:space="preserve"> </w:t>
      </w:r>
      <w:r>
        <w:t xml:space="preserve">IDG Tdark [8,13].</w:t>
      </w:r>
    </w:p>
    <w:p>
      <w:pPr>
        <w:pStyle w:val="FirstParagraph"/>
      </w:pPr>
      <w:r>
        <w:t xml:space="preserve">The pre-registered set was</w:t>
      </w:r>
      <w:r>
        <w:t xml:space="preserve"> </w:t>
      </w:r>
      <w:r>
        <w:rPr>
          <w:bCs/>
          <w:b/>
        </w:rPr>
        <w:t xml:space="preserve">U = D1 ∩ (D2 ∪ D3)</w:t>
      </w:r>
      <w:r>
        <w:t xml:space="preserve">, and no gene was ever removed from it. U contained 4,924</w:t>
      </w:r>
      <w:r>
        <w:t xml:space="preserve"> </w:t>
      </w:r>
      <w:r>
        <w:t xml:space="preserve">genes, of which 4,275 were in</w:t>
      </w:r>
      <w:r>
        <w:t xml:space="preserve"> </w:t>
      </w:r>
      <w:r>
        <w:t xml:space="preserve">DepMap and 4,271 were scorable. Genes outside U served only for calibration;</w:t>
      </w:r>
      <w:r>
        <w:t xml:space="preserve"> </w:t>
      </w:r>
      <w:r>
        <w:t xml:space="preserve">no function was proposed for them.</w:t>
      </w:r>
    </w:p>
    <w:p>
      <w:pPr>
        <w:pStyle w:val="BodyText"/>
      </w:pPr>
      <w:r>
        <w:t xml:space="preserve">Reporting strata (preregistration/CRITERIA.md) were:</w:t>
      </w:r>
      <w:r>
        <w:t xml:space="preserve"> </w:t>
      </w:r>
      <w:r>
        <w:rPr>
          <w:bCs/>
          <w:b/>
        </w:rPr>
        <w:t xml:space="preserve">family</w:t>
      </w:r>
      <w:r>
        <w:t xml:space="preserve"> </w:t>
      </w:r>
      <w:r>
        <w:t xml:space="preserve">(chemosensory/epidermal, from named HGNC groups; tandem</w:t>
      </w:r>
      <w:r>
        <w:t xml:space="preserve"> </w:t>
      </w:r>
      <w:r>
        <w:t xml:space="preserve">cluster, with at least 2 Ensembl paralogues within 1 Mb; or other);</w:t>
      </w:r>
      <w:r>
        <w:t xml:space="preserve"> </w:t>
      </w:r>
      <w:r>
        <w:rPr>
          <w:bCs/>
          <w:b/>
        </w:rPr>
        <w:t xml:space="preserve">expressed</w:t>
      </w:r>
      <w:r>
        <w:t xml:space="preserve"> </w:t>
      </w:r>
      <w:r>
        <w:t xml:space="preserve">(log2(TPM+1) ≥ 1</w:t>
      </w:r>
      <w:r>
        <w:t xml:space="preserve"> </w:t>
      </w:r>
      <w:r>
        <w:t xml:space="preserve">in at least 10% of DepMap models,</w:t>
      </w:r>
      <w:r>
        <w:t xml:space="preserve"> </w:t>
      </w:r>
      <w:r>
        <w:t xml:space="preserve">or in at least 50% of the lines of any lineage with at least 10 lines);</w:t>
      </w:r>
      <w:r>
        <w:t xml:space="preserve"> </w:t>
      </w:r>
      <w:r>
        <w:rPr>
          <w:bCs/>
          <w:b/>
        </w:rPr>
        <w:t xml:space="preserve">clean negatives</w:t>
      </w:r>
      <w:r>
        <w:t xml:space="preserve"> </w:t>
      </w:r>
      <w:r>
        <w:t xml:space="preserve">(log2(TPM+1) &lt; 0.5 in at least 95% of lines);</w:t>
      </w:r>
      <w:r>
        <w:t xml:space="preserve"> </w:t>
      </w:r>
      <w:r>
        <w:rPr>
          <w:bCs/>
          <w:b/>
        </w:rPr>
        <w:t xml:space="preserve">profile informativeness</w:t>
      </w:r>
      <w:r>
        <w:t xml:space="preserve"> </w:t>
      </w:r>
      <w:r>
        <w:t xml:space="preserve">(SD tertile, any dependency) and</w:t>
      </w:r>
      <w:r>
        <w:t xml:space="preserve"> </w:t>
      </w:r>
      <w:r>
        <w:rPr>
          <w:bCs/>
          <w:b/>
        </w:rPr>
        <w:t xml:space="preserve">low coverage</w:t>
      </w:r>
      <w:r>
        <w:t xml:space="preserve"> </w:t>
      </w:r>
      <w:r>
        <w:t xml:space="preserve">(outside the tool background); and the</w:t>
      </w:r>
      <w:r>
        <w:t xml:space="preserve"> </w:t>
      </w:r>
      <w:r>
        <w:rPr>
          <w:bCs/>
          <w:b/>
        </w:rPr>
        <w:t xml:space="preserve">headline stratum</w:t>
      </w:r>
      <w:r>
        <w:t xml:space="preserve"> </w:t>
      </w:r>
      <w:r>
        <w:t xml:space="preserve">(expressed, non-chemosensory, non-tandem genes).</w:t>
      </w:r>
    </w:p>
    <w:p>
      <w:pPr>
        <w:pStyle w:val="BodyText"/>
      </w:pPr>
      <w:r>
        <w:t xml:space="preserve">U was built from annotation data alone; before the freeze, DepMap was read only for its header and single-gene summaries</w:t>
      </w:r>
      <w:r>
        <w:t xml:space="preserve"> </w:t>
      </w:r>
      <w:r>
        <w:t xml:space="preserve">(preregistration/PROVENANCE.md). An independent agent, without access to our code, re-derived U and the hold-out set</w:t>
      </w:r>
      <w:r>
        <w:t xml:space="preserve"> </w:t>
      </w:r>
      <w:r>
        <w:t xml:space="preserve">from the raw files and reproduced both exactly (verify/prereg_verification.md). The list, criteria, design,</w:t>
      </w:r>
      <w:r>
        <w:t xml:space="preserve"> </w:t>
      </w:r>
      <w:r>
        <w:t xml:space="preserve">configuration, seeds, gate code, tool commit and DepMap file hashes were frozen in</w:t>
      </w:r>
      <w:r>
        <w:t xml:space="preserve"> </w:t>
      </w:r>
      <w:r>
        <w:rPr>
          <w:rStyle w:val="VerbatimChar"/>
        </w:rPr>
        <w:t xml:space="preserve">preregistration/FREEZE.sha256</w:t>
      </w:r>
      <w:r>
        <w:t xml:space="preserve"> </w:t>
      </w:r>
      <w:r>
        <w:t xml:space="preserve">at</w:t>
      </w:r>
      <w:r>
        <w:t xml:space="preserve"> </w:t>
      </w:r>
      <w:r>
        <w:t xml:space="preserve">commit afed1dd, under the tags</w:t>
      </w:r>
      <w:r>
        <w:t xml:space="preserve"> </w:t>
      </w:r>
      <w:r>
        <w:rPr>
          <w:rStyle w:val="VerbatimChar"/>
        </w:rPr>
        <w:t xml:space="preserve">preregistration-v1</w:t>
      </w:r>
      <w:r>
        <w:t xml:space="preserve"> </w:t>
      </w:r>
      <w:r>
        <w:t xml:space="preserve">and</w:t>
      </w:r>
      <w:r>
        <w:t xml:space="preserve"> </w:t>
      </w:r>
      <w:r>
        <w:rPr>
          <w:rStyle w:val="VerbatimChar"/>
        </w:rPr>
        <w:t xml:space="preserve">design-frozen</w:t>
      </w:r>
      <w:r>
        <w:t xml:space="preserve">.</w:t>
      </w:r>
    </w:p>
    <w:p>
      <w:pPr>
        <w:pStyle w:val="BodyText"/>
      </w:pPr>
      <w:r>
        <w:t xml:space="preserve">To measure curation lag, an auditor agent with no access to co-essentiality output reviewed a random sample of 50</w:t>
      </w:r>
      <w:r>
        <w:t xml:space="preserve"> </w:t>
      </w:r>
      <w:r>
        <w:t xml:space="preserve">U genes (seed 0). It searched symbols, previous symbols,</w:t>
      </w:r>
      <w:r>
        <w:t xml:space="preserve"> </w:t>
      </w:r>
      <w:r>
        <w:t xml:space="preserve">aliases, UniProt and Europe PMC including preprints, and classed each gene N1 (function established), N2 (partial) or N3</w:t>
      </w:r>
      <w:r>
        <w:t xml:space="preserve"> </w:t>
      </w:r>
      <w:r>
        <w:t xml:space="preserve">(none). Proportions are given with Wilson score intervals [85].</w:t>
      </w:r>
    </w:p>
    <w:bookmarkEnd w:id="40"/>
    <w:bookmarkStart w:id="41" w:name="assessability"/>
    <w:p>
      <w:pPr>
        <w:pStyle w:val="Heading2"/>
      </w:pPr>
      <w:r>
        <w:t xml:space="preserve">Assessability</w:t>
      </w:r>
    </w:p>
    <w:p>
      <w:pPr>
        <w:pStyle w:val="FirstParagraph"/>
      </w:pPr>
      <w:r>
        <w:t xml:space="preserve">Cell lines were split into halves stratified by lineage × screen-library combination (30 lineages), keeping lines from the same patient together, for seeds 0–4, and the tool was refitted on each half (10 fits). Half-neighbour lists N</w:t>
      </w:r>
      <w:r>
        <w:rPr>
          <w:vertAlign w:val="subscript"/>
        </w:rPr>
        <w:t xml:space="preserve">A</w:t>
      </w:r>
      <w:r>
        <w:rPr>
          <w:vertAlign w:val="superscript"/>
        </w:rPr>
        <w:t xml:space="preserve">s</w:t>
      </w:r>
      <w:r>
        <w:t xml:space="preserve">(g) and N</w:t>
      </w:r>
      <w:r>
        <w:rPr>
          <w:vertAlign w:val="subscript"/>
        </w:rPr>
        <w:t xml:space="preserve">B</w:t>
      </w:r>
      <w:r>
        <w:rPr>
          <w:vertAlign w:val="superscript"/>
        </w:rPr>
        <w:t xml:space="preserve">s</w:t>
      </w:r>
      <w:r>
        <w:t xml:space="preserve">(g) were the top 25</w:t>
      </w:r>
      <w:r>
        <w:t xml:space="preserve"> </w:t>
      </w:r>
      <w:r>
        <w:t xml:space="preserve">genes, after the predictor’s exclusions, among genes in the background of both halves and of the</w:t>
      </w:r>
      <w:r>
        <w:t xml:space="preserve"> </w:t>
      </w:r>
      <w:r>
        <w:t xml:space="preserve">full data. The reproducibility statistic was R(g) = mean</w:t>
      </w:r>
      <w:r>
        <w:rPr>
          <w:vertAlign w:val="subscript"/>
        </w:rPr>
        <w:t xml:space="preserve">s</w:t>
      </w:r>
      <w:r>
        <w:t xml:space="preserve"> </w:t>
      </w:r>
      <w:r>
        <w:t xml:space="preserve">|N</w:t>
      </w:r>
      <w:r>
        <w:rPr>
          <w:vertAlign w:val="subscript"/>
        </w:rPr>
        <w:t xml:space="preserve">A</w:t>
      </w:r>
      <w:r>
        <w:rPr>
          <w:vertAlign w:val="superscript"/>
        </w:rPr>
        <w:t xml:space="preserve">s</w:t>
      </w:r>
      <w:r>
        <w:t xml:space="preserve">(g) ∩ N</w:t>
      </w:r>
      <w:r>
        <w:rPr>
          <w:vertAlign w:val="subscript"/>
        </w:rPr>
        <w:t xml:space="preserve">B</w:t>
      </w:r>
      <w:r>
        <w:rPr>
          <w:vertAlign w:val="superscript"/>
        </w:rPr>
        <w:t xml:space="preserve">s</w:t>
      </w:r>
      <w:r>
        <w:t xml:space="preserve">(g)|/K, and its null analogue</w:t>
      </w:r>
      <w:r>
        <w:t xml:space="preserve"> </w:t>
      </w:r>
      <w:r>
        <w:t xml:space="preserve">R0(g, m) = mean</w:t>
      </w:r>
      <w:r>
        <w:rPr>
          <w:vertAlign w:val="subscript"/>
        </w:rPr>
        <w:t xml:space="preserve">s</w:t>
      </w:r>
      <w:r>
        <w:t xml:space="preserve"> </w:t>
      </w:r>
      <w:r>
        <w:t xml:space="preserve">|N</w:t>
      </w:r>
      <w:r>
        <w:rPr>
          <w:vertAlign w:val="subscript"/>
        </w:rPr>
        <w:t xml:space="preserve">A</w:t>
      </w:r>
      <w:r>
        <w:rPr>
          <w:vertAlign w:val="superscript"/>
        </w:rPr>
        <w:t xml:space="preserve">s</w:t>
      </w:r>
      <w:r>
        <w:t xml:space="preserve">(g) ∩ N</w:t>
      </w:r>
      <w:r>
        <w:rPr>
          <w:vertAlign w:val="subscript"/>
        </w:rPr>
        <w:t xml:space="preserve">B</w:t>
      </w:r>
      <w:r>
        <w:rPr>
          <w:vertAlign w:val="superscript"/>
        </w:rPr>
        <w:t xml:space="preserve">s</w:t>
      </w:r>
      <w:r>
        <w:t xml:space="preserve">(m)|/K over the first 200 matched genes m (below). A gene was</w:t>
      </w:r>
      <w:r>
        <w:t xml:space="preserve"> </w:t>
      </w:r>
      <w:r>
        <w:rPr>
          <w:bCs/>
          <w:b/>
        </w:rPr>
        <w:t xml:space="preserve">assessable</w:t>
      </w:r>
      <w:r>
        <w:t xml:space="preserve"> </w:t>
      </w:r>
      <w:r>
        <w:t xml:space="preserve">if p = (1 + #{m : R0 ≥ R})/201 was below 0.05</w:t>
      </w:r>
      <w:r>
        <w:t xml:space="preserve"> </w:t>
      </w:r>
      <w:r>
        <w:rPr>
          <w:bCs/>
          <w:b/>
        </w:rPr>
        <w:t xml:space="preserve">and</w:t>
      </w:r>
      <w:r>
        <w:t xml:space="preserve"> </w:t>
      </w:r>
      <w:r>
        <w:t xml:space="preserve">the</w:t>
      </w:r>
      <w:r>
        <w:t xml:space="preserve"> </w:t>
      </w:r>
      <w:r>
        <w:t xml:space="preserve">gene was expressed. Non-expressed genes were scored anyway, so that calls on clean negatives estimate a false-call rate.</w:t>
      </w:r>
      <w:r>
        <w:t xml:space="preserve"> </w:t>
      </w:r>
      <w:r>
        <w:t xml:space="preserve">In a sensitivity analysis, extrapolated rank-biased overlap [86] with persistence 0.9</w:t>
      </w:r>
      <w:r>
        <w:t xml:space="preserve"> </w:t>
      </w:r>
      <w:r>
        <w:t xml:space="preserve">replaced set overlap. R(g) was computed identically for every gene and was also a calibration</w:t>
      </w:r>
      <w:r>
        <w:t xml:space="preserve"> </w:t>
      </w:r>
      <w:r>
        <w:t xml:space="preserve">covariate.</w:t>
      </w:r>
    </w:p>
    <w:bookmarkEnd w:id="41"/>
    <w:bookmarkStart w:id="42" w:name="function-predictor-and-vocabularies"/>
    <w:p>
      <w:pPr>
        <w:pStyle w:val="Heading2"/>
      </w:pPr>
      <w:r>
        <w:t xml:space="preserve">Function predictor and vocabularies</w:t>
      </w:r>
    </w:p>
    <w:p>
      <w:pPr>
        <w:pStyle w:val="FirstParagraph"/>
      </w:pPr>
      <w:r>
        <w:rPr>
          <w:bCs/>
          <w:b/>
        </w:rPr>
        <w:t xml:space="preserve">Vocabularies.</w:t>
      </w:r>
      <w:r>
        <w:t xml:space="preserve"> </w:t>
      </w:r>
      <w:r>
        <w:t xml:space="preserve">The primary vocabulary, V2, was GO biological process plus molecular function. Membership came from</w:t>
      </w:r>
      <w:r>
        <w:t xml:space="preserve"> </w:t>
      </w:r>
      <w:r>
        <w:t xml:space="preserve">D1-evidence, non-NOT annotations propagated over is_a and part_of at the release in use. Candidate terms had 5–200</w:t>
      </w:r>
      <w:r>
        <w:t xml:space="preserve"> </w:t>
      </w:r>
      <w:r>
        <w:t xml:space="preserve">annotated scorable genes. Two descriptive module labels supplemented it: V1, GO</w:t>
      </w:r>
      <w:r>
        <w:t xml:space="preserve"> </w:t>
      </w:r>
      <w:r>
        <w:t xml:space="preserve">complexes under GO:0032991, and V1′, V1 plus Complex Portal and MitoCarta3.0 pathways. Each term belonged to one of eight</w:t>
      </w:r>
      <w:r>
        <w:t xml:space="preserve"> </w:t>
      </w:r>
      <w:r>
        <w:t xml:space="preserve">module families through a fixed, ordered list of GO ancestors</w:t>
      </w:r>
      <w:r>
        <w:t xml:space="preserve"> </w:t>
      </w:r>
      <w:r>
        <w:t xml:space="preserve">(config/term_families.tsv). When g was scored, IPI rows whose with/from field named g were removed from its neighbours’</w:t>
      </w:r>
      <w:r>
        <w:t xml:space="preserve"> </w:t>
      </w:r>
      <w:r>
        <w:t xml:space="preserve">memberships.</w:t>
      </w:r>
    </w:p>
    <w:p>
      <w:pPr>
        <w:pStyle w:val="BodyText"/>
      </w:pPr>
      <w:r>
        <w:rPr>
          <w:bCs/>
          <w:b/>
        </w:rPr>
        <w:t xml:space="preserve">Neighbourhood and scores.</w:t>
      </w:r>
      <w:r>
        <w:t xml:space="preserve"> </w:t>
      </w:r>
      <w:r>
        <w:t xml:space="preserve">N(g) was the top K = 25 background genes by zavg_BEF,</w:t>
      </w:r>
      <w:r>
        <w:t xml:space="preserve"> </w:t>
      </w:r>
      <w:r>
        <w:t xml:space="preserve">excluding g, genes on g’s chromosome arm and Ensembl paralogues of g, which removes Cas9 proximity artefacts [58]</w:t>
      </w:r>
      <w:r>
        <w:t xml:space="preserve"> </w:t>
      </w:r>
      <w:r>
        <w:t xml:space="preserve">and paralogue effects. For each term t, S(g, t) = Σ max(z</w:t>
      </w:r>
      <w:r>
        <w:rPr>
          <w:vertAlign w:val="subscript"/>
        </w:rPr>
        <w:t xml:space="preserve">gj</w:t>
      </w:r>
      <w:r>
        <w:t xml:space="preserve">, 0) over the neighbours j ∈ N(g) annotated to t. Three</w:t>
      </w:r>
      <w:r>
        <w:t xml:space="preserve"> </w:t>
      </w:r>
      <w:r>
        <w:t xml:space="preserve">rankers were pre-specified: R1, raw S; R2, the hypergeometric p of the neighbour count, with the annotated scorable genes</w:t>
      </w:r>
      <w:r>
        <w:t xml:space="preserve"> </w:t>
      </w:r>
      <w:r>
        <w:t xml:space="preserve">as background; and R3, an empirical p against matched genes, p</w:t>
      </w:r>
      <w:r>
        <w:rPr>
          <w:vertAlign w:val="subscript"/>
        </w:rPr>
        <w:t xml:space="preserve">emp</w:t>
      </w:r>
      <w:r>
        <w:t xml:space="preserve"> </w:t>
      </w:r>
      <w:r>
        <w:t xml:space="preserve">= (1 + #{m ∈ M(g) ∖ A</w:t>
      </w:r>
      <w:r>
        <w:rPr>
          <w:vertAlign w:val="subscript"/>
        </w:rPr>
        <w:t xml:space="preserve">t</w:t>
      </w:r>
      <w:r>
        <w:t xml:space="preserve"> </w:t>
      </w:r>
      <w:r>
        <w:t xml:space="preserve">: S(m, t) ≥ S(g, t)})/(1 + |M(g) ∖</w:t>
      </w:r>
      <w:r>
        <w:t xml:space="preserve"> </w:t>
      </w:r>
      <w:r>
        <w:t xml:space="preserve">A</w:t>
      </w:r>
      <w:r>
        <w:rPr>
          <w:vertAlign w:val="subscript"/>
        </w:rPr>
        <w:t xml:space="preserve">t</w:t>
      </w:r>
      <w:r>
        <w:t xml:space="preserve">|), where A</w:t>
      </w:r>
      <w:r>
        <w:rPr>
          <w:vertAlign w:val="subscript"/>
        </w:rPr>
        <w:t xml:space="preserve">t</w:t>
      </w:r>
      <w:r>
        <w:t xml:space="preserve"> </w:t>
      </w:r>
      <w:r>
        <w:t xml:space="preserve">are the genes annotated to t.</w:t>
      </w:r>
    </w:p>
    <w:p>
      <w:pPr>
        <w:pStyle w:val="BodyText"/>
      </w:pPr>
      <w:r>
        <w:rPr>
          <w:bCs/>
          <w:b/>
        </w:rPr>
        <w:t xml:space="preserve">Matched genes.</w:t>
      </w:r>
      <w:r>
        <w:t xml:space="preserve"> </w:t>
      </w:r>
      <w:r>
        <w:t xml:space="preserve">M(g) held the 500 scorable genes nearest to g in Mahalanobis</w:t>
      </w:r>
      <w:r>
        <w:t xml:space="preserve"> </w:t>
      </w:r>
      <w:r>
        <w:t xml:space="preserve">distance on mean effect, log SD and missing fraction [87,88], with background status matched exactly</w:t>
      </w:r>
      <w:r>
        <w:t xml:space="preserve"> </w:t>
      </w:r>
      <w:r>
        <w:t xml:space="preserve">and g, N(g), same-arm genes and paralogues excluded. The caliper was 0.2, with</w:t>
      </w:r>
      <w:r>
        <w:t xml:space="preserve"> </w:t>
      </w:r>
      <w:r>
        <w:t xml:space="preserve">nearest-available fallback (seed 0). Among the first five matches, 2.9%</w:t>
      </w:r>
      <w:r>
        <w:t xml:space="preserve"> </w:t>
      </w:r>
      <w:r>
        <w:t xml:space="preserve">fell outside the caliper, and standardised mean differences over</w:t>
      </w:r>
      <w:r>
        <w:t xml:space="preserve"> </w:t>
      </w:r>
      <w:r>
        <w:t xml:space="preserve">all scorable genes were at most 0.002 in absolute value. The first</w:t>
      </w:r>
      <w:r>
        <w:t xml:space="preserve"> </w:t>
      </w:r>
      <w:r>
        <w:t xml:space="preserve">five matches served as the null comparator, the first 200</w:t>
      </w:r>
      <w:r>
        <w:t xml:space="preserve"> </w:t>
      </w:r>
      <w:r>
        <w:t xml:space="preserve">as the assessability null, and all 500 as the R3</w:t>
      </w:r>
      <w:r>
        <w:t xml:space="preserve"> </w:t>
      </w:r>
      <w:r>
        <w:t xml:space="preserve">reference.</w:t>
      </w:r>
    </w:p>
    <w:p>
      <w:pPr>
        <w:pStyle w:val="BodyText"/>
      </w:pPr>
      <w:r>
        <w:rPr>
          <w:bCs/>
          <w:b/>
        </w:rPr>
        <w:t xml:space="preserve">Output.</w:t>
      </w:r>
      <w:r>
        <w:t xml:space="preserve"> </w:t>
      </w:r>
      <w:r>
        <w:t xml:space="preserve">A term was reportable if at least 2 neighbours with z &gt; 0 supported it. The</w:t>
      </w:r>
      <w:r>
        <w:t xml:space="preserve"> </w:t>
      </w:r>
      <w:r>
        <w:t xml:space="preserve">prediction was the top reportable V2 term, and calibration, tiers and judging all attached to it. Ties in R1 were broken</w:t>
      </w:r>
      <w:r>
        <w:t xml:space="preserve"> </w:t>
      </w:r>
      <w:r>
        <w:t xml:space="preserve">by ascending GO identifier (a deviation; see below).</w:t>
      </w:r>
    </w:p>
    <w:p>
      <w:pPr>
        <w:pStyle w:val="BodyText"/>
      </w:pPr>
      <w:r>
        <w:rPr>
          <w:bCs/>
          <w:b/>
        </w:rPr>
        <w:t xml:space="preserve">Ranker choice.</w:t>
      </w:r>
      <w:r>
        <w:t xml:space="preserve"> </w:t>
      </w:r>
      <w:r>
        <w:t xml:space="preserve">The ranker was chosen once, by leave-one-out (LOO) on 3,000</w:t>
      </w:r>
      <w:r>
        <w:t xml:space="preserve"> </w:t>
      </w:r>
      <w:r>
        <w:t xml:space="preserve">random scorable genes in neither U nor H (seed 0). Each query’s own annotations were removed, and targets with</w:t>
      </w:r>
      <w:r>
        <w:t xml:space="preserve"> </w:t>
      </w:r>
      <w:r>
        <w:t xml:space="preserve">circular literature (below) were excluded, leaving 2,519 genes.</w:t>
      </w:r>
      <w:r>
        <w:t xml:space="preserve"> </w:t>
      </w:r>
      <w:r>
        <w:t xml:space="preserve">The frozen rule took the highest mean reciprocal rank (MRR) of the first correct reportable term, treating differences</w:t>
      </w:r>
      <w:r>
        <w:t xml:space="preserve"> </w:t>
      </w:r>
      <w:r>
        <w:t xml:space="preserve">below 0.005 as ties resolved to R3 and then R1. R1 was chosen and logged with the</w:t>
      </w:r>
      <w:r>
        <w:t xml:space="preserve"> </w:t>
      </w:r>
      <w:r>
        <w:t xml:space="preserve">calibration specification in LOOKS.md before H was opened. In a label-shuffle control, annotation rows were permuted among</w:t>
      </w:r>
      <w:r>
        <w:t xml:space="preserve"> </w:t>
      </w:r>
      <w:r>
        <w:t xml:space="preserve">genes of similar annotation count. On a synthetic 300-line × 2,000-gene matrix with</w:t>
      </w:r>
      <w:r>
        <w:t xml:space="preserve"> </w:t>
      </w:r>
      <w:r>
        <w:t xml:space="preserve">planted modules, the full pipeline reached strong-module precision@1 of 1.00, removed every</w:t>
      </w:r>
      <w:r>
        <w:t xml:space="preserve"> </w:t>
      </w:r>
      <w:r>
        <w:t xml:space="preserve">proximity call by same-arm exclusion, and gave uniform null p-values (Kolmogorov–Smirnov p = 0.135).</w:t>
      </w:r>
    </w:p>
    <w:bookmarkEnd w:id="42"/>
    <w:bookmarkStart w:id="43" w:name="Xc7fd622e166723e4eaab18a736be93ea3a93759"/>
    <w:p>
      <w:pPr>
        <w:pStyle w:val="Heading2"/>
      </w:pPr>
      <w:r>
        <w:t xml:space="preserve">Temporal hold-out, comparators and statistics</w:t>
      </w:r>
    </w:p>
    <w:p>
      <w:pPr>
        <w:pStyle w:val="FirstParagraph"/>
      </w:pPr>
      <w:r>
        <w:rPr>
          <w:bCs/>
          <w:b/>
        </w:rPr>
        <w:t xml:space="preserve">Hold-out set.</w:t>
      </w:r>
      <w:r>
        <w:t xml:space="preserve"> </w:t>
      </w:r>
      <w:r>
        <w:t xml:space="preserve">t0 was the GO release of 2018-07-02. H contained the</w:t>
      </w:r>
      <w:r>
        <w:t xml:space="preserve"> </w:t>
      </w:r>
      <w:r>
        <w:t xml:space="preserve">scorable genes that (i) satisfied D1 at t0, under the same function applied to the t0 files; (ii) had at most 10</w:t>
      </w:r>
      <w:r>
        <w:t xml:space="preserve"> </w:t>
      </w:r>
      <w:r>
        <w:t xml:space="preserve">focused PMIDs below the July 2018 cut-off (PMID 29958442); and (iii) had at least one target. UniProt scores at t0 were</w:t>
      </w:r>
      <w:r>
        <w:t xml:space="preserve"> </w:t>
      </w:r>
      <w:r>
        <w:t xml:space="preserve">unavailable, so D2 was not used. The targets T(g) were the V2 terms propagated from current annotations minus those</w:t>
      </w:r>
      <w:r>
        <w:t xml:space="preserve"> </w:t>
      </w:r>
      <w:r>
        <w:t xml:space="preserve">propagated from t0 annotations, both in the current ontology, restricted to terms with 5–200</w:t>
      </w:r>
      <w:r>
        <w:t xml:space="preserve"> </w:t>
      </w:r>
      <w:r>
        <w:t xml:space="preserve">annotated genes at t0. H had 820</w:t>
      </w:r>
      <w:r>
        <w:t xml:space="preserve"> </w:t>
      </w:r>
      <w:r>
        <w:t xml:space="preserve">genes and 5,965</w:t>
      </w:r>
      <w:r>
        <w:t xml:space="preserve"> </w:t>
      </w:r>
      <w:r>
        <w:t xml:space="preserve">gene–target pairs (median 6 per gene), and none of its genes was in U.</w:t>
      </w:r>
      <w:r>
        <w:t xml:space="preserve"> </w:t>
      </w:r>
      <w:r>
        <w:t xml:space="preserve">When H genes were scored, neighbour memberships, the background, the candidate terms and the prior frequencies all came</w:t>
      </w:r>
      <w:r>
        <w:t xml:space="preserve"> </w:t>
      </w:r>
      <w:r>
        <w:t xml:space="preserve">from t0. The network used 26Q3 data, so the test is temporal in annotation only. Current annotations are about 8</w:t>
      </w:r>
      <w:r>
        <w:t xml:space="preserve"> </w:t>
      </w:r>
      <w:r>
        <w:t xml:space="preserve">years after t0. Because H includes only genes that gained at least one target, p_cal</w:t>
      </w:r>
      <w:r>
        <w:t xml:space="preserve"> </w:t>
      </w:r>
      <w:r>
        <w:t xml:space="preserve">is the probability of confirmation within roughly that horizon</w:t>
      </w:r>
      <w:r>
        <w:t xml:space="preserve"> </w:t>
      </w:r>
      <w:r>
        <w:rPr>
          <w:iCs/>
          <w:i/>
        </w:rPr>
        <w:t xml:space="preserve">conditional on the gene gaining experimental BP/MF</w:t>
      </w:r>
      <w:r>
        <w:rPr>
          <w:iCs/>
          <w:i/>
        </w:rPr>
        <w:t xml:space="preserve"> </w:t>
      </w:r>
      <w:r>
        <w:rPr>
          <w:iCs/>
          <w:i/>
        </w:rPr>
        <w:t xml:space="preserve">annotation</w:t>
      </w:r>
      <w:r>
        <w:t xml:space="preserve">. DESIGN.md §3.7 and the first submitted version of this manuscript described it without this condition;</w:t>
      </w:r>
      <w:r>
        <w:t xml:space="preserve"> </w:t>
      </w:r>
      <w:r>
        <w:t xml:space="preserve">the conditional reading was introduced after the first round of review, without changing the model.</w:t>
      </w:r>
    </w:p>
    <w:p>
      <w:pPr>
        <w:pStyle w:val="BodyText"/>
      </w:pPr>
      <w:r>
        <w:rPr>
          <w:bCs/>
          <w:b/>
        </w:rPr>
        <w:t xml:space="preserve">Circularity.</w:t>
      </w:r>
      <w:r>
        <w:t xml:space="preserve"> </w:t>
      </w:r>
      <w:r>
        <w:t xml:space="preserve">Every supporting PMID was searched in Europe PMC, in full text where available, for DepMap and</w:t>
      </w:r>
      <w:r>
        <w:t xml:space="preserve"> </w:t>
      </w:r>
      <w:r>
        <w:t xml:space="preserve">co-essentiality terms. Of 1,050 PMIDs, 16</w:t>
      </w:r>
      <w:r>
        <w:t xml:space="preserve"> </w:t>
      </w:r>
      <w:r>
        <w:t xml:space="preserve">were flagged; they affected 106</w:t>
      </w:r>
      <w:r>
        <w:t xml:space="preserve"> </w:t>
      </w:r>
      <w:r>
        <w:t xml:space="preserve">pairs, and under the primary rule 11</w:t>
      </w:r>
      <w:r>
        <w:t xml:space="preserve"> </w:t>
      </w:r>
      <w:r>
        <w:t xml:space="preserve">genes lost all their targets (9</w:t>
      </w:r>
      <w:r>
        <w:t xml:space="preserve"> </w:t>
      </w:r>
      <w:r>
        <w:t xml:space="preserve">under the fully-circular definition used in one sensitivity analysis). The known case, CCDC32 annotations citing Wainberg et al. [23], was flagged. The</w:t>
      </w:r>
      <w:r>
        <w:t xml:space="preserve"> </w:t>
      </w:r>
      <w:r>
        <w:t xml:space="preserve">primary analysis excluded flagged annotations from targets and ranked lists; sensitivity analyses varied the rule.</w:t>
      </w:r>
    </w:p>
    <w:p>
      <w:pPr>
        <w:pStyle w:val="BodyText"/>
      </w:pPr>
      <w:r>
        <w:rPr>
          <w:bCs/>
          <w:b/>
        </w:rPr>
        <w:t xml:space="preserve">Endpoint and comparators.</w:t>
      </w:r>
      <w:r>
        <w:t xml:space="preserve"> </w:t>
      </w:r>
      <w:r>
        <w:t xml:space="preserve">The endpoint was hit@1: the top reportable term is in T(g). The denominator was all primary</w:t>
      </w:r>
      <w:r>
        <w:t xml:space="preserve"> </w:t>
      </w:r>
      <w:r>
        <w:t xml:space="preserve">H genes, so a gene without a prediction counted as a miss. Every comparator used R1 and the same reportability rule.</w:t>
      </w:r>
      <w:r>
        <w:t xml:space="preserve"> </w:t>
      </w:r>
      <w:r>
        <w:t xml:space="preserve">Prior-only ranked terms by their t0 frequency. The matched-gene null was the mean, over g’s first five matches, of</w:t>
      </w:r>
      <w:r>
        <w:t xml:space="preserve"> </w:t>
      </w:r>
      <w:r>
        <w:t xml:space="preserve">whether the match’s top term was in T(g), skipping matches annotated to T(g). GLS was the same predictor on GLS scores;</w:t>
      </w:r>
      <w:r>
        <w:t xml:space="preserve"> </w:t>
      </w:r>
      <w:r>
        <w:t xml:space="preserve">it was the key secondary comparison, two-sided and reported by the size of the gene’s smallest target.</w:t>
      </w:r>
    </w:p>
    <w:p>
      <w:pPr>
        <w:pStyle w:val="BodyText"/>
      </w:pPr>
      <w:r>
        <w:t xml:space="preserve">The primary test was an intersection–union test [89,90]: precision@1 of zavg_BEF had to exceed</w:t>
      </w:r>
      <w:r>
        <w:t xml:space="preserve"> </w:t>
      </w:r>
      <w:r>
        <w:rPr>
          <w:bCs/>
          <w:b/>
        </w:rPr>
        <w:t xml:space="preserve">both</w:t>
      </w:r>
      <w:r>
        <w:t xml:space="preserve"> </w:t>
      </w:r>
      <w:r>
        <w:t xml:space="preserve">prior-only</w:t>
      </w:r>
      <w:r>
        <w:t xml:space="preserve"> </w:t>
      </w:r>
      <w:r>
        <w:rPr>
          <w:bCs/>
          <w:b/>
        </w:rPr>
        <w:t xml:space="preserve">and</w:t>
      </w:r>
      <w:r>
        <w:t xml:space="preserve"> </w:t>
      </w:r>
      <w:r>
        <w:t xml:space="preserve">the matched-gene null, each paired difference having a 95%</w:t>
      </w:r>
      <w:r>
        <w:t xml:space="preserve"> </w:t>
      </w:r>
      <w:r>
        <w:t xml:space="preserve">cluster-bootstrap percentile confidence interval that excluded 0 [91], with no</w:t>
      </w:r>
      <w:r>
        <w:t xml:space="preserve"> </w:t>
      </w:r>
      <w:r>
        <w:t xml:space="preserve">multiplicity adjustment. BCa intervals [92] were also reported. Core secondary analyses included MRR, precision@1</w:t>
      </w:r>
      <w:r>
        <w:t xml:space="preserve"> </w:t>
      </w:r>
      <w:r>
        <w:t xml:space="preserve">on terms of at most 50 genes, split-half networks, V1 with and without ETC complex I and</w:t>
      </w:r>
      <w:r>
        <w:t xml:space="preserve"> </w:t>
      </w:r>
      <w:r>
        <w:t xml:space="preserve">the mitoribosome, and covariate shift between H, U and LOO. A secondary batch (Pearson, homology, hu.MAP 3.0 module</w:t>
      </w:r>
      <w:r>
        <w:t xml:space="preserve"> </w:t>
      </w:r>
      <w:r>
        <w:t xml:space="preserve">transfer, t0 = 2019-07, K = 10 and 50, reweighting to</w:t>
      </w:r>
      <w:r>
        <w:t xml:space="preserve"> </w:t>
      </w:r>
      <w:r>
        <w:t xml:space="preserve">U, and others) was reported in full.</w:t>
      </w:r>
    </w:p>
    <w:p>
      <w:pPr>
        <w:pStyle w:val="BodyText"/>
      </w:pPr>
      <w:r>
        <w:rPr>
          <w:bCs/>
          <w:b/>
        </w:rPr>
        <w:t xml:space="preserve">Named controls.</w:t>
      </w:r>
      <w:r>
        <w:t xml:space="preserve"> </w:t>
      </w:r>
      <w:r>
        <w:t xml:space="preserve">The named controls were SPRING1, PEDS1, CCDC32, INTS15, HAPSTR1, SLC25A51, TEDC1, TEDC2, POU2AF2,</w:t>
      </w:r>
      <w:r>
        <w:t xml:space="preserve"> </w:t>
      </w:r>
      <w:r>
        <w:t xml:space="preserve">POU2AF3 and TMEM242, with FIRRM, AIRIM and TMEM41B as weaker controls. Nine</w:t>
      </w:r>
      <w:r>
        <w:t xml:space="preserve"> </w:t>
      </w:r>
      <w:r>
        <w:t xml:space="preserve">were in H; the rest had no new term inside the 5–200</w:t>
      </w:r>
      <w:r>
        <w:t xml:space="preserve"> </w:t>
      </w:r>
      <w:r>
        <w:t xml:space="preserve">window. All were reported as a case series, with the rank of the best</w:t>
      </w:r>
      <w:r>
        <w:t xml:space="preserve"> </w:t>
      </w:r>
      <w:r>
        <w:t xml:space="preserve">true term under a 2–300 window, never pooled with the primary.</w:t>
      </w:r>
    </w:p>
    <w:p>
      <w:pPr>
        <w:pStyle w:val="BodyText"/>
      </w:pPr>
      <w:r>
        <w:rPr>
          <w:bCs/>
          <w:b/>
        </w:rPr>
        <w:t xml:space="preserve">Clusters and power.</w:t>
      </w:r>
      <w:r>
        <w:t xml:space="preserve"> </w:t>
      </w:r>
      <w:r>
        <w:t xml:space="preserve">Clusters were connected components linking H genes that share a supporting PMID or appear in</w:t>
      </w:r>
      <w:r>
        <w:t xml:space="preserve"> </w:t>
      </w:r>
      <w:r>
        <w:t xml:space="preserve">each other’s N(g), fixed once for all comparisons. Confidence intervals came from a paired cluster bootstrap with 10,000</w:t>
      </w:r>
      <w:r>
        <w:t xml:space="preserve"> </w:t>
      </w:r>
      <w:r>
        <w:t xml:space="preserve">replicates (seed 0). Because the largest component</w:t>
      </w:r>
      <w:r>
        <w:t xml:space="preserve"> </w:t>
      </w:r>
      <w:r>
        <w:t xml:space="preserve">exceeded 20% of H, the primary used PMID-only clusters under a fallback rule logged before H</w:t>
      </w:r>
      <w:r>
        <w:t xml:space="preserve"> </w:t>
      </w:r>
      <w:r>
        <w:t xml:space="preserve">was opened. With 709 PMID-only clusters, the freeze-time effective n was</w:t>
      </w:r>
      <w:r>
        <w:t xml:space="preserve"> </w:t>
      </w:r>
      <w:r>
        <w:t xml:space="preserve">at least 539, and a simulation gave 80% power for differences of</w:t>
      </w:r>
      <w:r>
        <w:t xml:space="preserve"> </w:t>
      </w:r>
      <w:r>
        <w:t xml:space="preserve">0.04–0.06 in precision@1.</w:t>
      </w:r>
    </w:p>
    <w:bookmarkEnd w:id="43"/>
    <w:bookmarkStart w:id="44" w:name="calibration"/>
    <w:p>
      <w:pPr>
        <w:pStyle w:val="Heading2"/>
      </w:pPr>
      <w:r>
        <w:t xml:space="preserve">Calibration</w:t>
      </w:r>
    </w:p>
    <w:p>
      <w:pPr>
        <w:pStyle w:val="FirstParagraph"/>
      </w:pPr>
      <w:r>
        <w:t xml:space="preserve">p_cal came from a logistic regression of hit@1 on H with five covariates: top-K mean zavg_BEF</w:t>
      </w:r>
      <w:r>
        <w:t xml:space="preserve"> </w:t>
      </w:r>
      <w:r>
        <w:t xml:space="preserve">(coefficient ≥ 0), R(g) (≥ 0), neighbourhood annotation coverage (≥ 0), log top-term size (≤ 0) and module family</w:t>
      </w:r>
      <w:r>
        <w:t xml:space="preserve"> </w:t>
      </w:r>
      <w:r>
        <w:t xml:space="preserve">(unconstrained). Coverage and term size depend on the annotation release, so they entered as within-release percentile</w:t>
      </w:r>
      <w:r>
        <w:t xml:space="preserve"> </w:t>
      </w:r>
      <w:r>
        <w:t xml:space="preserve">ranks. Out-of-fold H predictions came from 10-fold cluster cross-fitting over fold</w:t>
      </w:r>
      <w:r>
        <w:t xml:space="preserve"> </w:t>
      </w:r>
      <w:r>
        <w:t xml:space="preserve">seeds 0–4 [93]. We report a reliability diagram (bins of at least 30</w:t>
      </w:r>
      <w:r>
        <w:t xml:space="preserve"> </w:t>
      </w:r>
      <w:r>
        <w:t xml:space="preserve">genes), the Brier score [94], and the calibration intercept and slope with</w:t>
      </w:r>
      <w:r>
        <w:t xml:space="preserve"> </w:t>
      </w:r>
      <w:r>
        <w:t xml:space="preserve">confidence intervals [95,96]. U genes received p_cal from the model fitted on all of H.</w:t>
      </w:r>
    </w:p>
    <w:p>
      <w:pPr>
        <w:pStyle w:val="BodyText"/>
      </w:pPr>
      <w:r>
        <w:t xml:space="preserve">p_cal was given only within support: every covariate within H’s 5th–95th percentiles</w:t>
      </w:r>
      <w:r>
        <w:t xml:space="preserve"> </w:t>
      </w:r>
      <w:r>
        <w:t xml:space="preserve">and the gene’s family represented by at least 30 H genes. A gene below support only on</w:t>
      </w:r>
      <w:r>
        <w:t xml:space="preserve"> </w:t>
      </w:r>
      <w:r>
        <w:t xml:space="preserve">zavg_BEF or R(g) received a boundary upper bound, untiered and summed separately; any other gene outside support received</w:t>
      </w:r>
      <w:r>
        <w:t xml:space="preserve"> </w:t>
      </w:r>
      <w:r>
        <w:t xml:space="preserve">no p_cal. The C3 headline was Σp_cal, with a percentile confidence interval from 2,000</w:t>
      </w:r>
      <w:r>
        <w:t xml:space="preserve"> </w:t>
      </w:r>
      <w:r>
        <w:t xml:space="preserve">cluster-bootstrap refits. The pre-specified branches were: if the slope interval</w:t>
      </w:r>
      <w:r>
        <w:t xml:space="preserve"> </w:t>
      </w:r>
      <w:r>
        <w:t xml:space="preserve">excluded 1 or the intercept interval excluded 0, p_cal would be reported with a caveat and no recalibration; if the C2</w:t>
      </w:r>
      <w:r>
        <w:t xml:space="preserve"> </w:t>
      </w:r>
      <w:r>
        <w:t xml:space="preserve">primary test failed, U predictions would be reported uncalibrated. Neither branch was triggered.</w:t>
      </w:r>
    </w:p>
    <w:bookmarkEnd w:id="44"/>
    <w:bookmarkStart w:id="45" w:name="X2dfff6088b075fbfbbf3b02f54945d473565681"/>
    <w:p>
      <w:pPr>
        <w:pStyle w:val="Heading2"/>
      </w:pPr>
      <w:r>
        <w:t xml:space="preserve">Hypothesis generation, artefacts and orthogonal evidence</w:t>
      </w:r>
    </w:p>
    <w:p>
      <w:pPr>
        <w:pStyle w:val="FirstParagraph"/>
      </w:pPr>
      <w:r>
        <w:rPr>
          <w:bCs/>
          <w:b/>
        </w:rPr>
        <w:t xml:space="preserve">Ledger.</w:t>
      </w:r>
      <w:r>
        <w:t xml:space="preserve"> </w:t>
      </w:r>
      <w:r>
        <w:t xml:space="preserve">For every scorable U gene, the predictor was run with current annotations. A machine-written ledger recorded</w:t>
      </w:r>
      <w:r>
        <w:t xml:space="preserve"> </w:t>
      </w:r>
      <w:r>
        <w:t xml:space="preserve">the top 10 partners with their zavg_BEF components, annotations, essentiality and</w:t>
      </w:r>
      <w:r>
        <w:t xml:space="preserve"> </w:t>
      </w:r>
      <w:r>
        <w:t xml:space="preserve">positions, paralogue and hub flags, and GLS ranks for the top 40. The ledger was written</w:t>
      </w:r>
      <w:r>
        <w:t xml:space="preserve"> </w:t>
      </w:r>
      <w:r>
        <w:t xml:space="preserve">before any narrative.</w:t>
      </w:r>
    </w:p>
    <w:p>
      <w:pPr>
        <w:pStyle w:val="BodyText"/>
      </w:pPr>
      <w:r>
        <w:rPr>
          <w:bCs/>
          <w:b/>
        </w:rPr>
        <w:t xml:space="preserve">Artefact flags.</w:t>
      </w:r>
      <w:r>
        <w:t xml:space="preserve"> </w:t>
      </w:r>
      <w:r>
        <w:t xml:space="preserve">Three flags applied to supporting partners: overlapping or adjacent loci (gene bodies within 1 kb, applied strand-agnostically), copy-number co-amplification (r &gt; 0.3) and hub dominance (&gt; 50% of S from partners in the top</w:t>
      </w:r>
      <w:r>
        <w:t xml:space="preserve"> </w:t>
      </w:r>
      <w:r>
        <w:t xml:space="preserve">1% of in-degree). If these flags affected half or more of</w:t>
      </w:r>
      <w:r>
        <w:t xml:space="preserve"> </w:t>
      </w:r>
      <w:r>
        <w:t xml:space="preserve">the supporting partners, or the prediction was hub-driven, the gene could not be in Tier A. A top-40 gene was Tier B at</w:t>
      </w:r>
      <w:r>
        <w:t xml:space="preserve"> </w:t>
      </w:r>
      <w:r>
        <w:t xml:space="preserve">best if it failed lineage leave-out (refit without its most dependent lineage changes the top term), had a TP53-status</w:t>
      </w:r>
      <w:r>
        <w:t xml:space="preserve"> </w:t>
      </w:r>
      <w:r>
        <w:t xml:space="preserve">flag (Mann–Whitney comparison of TP53-mutant and wild-type lines, BH q &lt; 0.05</w:t>
      </w:r>
      <w:r>
        <w:t xml:space="preserve"> </w:t>
      </w:r>
      <w:r>
        <w:t xml:space="preserve">[97]), or failed DEMETER2</w:t>
      </w:r>
      <w:r>
        <w:t xml:space="preserve"> </w:t>
      </w:r>
      <w:r>
        <w:t xml:space="preserve">replication. Coupling between dependency and the gene’s own expression (|ρ| &gt; 0.3), or</w:t>
      </w:r>
      <w:r>
        <w:t xml:space="preserve"> </w:t>
      </w:r>
      <w:r>
        <w:t xml:space="preserve">transcription-factor enrichment among partners, set the relationship type to (e), programme. Otherwise the type was</w:t>
      </w:r>
      <w:r>
        <w:t xml:space="preserve"> </w:t>
      </w:r>
      <w:r>
        <w:t xml:space="preserve">assigned by script in a fixed order: (a) subunit, only with physical, co-abundance or structural support; (c)</w:t>
      </w:r>
      <w:r>
        <w:t xml:space="preserve"> </w:t>
      </w:r>
      <w:r>
        <w:t xml:space="preserve">supplier/client; (b) assembly factor; (d) pathway member, unresolved.</w:t>
      </w:r>
    </w:p>
    <w:p>
      <w:pPr>
        <w:pStyle w:val="BodyText"/>
      </w:pPr>
      <w:r>
        <w:rPr>
          <w:bCs/>
          <w:b/>
        </w:rPr>
        <w:t xml:space="preserve">Orthogonal classes</w:t>
      </w:r>
      <w:r>
        <w:t xml:space="preserve">, all independent of DepMap, were P, physical (BioPlex, OpenCell, BioGRID low-throughput and STRING</w:t>
      </w:r>
      <w:r>
        <w:t xml:space="preserve"> </w:t>
      </w:r>
      <w:r>
        <w:t xml:space="preserve">experiments as one group; Human Cell Map SAINT separately); A, co-abundance (ProteomeHD; CCLE proteomics, flagged for</w:t>
      </w:r>
      <w:r>
        <w:t xml:space="preserve"> </w:t>
      </w:r>
      <w:r>
        <w:t xml:space="preserve">its shared lines); L, localisation; G, Perturb-seq with on-target knockdown of at least 30%; and</w:t>
      </w:r>
      <w:r>
        <w:t xml:space="preserve"> </w:t>
      </w:r>
      <w:r>
        <w:t xml:space="preserve">S, AlphaFold2 pDockQ ≥ 0.23. Sources that embed DepMap or literature (hu.MAP 3.0, DEMETER2,</w:t>
      </w:r>
      <w:r>
        <w:t xml:space="preserve"> </w:t>
      </w:r>
      <w:r>
        <w:t xml:space="preserve">Predictomes, STRING text-mining) were never used as support [43,48]: hu.MAP 3.0 served as a secondary</w:t>
      </w:r>
      <w:r>
        <w:t xml:space="preserve"> </w:t>
      </w:r>
      <w:r>
        <w:t xml:space="preserve">comparator on H, DEMETER2 as a robustness check, and hu.MAP and Predictomes, after review, only for the novelty check.</w:t>
      </w:r>
      <w:r>
        <w:t xml:space="preserve"> </w:t>
      </w:r>
      <w:r>
        <w:t xml:space="preserve">HumanNet was not obtained or used.</w:t>
      </w:r>
    </w:p>
    <w:p>
      <w:pPr>
        <w:pStyle w:val="BodyText"/>
      </w:pPr>
      <w:r>
        <w:rPr>
          <w:bCs/>
          <w:b/>
        </w:rPr>
        <w:t xml:space="preserve">Admission.</w:t>
      </w:r>
      <w:r>
        <w:t xml:space="preserve"> </w:t>
      </w:r>
      <w:r>
        <w:t xml:space="preserve">Sources were admitted before any U prediction existed, on annotation data only (S3 Fig). Pair sources</w:t>
      </w:r>
      <w:r>
        <w:t xml:space="preserve"> </w:t>
      </w:r>
      <w:r>
        <w:t xml:space="preserve">needed a co-complex odds ratio with a lower 95% bound above 2 on 2,538</w:t>
      </w:r>
      <w:r>
        <w:t xml:space="preserve"> </w:t>
      </w:r>
      <w:r>
        <w:t xml:space="preserve">complexes not derived from hu.MAP. Eleven of twelve</w:t>
      </w:r>
      <w:r>
        <w:t xml:space="preserve"> </w:t>
      </w:r>
      <w:r>
        <w:t xml:space="preserve">sources passed; the Olivieri screens failed (OR 1.87, 95% CI 1.58–2.26), so G support came from Perturb-seq only. Localisation sources needed</w:t>
      </w:r>
      <w:r>
        <w:t xml:space="preserve"> </w:t>
      </w:r>
      <w:r>
        <w:t xml:space="preserve">agreement with GO cellular component on at least 200 H genes, with a lower Wilson bound above 0.6. Only HPA passed (0.686, 95% CI 0.639–0.730);</w:t>
      </w:r>
      <w:r>
        <w:t xml:space="preserve"> </w:t>
      </w:r>
      <w:r>
        <w:t xml:space="preserve">OpenCell, Human Cell Map and MitoCarta failed on coverage alone.</w:t>
      </w:r>
    </w:p>
    <w:p>
      <w:pPr>
        <w:pStyle w:val="BodyText"/>
      </w:pPr>
      <w:r>
        <w:rPr>
          <w:bCs/>
          <w:b/>
        </w:rPr>
        <w:t xml:space="preserve">Support test.</w:t>
      </w:r>
      <w:r>
        <w:t xml:space="preserve"> </w:t>
      </w:r>
      <w:r>
        <w:t xml:space="preserve">The test was applied to the top-40 candidates and every fill entrant (247 anchors), and to one</w:t>
      </w:r>
      <w:r>
        <w:t xml:space="preserve"> </w:t>
      </w:r>
      <w:r>
        <w:t xml:space="preserve">matched-gene and one decoy-term prediction per anchor. The called term’s members were compared with 1,000</w:t>
      </w:r>
      <w:r>
        <w:t xml:space="preserve"> </w:t>
      </w:r>
      <w:r>
        <w:t xml:space="preserve">degree-matched member sets, and p-values were combined by Simes within a class and Holm across</w:t>
      </w:r>
      <w:r>
        <w:t xml:space="preserve"> </w:t>
      </w:r>
      <w:r>
        <w:t xml:space="preserve">classes at α = 0.05 [98–100]. Each class was then called not measured, no support,</w:t>
      </w:r>
      <w:r>
        <w:t xml:space="preserve"> </w:t>
      </w:r>
      <w:r>
        <w:t xml:space="preserve">supports or contradicts. A missing interaction was never a contradiction; a contradiction needed incompatible</w:t>
      </w:r>
      <w:r>
        <w:t xml:space="preserve"> </w:t>
      </w:r>
      <w:r>
        <w:t xml:space="preserve">localisation from at least 2 high-reliability sources. Each module family had a pre-specified</w:t>
      </w:r>
      <w:r>
        <w:t xml:space="preserve"> </w:t>
      </w:r>
      <w:r>
        <w:t xml:space="preserve">diagnostic class. The false-support rate is the fraction of matched and decoy predictions that met the Tier-A support</w:t>
      </w:r>
      <w:r>
        <w:t xml:space="preserve"> </w:t>
      </w:r>
      <w:r>
        <w:t xml:space="preserve">condition.</w:t>
      </w:r>
    </w:p>
    <w:bookmarkEnd w:id="45"/>
    <w:bookmarkStart w:id="46" w:name="prioritisation"/>
    <w:p>
      <w:pPr>
        <w:pStyle w:val="Heading2"/>
      </w:pPr>
      <w:r>
        <w:t xml:space="preserve">Prioritisation</w:t>
      </w:r>
    </w:p>
    <w:p>
      <w:pPr>
        <w:pStyle w:val="FirstParagraph"/>
      </w:pPr>
      <w:r>
        <w:t xml:space="preserve">Tier A required that the gene be assessable and expressed, have p_cal ≥ 0.5 within support, no</w:t>
      </w:r>
      <w:r>
        <w:t xml:space="preserve"> </w:t>
      </w:r>
      <w:r>
        <w:t xml:space="preserve">artefact exclusion, diagnostic-class support when that class was measured, and no contradiction. Tier B relaxed the</w:t>
      </w:r>
      <w:r>
        <w:t xml:space="preserve"> </w:t>
      </w:r>
      <w:r>
        <w:t xml:space="preserve">p_cal threshold to 0.3 and/or dropped the diagnostic-support requirement. The top 40</w:t>
      </w:r>
      <w:r>
        <w:t xml:space="preserve"> </w:t>
      </w:r>
      <w:r>
        <w:t xml:space="preserve">was filled from Tier A, then Tier B, then by p_cal; mitochondrial calls were capped at 6</w:t>
      </w:r>
      <w:r>
        <w:t xml:space="preserve"> </w:t>
      </w:r>
      <w:r>
        <w:t xml:space="preserve">of the top 20 and 3 reports, because mitochondrial signal dominates</w:t>
      </w:r>
      <w:r>
        <w:t xml:space="preserve"> </w:t>
      </w:r>
      <w:r>
        <w:t xml:space="preserve">DepMap [51]. Thresholds were never relaxed. Because no gene reached Tier A or B, the primary top 40 was the 40</w:t>
      </w:r>
      <w:r>
        <w:t xml:space="preserve"> </w:t>
      </w:r>
      <w:r>
        <w:t xml:space="preserve">highest p_cal values among expressed, assessable, in-support genes after built-in exclusions and contradictions.</w:t>
      </w:r>
    </w:p>
    <w:bookmarkEnd w:id="46"/>
    <w:bookmarkStart w:id="47" w:name="X8b21cbdcd987682ab0c33c68990d56302561c63"/>
    <w:p>
      <w:pPr>
        <w:pStyle w:val="Heading2"/>
      </w:pPr>
      <w:r>
        <w:t xml:space="preserve">Literature validation and blinded judging</w:t>
      </w:r>
    </w:p>
    <w:p>
      <w:pPr>
        <w:pStyle w:val="FirstParagraph"/>
      </w:pPr>
      <w:r>
        <w:rPr>
          <w:bCs/>
          <w:b/>
        </w:rPr>
        <w:t xml:space="preserve">Recall probe.</w:t>
      </w:r>
      <w:r>
        <w:t xml:space="preserve"> </w:t>
      </w:r>
      <w:r>
        <w:t xml:space="preserve">Before any agent saw network output for these genes, a language model without tools stated what it</w:t>
      </w:r>
      <w:r>
        <w:t xml:space="preserve"> </w:t>
      </w:r>
      <w:r>
        <w:t xml:space="preserve">knew of each top-40, S20 and extra30 gene and of the 50 random U genes, from the symbol and aliases alone, and whether it</w:t>
      </w:r>
      <w:r>
        <w:t xml:space="preserve"> </w:t>
      </w:r>
      <w:r>
        <w:t xml:space="preserve">recognised the gene.</w:t>
      </w:r>
    </w:p>
    <w:p>
      <w:pPr>
        <w:pStyle w:val="BodyText"/>
      </w:pPr>
      <w:r>
        <w:rPr>
          <w:bCs/>
          <w:b/>
        </w:rPr>
        <w:t xml:space="preserve">Blind literature screen.</w:t>
      </w:r>
      <w:r>
        <w:t xml:space="preserve"> </w:t>
      </w:r>
      <w:r>
        <w:t xml:space="preserve">A separate agent, L, with no access to predictions or co-essentiality output, searched</w:t>
      </w:r>
      <w:r>
        <w:t xml:space="preserve"> </w:t>
      </w:r>
      <w:r>
        <w:t xml:space="preserve">Europe PMC (including full text and preprints) and UniProt for each candidate and for the 10 hold-out validation genes,</w:t>
      </w:r>
      <w:r>
        <w:t xml:space="preserve"> </w:t>
      </w:r>
      <w:r>
        <w:t xml:space="preserve">using the symbol, previous symbols, aliases and accession. It recorded structured evidence items</w:t>
      </w:r>
      <w:r>
        <w:t xml:space="preserve"> </w:t>
      </w:r>
      <w:r>
        <w:t xml:space="preserve">(claim, source, verbatim span, PMID, evidence level, and whether the evidence was DepMap-derived) and assigned N1–N3.</w:t>
      </w:r>
    </w:p>
    <w:p>
      <w:pPr>
        <w:pStyle w:val="BodyText"/>
      </w:pPr>
      <w:r>
        <w:rPr>
          <w:bCs/>
          <w:b/>
        </w:rPr>
        <w:t xml:space="preserve">Statements and decoys.</w:t>
      </w:r>
      <w:r>
        <w:t xml:space="preserve"> </w:t>
      </w:r>
      <w:r>
        <w:t xml:space="preserve">Each prediction became a script-written statement containing the V2 term and the V1′ module</w:t>
      </w:r>
      <w:r>
        <w:t xml:space="preserve"> </w:t>
      </w:r>
      <w:r>
        <w:t xml:space="preserve">label, with no partner names and no relationship type. Each real statement was shown with 3</w:t>
      </w:r>
      <w:r>
        <w:t xml:space="preserve"> </w:t>
      </w:r>
      <w:r>
        <w:t xml:space="preserve">decoys, which were other U genes’ top terms matched on module family and term size, with member Jaccard &lt; 0.1, in random slot order (scripts/51_judge_packets.py). Gene names, previous symbols, aliases and</w:t>
      </w:r>
      <w:r>
        <w:t xml:space="preserve"> </w:t>
      </w:r>
      <w:r>
        <w:t xml:space="preserve">protein names were redacted from L’s evidence, and a leak check searched every packet for gene and partner names.</w:t>
      </w:r>
    </w:p>
    <w:p>
      <w:pPr>
        <w:pStyle w:val="BodyText"/>
      </w:pPr>
      <w:r>
        <w:rPr>
          <w:bCs/>
          <w:b/>
        </w:rPr>
        <w:t xml:space="preserve">Judging.</w:t>
      </w:r>
      <w:r>
        <w:t xml:space="preserve"> </w:t>
      </w:r>
      <w:r>
        <w:t xml:space="preserve">Two independent judges read the packets and scored each statement +1 (directly supported), 0 (not</w:t>
      </w:r>
      <w:r>
        <w:t xml:space="preserve"> </w:t>
      </w:r>
      <w:r>
        <w:t xml:space="preserve">addressed) or −1 (contradicted), using only the evidence provided; DepMap-derived support counted</w:t>
      </w:r>
      <w:r>
        <w:t xml:space="preserve"> </w:t>
      </w:r>
      <w:r>
        <w:t xml:space="preserve">as 0. The packet instruction credited a match to</w:t>
      </w:r>
      <w:r>
        <w:t xml:space="preserve"> </w:t>
      </w:r>
      <w:r>
        <w:t xml:space="preserve">“</w:t>
      </w:r>
      <w:r>
        <w:t xml:space="preserve">the stated process or module, or a</w:t>
      </w:r>
      <w:r>
        <w:t xml:space="preserve"> </w:t>
      </w:r>
      <w:r>
        <w:t xml:space="preserve">closely equivalent one</w:t>
      </w:r>
      <w:r>
        <w:t xml:space="preserve">”</w:t>
      </w:r>
      <w:r>
        <w:t xml:space="preserve">, for real and decoy statements alike; this</w:t>
      </w:r>
      <w:r>
        <w:t xml:space="preserve"> </w:t>
      </w:r>
      <w:r>
        <w:t xml:space="preserve">operationalisation of DESIGN §6.4 was logged in DEVIATIONS.md only after review, and a term-only re-reading of the</w:t>
      </w:r>
      <w:r>
        <w:t xml:space="preserve"> </w:t>
      </w:r>
      <w:r>
        <w:t xml:space="preserve">judges’ justifications is reported beside the primary result (not re-judged blind). Agreement was reported as Cohen’s κ</w:t>
      </w:r>
      <w:r>
        <w:t xml:space="preserve"> </w:t>
      </w:r>
      <w:r>
        <w:t xml:space="preserve">[101], and a third judge adjudicated disagreements. Judges were first validated on 10 H genes</w:t>
      </w:r>
      <w:r>
        <w:t xml:space="preserve"> </w:t>
      </w:r>
      <w:r>
        <w:t xml:space="preserve">with known true terms; validation required at least 7 of 10 real statements supported and at most 3</w:t>
      </w:r>
      <w:r>
        <w:t xml:space="preserve"> </w:t>
      </w:r>
      <w:r>
        <w:t xml:space="preserve">of 30 decoys. The primary test was an exact one-sided sign-flip test of real minus mean decoy</w:t>
      </w:r>
      <w:r>
        <w:t xml:space="preserve"> </w:t>
      </w:r>
      <w:r>
        <w:t xml:space="preserve">score over the top 40 (α = 0.05); S20 and extra30 were tested separately. Judges J1 and J2 were two instances of Claude Sonnet 5.5 and the</w:t>
      </w:r>
      <w:r>
        <w:t xml:space="preserve"> </w:t>
      </w:r>
      <w:r>
        <w:t xml:space="preserve">adjudicator was Claude Opus 5.5; the recall probe also ran on Claude Opus 5.5 (docs/AGENT_PROMPTS.md, which gives every</w:t>
      </w:r>
      <w:r>
        <w:t xml:space="preserve"> </w:t>
      </w:r>
      <w:r>
        <w:t xml:space="preserve">blinded-role prompt verbatim). Temperatures and seeds of model calls were not recorded.</w:t>
      </w:r>
    </w:p>
    <w:bookmarkEnd w:id="47"/>
    <w:bookmarkStart w:id="48" w:name="candidate-reports-and-red-team-review"/>
    <w:p>
      <w:pPr>
        <w:pStyle w:val="Heading2"/>
      </w:pPr>
      <w:r>
        <w:t xml:space="preserve">Candidate reports and red-team review</w:t>
      </w:r>
    </w:p>
    <w:p>
      <w:pPr>
        <w:pStyle w:val="FirstParagraph"/>
      </w:pPr>
      <w:r>
        <w:t xml:space="preserve">Eight to ten genes received reports: the highest-ranked N2/N3 top-40 genes plus up to 2</w:t>
      </w:r>
      <w:r>
        <w:t xml:space="preserve"> </w:t>
      </w:r>
      <w:r>
        <w:t xml:space="preserve">N1 rediscovery exemplars, fixed before judging results existed (results/m7/report_selection.md).</w:t>
      </w:r>
      <w:r>
        <w:t xml:space="preserve"> </w:t>
      </w:r>
      <w:r>
        <w:t xml:space="preserve">For each, a script (scripts/70_report_bundles.py) wrote a machine-generated evidence bundle: identifiers and knownness</w:t>
      </w:r>
      <w:r>
        <w:t xml:space="preserve"> </w:t>
      </w:r>
      <w:r>
        <w:t xml:space="preserve">criteria, strata, p_cal with its bootstrap interval, the top-10 partners with view-level scores, robustness checks, the</w:t>
      </w:r>
      <w:r>
        <w:t xml:space="preserve"> </w:t>
      </w:r>
      <w:r>
        <w:t xml:space="preserve">orthogonal evidence matrix with pair-level detail, protein features, the recall-probe answer and a rule-based selection</w:t>
      </w:r>
      <w:r>
        <w:t xml:space="preserve"> </w:t>
      </w:r>
      <w:r>
        <w:t xml:space="preserve">of dependent and control cell lines. A writer agent then completed a fixed template (reports/TEMPLATE_candidate.md and</w:t>
      </w:r>
      <w:r>
        <w:t xml:space="preserve"> </w:t>
      </w:r>
      <w:r>
        <w:t xml:space="preserve">TEMPLATE_experiments.md). The template required a plain-language bench summary; a relationship type; falsifying</w:t>
      </w:r>
      <w:r>
        <w:t xml:space="preserve"> </w:t>
      </w:r>
      <w:r>
        <w:t xml:space="preserve">observations written before the literature and orthogonal sections were read; an unblinded literature search; the</w:t>
      </w:r>
      <w:r>
        <w:t xml:space="preserve"> </w:t>
      </w:r>
      <w:r>
        <w:t xml:space="preserve">strongest alternative explanation; and a tiered experimental plan with a matched-essentiality control gene and a decision</w:t>
      </w:r>
      <w:r>
        <w:t xml:space="preserve"> </w:t>
      </w:r>
      <w:r>
        <w:t xml:space="preserve">rule fixed in advance. Every gene-function sentence had to cite an evidence-ledger row with a verbatim span; numbers were</w:t>
      </w:r>
      <w:r>
        <w:t xml:space="preserve"> </w:t>
      </w:r>
      <w:r>
        <w:t xml:space="preserve">copied from the ledger, not retyped, and the report says</w:t>
      </w:r>
      <w:r>
        <w:t xml:space="preserve"> </w:t>
      </w:r>
      <w:r>
        <w:t xml:space="preserve">“</w:t>
      </w:r>
      <w:r>
        <w:t xml:space="preserve">not found in the literature as of</w:t>
      </w:r>
      <w:r>
        <w:t xml:space="preserve">”</w:t>
      </w:r>
      <w:r>
        <w:t xml:space="preserve"> </w:t>
      </w:r>
      <w:r>
        <w:t xml:space="preserve">a date rather than</w:t>
      </w:r>
      <w:r>
        <w:t xml:space="preserve"> </w:t>
      </w:r>
      <w:r>
        <w:t xml:space="preserve">“</w:t>
      </w:r>
      <w:r>
        <w:t xml:space="preserve">novel</w:t>
      </w:r>
      <w:r>
        <w:t xml:space="preserve">”</w:t>
      </w:r>
      <w:r>
        <w:t xml:space="preserve">. Overlap with published catalogues [23,39,40] was at first reported as agreement only;</w:t>
      </w:r>
      <w:r>
        <w:t xml:space="preserve"> </w:t>
      </w:r>
      <w:r>
        <w:t xml:space="preserve">after review it was quantified systematically (below) and each report gained a</w:t>
      </w:r>
      <w:r>
        <w:t xml:space="preserve"> </w:t>
      </w:r>
      <w:r>
        <w:t xml:space="preserve">“</w:t>
      </w:r>
      <w:r>
        <w:t xml:space="preserve">prior prediction</w:t>
      </w:r>
      <w:r>
        <w:t xml:space="preserve">”</w:t>
      </w:r>
      <w:r>
        <w:t xml:space="preserve"> </w:t>
      </w:r>
      <w:r>
        <w:t xml:space="preserve">statement.</w:t>
      </w:r>
    </w:p>
    <w:p>
      <w:pPr>
        <w:pStyle w:val="BodyText"/>
      </w:pPr>
      <w:r>
        <w:t xml:space="preserve">Each report was then reviewed by an independent red-team agent (Claude Opus 5.5) that had not written it. The reviewer</w:t>
      </w:r>
      <w:r>
        <w:t xml:space="preserve"> </w:t>
      </w:r>
      <w:r>
        <w:t xml:space="preserve">re-resolved every cited PMID through the Europe PMC API, matched each quoted span against abstract or full text,</w:t>
      </w:r>
      <w:r>
        <w:t xml:space="preserve"> </w:t>
      </w:r>
      <w:r>
        <w:t xml:space="preserve">recomputed reported numbers from the project files, attacked the hypothesis and the experimental plan, and returned a</w:t>
      </w:r>
      <w:r>
        <w:t xml:space="preserve"> </w:t>
      </w:r>
      <w:r>
        <w:t xml:space="preserve">verdict with required fixes (reports/redteam/). The writer answered each fix point by point in the report’s appendix.</w:t>
      </w:r>
    </w:p>
    <w:bookmarkEnd w:id="48"/>
    <w:bookmarkStart w:id="49" w:name="post-review-exploratory-analyses"/>
    <w:p>
      <w:pPr>
        <w:pStyle w:val="Heading2"/>
      </w:pPr>
      <w:r>
        <w:t xml:space="preserve">Post-review exploratory analyses</w:t>
      </w:r>
    </w:p>
    <w:p>
      <w:pPr>
        <w:pStyle w:val="FirstParagraph"/>
      </w:pPr>
      <w:r>
        <w:t xml:space="preserve">After the first round of peer review, the referees’ requests were run by</w:t>
      </w:r>
      <w:r>
        <w:t xml:space="preserve"> </w:t>
      </w:r>
      <w:r>
        <w:rPr>
          <w:rStyle w:val="VerbatimChar"/>
        </w:rPr>
        <w:t xml:space="preserve">scripts/90_revision_analyses.py</w:t>
      </w:r>
      <w:r>
        <w:t xml:space="preserve"> </w:t>
      </w:r>
      <w:r>
        <w:t xml:space="preserve">(helpers in</w:t>
      </w:r>
      <w:r>
        <w:t xml:space="preserve"> </w:t>
      </w:r>
      <w:r>
        <w:rPr>
          <w:rStyle w:val="VerbatimChar"/>
        </w:rPr>
        <w:t xml:space="preserve">scripts/revision_common.py</w:t>
      </w:r>
      <w:r>
        <w:t xml:space="preserve">) into</w:t>
      </w:r>
      <w:r>
        <w:t xml:space="preserve"> </w:t>
      </w:r>
      <w:r>
        <w:rPr>
          <w:rStyle w:val="VerbatimChar"/>
        </w:rPr>
        <w:t xml:space="preserve">results/revision/</w:t>
      </w:r>
      <w:r>
        <w:t xml:space="preserve"> </w:t>
      </w:r>
      <w:r>
        <w:t xml:space="preserve">(summary in</w:t>
      </w:r>
      <w:r>
        <w:t xml:space="preserve"> </w:t>
      </w:r>
      <w:r>
        <w:rPr>
          <w:rStyle w:val="VerbatimChar"/>
        </w:rPr>
        <w:t xml:space="preserve">results/revision/SUMMARY.md</w:t>
      </w:r>
      <w:r>
        <w:t xml:space="preserve">; figure S4 by</w:t>
      </w:r>
      <w:r>
        <w:t xml:space="preserve"> </w:t>
      </w:r>
      <w:r>
        <w:rPr>
          <w:rStyle w:val="VerbatimChar"/>
        </w:rPr>
        <w:t xml:space="preserve">scripts/62_figS4.py</w:t>
      </w:r>
      <w:r>
        <w:t xml:space="preserve">). After the second round,</w:t>
      </w:r>
      <w:r>
        <w:t xml:space="preserve"> </w:t>
      </w:r>
      <w:r>
        <w:rPr>
          <w:rStyle w:val="VerbatimChar"/>
        </w:rPr>
        <w:t xml:space="preserve">scripts/92_round2_numbers.py</w:t>
      </w:r>
      <w:r>
        <w:t xml:space="preserve"> </w:t>
      </w:r>
      <w:r>
        <w:t xml:space="preserve">derived a few further quantities from</w:t>
      </w:r>
      <w:r>
        <w:t xml:space="preserve"> </w:t>
      </w:r>
      <w:r>
        <w:t xml:space="preserve">U-side and judging files only (A10 below; no H outcome was read). None changes a frozen rule or a pre-specified result.</w:t>
      </w:r>
      <w:r>
        <w:t xml:space="preserve"> </w:t>
      </w:r>
      <w:r>
        <w:t xml:space="preserve">The analyses that read H outcomes (A3, A4, A7, A8 below) were logged in LOOKS.md; the row was committed together with</w:t>
      </w:r>
      <w:r>
        <w:t xml:space="preserve"> </w:t>
      </w:r>
      <w:r>
        <w:t xml:space="preserve">the results (b39691d), so the order rests on the agents’ record, as for the primary look. All are labelled</w:t>
      </w:r>
      <w:r>
        <w:t xml:space="preserve"> </w:t>
      </w:r>
      <w:r>
        <w:t xml:space="preserve">[post-review exploratory] in Results.</w:t>
      </w:r>
    </w:p>
    <w:p>
      <w:pPr>
        <w:pStyle w:val="BodyText"/>
      </w:pPr>
      <w:r>
        <w:rPr>
          <w:bCs/>
          <w:b/>
        </w:rPr>
        <w:t xml:space="preserve">Revision history.</w:t>
      </w:r>
      <w:r>
        <w:t xml:space="preserve"> </w:t>
      </w:r>
      <w:r>
        <w:t xml:space="preserve">The first submitted version read p_cal unconditionally, attributed most of the published-but-uncurated</w:t>
      </w:r>
      <w:r>
        <w:t xml:space="preserve"> </w:t>
      </w:r>
      <w:r>
        <w:t xml:space="preserve">functions to slow curation, reported the candidate reports’ overlap with published catalogues only as agreement, and</w:t>
      </w:r>
      <w:r>
        <w:t xml:space="preserve"> </w:t>
      </w:r>
      <w:r>
        <w:t xml:space="preserve">carried the full sensitivity analyses and the rediscovery table in the main Results. Round 1 introduced the conditional</w:t>
      </w:r>
      <w:r>
        <w:t xml:space="preserve"> </w:t>
      </w:r>
      <w:r>
        <w:t xml:space="preserve">reading of p_cal, the definition-artefact analysis (A1) and the catalogue check (A2). Round 2 corrected the</w:t>
      </w:r>
      <w:r>
        <w:t xml:space="preserve"> </w:t>
      </w:r>
      <w:r>
        <w:t xml:space="preserve">null-adjusted assessability to an excess over the null (A6, A10), restricted the attribution to complex membership to</w:t>
      </w:r>
      <w:r>
        <w:t xml:space="preserve"> </w:t>
      </w:r>
      <w:r>
        <w:t xml:space="preserve">the selected candidates, added the assumption behind every unconditional figure, and moved the detailed analyses to S1</w:t>
      </w:r>
      <w:r>
        <w:t xml:space="preserve"> </w:t>
      </w:r>
      <w:r>
        <w:t xml:space="preserve">Text without changing their numbers.</w:t>
      </w:r>
    </w:p>
    <w:p>
      <w:pPr>
        <w:numPr>
          <w:ilvl w:val="0"/>
          <w:numId w:val="1004"/>
        </w:numPr>
        <w:pStyle w:val="Compact"/>
      </w:pPr>
      <w:r>
        <w:rPr>
          <w:bCs/>
          <w:b/>
        </w:rPr>
        <w:t xml:space="preserve">A1, entry routes and definition-artefact flags.</w:t>
      </w:r>
      <w:r>
        <w:t xml:space="preserve"> </w:t>
      </w:r>
      <w:r>
        <w:t xml:space="preserve">Each U gene was classed by entry route (D1 and D2, with or without</w:t>
      </w:r>
      <w:r>
        <w:t xml:space="preserve"> </w:t>
      </w:r>
      <w:r>
        <w:t xml:space="preserve">D3; or D3 without D2) and flagged if it had UniProt annotation score 5, was a Complex Portal subunit [82] or had</w:t>
      </w:r>
      <w:r>
        <w:t xml:space="preserve"> </w:t>
      </w:r>
      <w:r>
        <w:t xml:space="preserve">at least one experimental GO cellular-component annotation (D1 evidence codes, current GAF). CORUM was not available.</w:t>
      </w:r>
      <w:r>
        <w:t xml:space="preserve"> </w:t>
      </w:r>
      <w:r>
        <w:t xml:space="preserve">N1 rates were tabulated by route and flag for the random-50 audit and for the candidate sets, with Wilson intervals.</w:t>
      </w:r>
    </w:p>
    <w:p>
      <w:pPr>
        <w:numPr>
          <w:ilvl w:val="0"/>
          <w:numId w:val="1004"/>
        </w:numPr>
        <w:pStyle w:val="Compact"/>
      </w:pPr>
      <w:r>
        <w:rPr>
          <w:bCs/>
          <w:b/>
        </w:rPr>
        <w:t xml:space="preserve">A2, novelty overlap.</w:t>
      </w:r>
      <w:r>
        <w:t xml:space="preserve"> </w:t>
      </w:r>
      <w:r>
        <w:t xml:space="preserve">For each top-40, S20 and report gene, we recorded whether at least one of its ten strongest</w:t>
      </w:r>
      <w:r>
        <w:t xml:space="preserve"> </w:t>
      </w:r>
      <w:r>
        <w:t xml:space="preserve">zavg_BEF partners was a hu.MAP 3.0 co-complex member [40], a Predictomes pair with SPOC ≥ 0.5 [43], a</w:t>
      </w:r>
      <w:r>
        <w:t xml:space="preserve"> </w:t>
      </w:r>
      <w:r>
        <w:t xml:space="preserve">significant GLS pair, a co-member of a Wainberg et al. module (any density, and density ≥ 0.5) or listed with an explicit</w:t>
      </w:r>
      <w:r>
        <w:t xml:space="preserve"> </w:t>
      </w:r>
      <w:r>
        <w:t xml:space="preserve">function prediction in their Supplementary Data 3 [23], or a Kim et al. network edge or MCL cluster</w:t>
      </w:r>
      <w:r>
        <w:t xml:space="preserve"> </w:t>
      </w:r>
      <w:r>
        <w:t xml:space="preserve">co-member [22]. Symbols of older catalogues were mapped through HGNC previous symbols and aliases. Pan et al.</w:t>
      </w:r>
      <w:r>
        <w:t xml:space="preserve"> </w:t>
      </w:r>
      <w:r>
        <w:t xml:space="preserve">[20], FIREWORKS [60] and Perturb-seq cluster assignments [39] were not obtainable in</w:t>
      </w:r>
      <w:r>
        <w:t xml:space="preserve"> </w:t>
      </w:r>
      <w:r>
        <w:t xml:space="preserve">machine-readable form. Downloads and checksums are in</w:t>
      </w:r>
      <w:r>
        <w:t xml:space="preserve"> </w:t>
      </w:r>
      <w:r>
        <w:rPr>
          <w:rStyle w:val="VerbatimChar"/>
        </w:rPr>
        <w:t xml:space="preserve">results/revision/external_manifest.tsv</w:t>
      </w:r>
      <w:r>
        <w:t xml:space="preserve">.</w:t>
      </w:r>
    </w:p>
    <w:p>
      <w:pPr>
        <w:numPr>
          <w:ilvl w:val="0"/>
          <w:numId w:val="1004"/>
        </w:numPr>
        <w:pStyle w:val="Compact"/>
      </w:pPr>
      <w:r>
        <w:rPr>
          <w:bCs/>
          <w:b/>
        </w:rPr>
        <w:t xml:space="preserve">A3, unconditional reading of p_cal.</w:t>
      </w:r>
      <w:r>
        <w:t xml:space="preserve"> </w:t>
      </w:r>
      <w:r>
        <w:t xml:space="preserve">Because a top term can be confirmed only if the gene gains annotation, the</w:t>
      </w:r>
      <w:r>
        <w:t xml:space="preserve"> </w:t>
      </w:r>
      <w:r>
        <w:t xml:space="preserve">expected number of unconditional confirmations is exactly Σ p_i r_i, where r_i is gene i’s probability of gaining new</w:t>
      </w:r>
      <w:r>
        <w:t xml:space="preserve"> </w:t>
      </w:r>
      <w:r>
        <w:t xml:space="preserve">experimental BP/MF annotation over the horizon. Using one rate r assumes that (i) the gain rate does not vary with</w:t>
      </w:r>
      <w:r>
        <w:t xml:space="preserve"> </w:t>
      </w:r>
      <w:r>
        <w:t xml:space="preserve">p_cal (shown false for signal: the highest quintile gains annotation about twice as often), (ii) the 2018 cohort’s</w:t>
      </w:r>
      <w:r>
        <w:t xml:space="preserve"> </w:t>
      </w:r>
      <w:r>
        <w:t xml:space="preserve">rate transfers to genes still uncharacterised in 2026 and (iii) p_cal itself transfers to U. The rate at which</w:t>
      </w:r>
      <w:r>
        <w:t xml:space="preserve"> </w:t>
      </w:r>
      <w:r>
        <w:t xml:space="preserve">t0-eligible genes gained any target in the 5–200 window (overall, among genes with a reportable top term, and by</w:t>
      </w:r>
      <w:r>
        <w:t xml:space="preserve"> </w:t>
      </w:r>
      <w:r>
        <w:t xml:space="preserve">quintile of top-K mean zavg_BEF) was multiplied into the saved bootstrap Σp_cal; intervals combine bootstrap draws</w:t>
      </w:r>
      <w:r>
        <w:t xml:space="preserve"> </w:t>
      </w:r>
      <w:r>
        <w:t xml:space="preserve">with Jeffreys-Beta draws of the rate, assuming independence. The survivor-hazard version uses the hazard of 2018</w:t>
      </w:r>
      <w:r>
        <w:t xml:space="preserve"> </w:t>
      </w:r>
      <w:r>
        <w:t xml:space="preserve">genes still uncharacterised in 2022 (0.145 over the horizon): 30.5 × 0.145 ≈ 4.4, beside 4.9 with the 2018-cohort rate; the unconditional</w:t>
      </w:r>
      <w:r>
        <w:t xml:space="preserve"> </w:t>
      </w:r>
      <w:r>
        <w:t xml:space="preserve">Poisson-binomial SD is about 2.2. Annual hazards for a 2022 cohort and</w:t>
      </w:r>
      <w:r>
        <w:t xml:space="preserve"> </w:t>
      </w:r>
      <w:r>
        <w:t xml:space="preserve">for the 2018 survivors check stationarity. Assumption (2) as worded in</w:t>
      </w:r>
      <w:r>
        <w:t xml:space="preserve"> </w:t>
      </w:r>
      <w:r>
        <w:rPr>
          <w:rStyle w:val="VerbatimChar"/>
        </w:rPr>
        <w:t xml:space="preserve">results/revision/a3_pcal_conditional.md</w:t>
      </w:r>
      <w:r>
        <w:t xml:space="preserve"> </w:t>
      </w:r>
      <w:r>
        <w:t xml:space="preserve">(</w:t>
      </w:r>
      <w:r>
        <w:t xml:space="preserve">“</w:t>
      </w:r>
      <w:r>
        <w:t xml:space="preserve">independent of whether the top term is right</w:t>
      </w:r>
      <w:r>
        <w:t xml:space="preserve">”</w:t>
      </w:r>
      <w:r>
        <w:t xml:space="preserve">) is superseded by (i)–(iii) here.</w:t>
      </w:r>
    </w:p>
    <w:p>
      <w:pPr>
        <w:numPr>
          <w:ilvl w:val="0"/>
          <w:numId w:val="1004"/>
        </w:numPr>
        <w:pStyle w:val="Compact"/>
      </w:pPr>
      <w:r>
        <w:rPr>
          <w:bCs/>
          <w:b/>
        </w:rPr>
        <w:t xml:space="preserve">A4, calibration sensitivity.</w:t>
      </w:r>
      <w:r>
        <w:t xml:space="preserve"> </w:t>
      </w:r>
      <w:r>
        <w:t xml:space="preserve">Calibration-in-the-large, Brier skill and cluster-bootstrap intervals for the frozen</w:t>
      </w:r>
      <w:r>
        <w:t xml:space="preserve"> </w:t>
      </w:r>
      <w:r>
        <w:t xml:space="preserve">model; the frozen model without signalling genes; and sign-constrained one- and two-covariate models (top-K mean</w:t>
      </w:r>
      <w:r>
        <w:t xml:space="preserve"> </w:t>
      </w:r>
      <w:r>
        <w:t xml:space="preserve">zavg_BEF alone, plus coverage, plus term size) cross-fitted exactly as in §3.7 and applied to U with covariate support</w:t>
      </w:r>
      <w:r>
        <w:t xml:space="preserve"> </w:t>
      </w:r>
      <w:r>
        <w:t xml:space="preserve">only.</w:t>
      </w:r>
    </w:p>
    <w:p>
      <w:pPr>
        <w:numPr>
          <w:ilvl w:val="0"/>
          <w:numId w:val="1004"/>
        </w:numPr>
        <w:pStyle w:val="Compact"/>
      </w:pPr>
      <w:r>
        <w:rPr>
          <w:bCs/>
          <w:b/>
        </w:rPr>
        <w:t xml:space="preserve">A5, judging sensitivities.</w:t>
      </w:r>
      <w:r>
        <w:t xml:space="preserve"> </w:t>
      </w:r>
      <w:r>
        <w:t xml:space="preserve">Term-only scores (the three real statements supported on the module label alone set to</w:t>
      </w:r>
      <w:r>
        <w:t xml:space="preserve"> </w:t>
      </w:r>
      <w:r>
        <w:t xml:space="preserve">0; no decoy was affected), an exact slot-permutation test, and a sign-flip test over clusters of genes sharing the real</w:t>
      </w:r>
      <w:r>
        <w:t xml:space="preserve"> </w:t>
      </w:r>
      <w:r>
        <w:t xml:space="preserve">statement’s V1′ label.</w:t>
      </w:r>
    </w:p>
    <w:p>
      <w:pPr>
        <w:numPr>
          <w:ilvl w:val="0"/>
          <w:numId w:val="1004"/>
        </w:numPr>
        <w:pStyle w:val="Compact"/>
      </w:pPr>
      <w:r>
        <w:rPr>
          <w:bCs/>
          <w:b/>
        </w:rPr>
        <w:t xml:space="preserve">A6, null-adjusted assessability.</w:t>
      </w:r>
      <w:r>
        <w:t xml:space="preserve"> </w:t>
      </w:r>
      <w:r>
        <w:t xml:space="preserve">The clean-negative split-half false-call rate α in each stratum (any</w:t>
      </w:r>
      <w:r>
        <w:t xml:space="preserve"> </w:t>
      </w:r>
      <w:r>
        <w:t xml:space="preserve">dependency, or profile-SD tertile) was applied to the N expressed scorable genes of that stratum and the expected</w:t>
      </w:r>
      <w:r>
        <w:t xml:space="preserve"> </w:t>
      </w:r>
      <w:r>
        <w:t xml:space="preserve">false calls Nα subtracted from the observed assessable count (Jeffreys-Beta and binomial draws, 100,000, seed 0). If T</w:t>
      </w:r>
      <w:r>
        <w:t xml:space="preserve"> </w:t>
      </w:r>
      <w:r>
        <w:t xml:space="preserve">genes carry real signal and are detected with power π, observed = Tπ + (N − T)α, so the difference is T(π − α): the</w:t>
      </w:r>
      <w:r>
        <w:t xml:space="preserve"> </w:t>
      </w:r>
      <w:r>
        <w:t xml:space="preserve">excess of calls over the null expectation (named</w:t>
      </w:r>
      <w:r>
        <w:t xml:space="preserve"> </w:t>
      </w:r>
      <w:r>
        <w:rPr>
          <w:rStyle w:val="VerbatimChar"/>
        </w:rPr>
        <w:t xml:space="preserve">implied_true</w:t>
      </w:r>
      <w:r>
        <w:t xml:space="preserve"> </w:t>
      </w:r>
      <w:r>
        <w:t xml:space="preserve">in</w:t>
      </w:r>
      <w:r>
        <w:t xml:space="preserve"> </w:t>
      </w:r>
      <w:r>
        <w:rPr>
          <w:rStyle w:val="VerbatimChar"/>
        </w:rPr>
        <w:t xml:space="preserve">a6_assessability_null_adjusted.tsv</w:t>
      </w:r>
      <w:r>
        <w:t xml:space="preserve">), not T. At</w:t>
      </w:r>
      <w:r>
        <w:t xml:space="preserve"> </w:t>
      </w:r>
      <w:r>
        <w:t xml:space="preserve">full power T = (observed − Nα)/(1 − α) per stratum, a lower bound on T computed in A10. Both rest on the untested</w:t>
      </w:r>
      <w:r>
        <w:t xml:space="preserve"> </w:t>
      </w:r>
      <w:r>
        <w:t xml:space="preserve">assumption that the rates transfer to expressed genes.</w:t>
      </w:r>
    </w:p>
    <w:p>
      <w:pPr>
        <w:numPr>
          <w:ilvl w:val="0"/>
          <w:numId w:val="1004"/>
        </w:numPr>
        <w:pStyle w:val="Compact"/>
      </w:pPr>
      <w:r>
        <w:rPr>
          <w:bCs/>
          <w:b/>
        </w:rPr>
        <w:t xml:space="preserve">A7, combination rules on H.</w:t>
      </w:r>
      <w:r>
        <w:t xml:space="preserve"> </w:t>
      </w:r>
      <w:r>
        <w:t xml:space="preserve">Precision@1 for</w:t>
      </w:r>
      <w:r>
        <w:t xml:space="preserve"> </w:t>
      </w:r>
      <w:r>
        <w:t xml:space="preserve">“</w:t>
      </w:r>
      <w:r>
        <w:t xml:space="preserve">homology if it predicts, else zavg_BEF</w:t>
      </w:r>
      <w:r>
        <w:t xml:space="preserve">”</w:t>
      </w:r>
      <w:r>
        <w:t xml:space="preserve">, the reverse, and the oracle</w:t>
      </w:r>
      <w:r>
        <w:t xml:space="preserve"> </w:t>
      </w:r>
      <w:r>
        <w:t xml:space="preserve">union, with paired cluster-bootstrap intervals and U-reweighting as in the secondary batch.</w:t>
      </w:r>
    </w:p>
    <w:p>
      <w:pPr>
        <w:numPr>
          <w:ilvl w:val="0"/>
          <w:numId w:val="1004"/>
        </w:numPr>
        <w:pStyle w:val="Compact"/>
      </w:pPr>
      <w:r>
        <w:rPr>
          <w:bCs/>
          <w:b/>
        </w:rPr>
        <w:t xml:space="preserve">A8, named-control misses.</w:t>
      </w:r>
      <w:r>
        <w:t xml:space="preserve"> </w:t>
      </w:r>
      <w:r>
        <w:t xml:space="preserve">For each control, each new term in the t0 vocabulary was classed as circularity-flagged,</w:t>
      </w:r>
      <w:r>
        <w:t xml:space="preserve"> </w:t>
      </w:r>
      <w:r>
        <w:t xml:space="preserve">outside the size window, not reportable (fewer than two supporting neighbours annotated at t0) or ranked.</w:t>
      </w:r>
    </w:p>
    <w:p>
      <w:pPr>
        <w:numPr>
          <w:ilvl w:val="0"/>
          <w:numId w:val="1004"/>
        </w:numPr>
        <w:pStyle w:val="Compact"/>
      </w:pPr>
      <w:r>
        <w:rPr>
          <w:bCs/>
          <w:b/>
        </w:rPr>
        <w:t xml:space="preserve">A10, round-2 quantities</w:t>
      </w:r>
      <w:r>
        <w:t xml:space="preserve"> </w:t>
      </w:r>
      <w:r>
        <w:t xml:space="preserve">(</w:t>
      </w:r>
      <w:r>
        <w:rPr>
          <w:rStyle w:val="VerbatimChar"/>
        </w:rPr>
        <w:t xml:space="preserve">scripts/92_round2_numbers.py</w:t>
      </w:r>
      <w:r>
        <w:t xml:space="preserve">;</w:t>
      </w:r>
      <w:r>
        <w:t xml:space="preserve"> </w:t>
      </w:r>
      <w:r>
        <w:rPr>
          <w:rStyle w:val="VerbatimChar"/>
        </w:rPr>
        <w:t xml:space="preserve">results/revision/a10_round2_numbers.tsv</w:t>
      </w:r>
      <w:r>
        <w:t xml:space="preserve"> </w:t>
      </w:r>
      <w:r>
        <w:t xml:space="preserve">and</w:t>
      </w:r>
      <w:r>
        <w:t xml:space="preserve"> </w:t>
      </w:r>
      <w:r>
        <w:rPr>
          <w:rStyle w:val="VerbatimChar"/>
        </w:rPr>
        <w:t xml:space="preserve">a10_assessability_excess_and_implied.tsv</w:t>
      </w:r>
      <w:r>
        <w:t xml:space="preserve">). The A6 excess and the full-power lower bound with intervals from the same</w:t>
      </w:r>
      <w:r>
        <w:t xml:space="preserve"> </w:t>
      </w:r>
      <w:r>
        <w:t xml:space="preserve">draw scheme; judged support among top-40 genes shared or not shared with the clean-first list; Wilson intervals for</w:t>
      </w:r>
      <w:r>
        <w:t xml:space="preserve"> </w:t>
      </w:r>
      <w:r>
        <w:t xml:space="preserve">the N1 accuracy estimate; and the survivor-hazard rescaling in A3. No H outcome was read.</w:t>
      </w:r>
    </w:p>
    <w:bookmarkEnd w:id="49"/>
    <w:bookmarkStart w:id="50" w:name="reproducibility-and-ai-agent-safeguards"/>
    <w:p>
      <w:pPr>
        <w:pStyle w:val="Heading2"/>
      </w:pPr>
      <w:r>
        <w:t xml:space="preserve">Reproducibility and AI-agent safeguards</w:t>
      </w:r>
    </w:p>
    <w:p>
      <w:pPr>
        <w:pStyle w:val="FirstParagraph"/>
      </w:pPr>
      <w:r>
        <w:t xml:space="preserve">AI agents (Claude Opus 5.5 and Sonnet 5.5) ran the study under a fixed, human-written goal</w:t>
      </w:r>
      <w:r>
        <w:t xml:space="preserve"> </w:t>
      </w:r>
      <w:r>
        <w:t xml:space="preserve">(PROMPT.md). Before the freeze, the design went through two review rounds by independent agent reviewers covering prior</w:t>
      </w:r>
      <w:r>
        <w:t xml:space="preserve"> </w:t>
      </w:r>
      <w:r>
        <w:t xml:space="preserve">work, statistics, data and algorithms, AI-agent failure modes and experimental biology (reviews/). The safeguards were</w:t>
      </w:r>
      <w:r>
        <w:t xml:space="preserve"> </w:t>
      </w:r>
      <w:r>
        <w:t xml:space="preserve">as follows; where the record is incomplete, we say so.</w:t>
      </w:r>
    </w:p>
    <w:p>
      <w:pPr>
        <w:numPr>
          <w:ilvl w:val="0"/>
          <w:numId w:val="1005"/>
        </w:numPr>
        <w:pStyle w:val="Compact"/>
      </w:pPr>
      <w:r>
        <w:rPr>
          <w:bCs/>
          <w:b/>
        </w:rPr>
        <w:t xml:space="preserve">Hash gate.</w:t>
      </w:r>
      <w:r>
        <w:t xml:space="preserve"> </w:t>
      </w:r>
      <w:r>
        <w:rPr>
          <w:rStyle w:val="VerbatimChar"/>
        </w:rPr>
        <w:t xml:space="preserve">gate.check()</w:t>
      </w:r>
      <w:r>
        <w:t xml:space="preserve"> </w:t>
      </w:r>
      <w:r>
        <w:t xml:space="preserve">verified the freeze file, which covers 10 files,</w:t>
      </w:r>
      <w:r>
        <w:t xml:space="preserve"> </w:t>
      </w:r>
      <w:r>
        <w:t xml:space="preserve">and the tag before any pairwise DepMap read. The freeze commit is afed1dd, and the SHA-256 of</w:t>
      </w:r>
      <w:r>
        <w:t xml:space="preserve"> </w:t>
      </w:r>
      <w:r>
        <w:rPr>
          <w:rStyle w:val="VerbatimChar"/>
        </w:rPr>
        <w:t xml:space="preserve">preregistration/FREEZE.sha256</w:t>
      </w:r>
      <w:r>
        <w:t xml:space="preserve"> </w:t>
      </w:r>
      <w:r>
        <w:t xml:space="preserve">is 687075e680b8a051e6482de5bb052c903afaf2942ae5a25a34cef79e5965da04. The repository has no remote, so git tags and commit times are self-reported until deposition.</w:t>
      </w:r>
    </w:p>
    <w:p>
      <w:pPr>
        <w:numPr>
          <w:ilvl w:val="0"/>
          <w:numId w:val="1005"/>
        </w:numPr>
        <w:pStyle w:val="Compact"/>
      </w:pPr>
      <w:r>
        <w:rPr>
          <w:bCs/>
          <w:b/>
        </w:rPr>
        <w:t xml:space="preserve">Chronology audit.</w:t>
      </w:r>
      <w:r>
        <w:t xml:space="preserve"> </w:t>
      </w:r>
      <w:r>
        <w:rPr>
          <w:rStyle w:val="VerbatimChar"/>
        </w:rPr>
        <w:t xml:space="preserve">scripts/audit_order.py</w:t>
      </w:r>
      <w:r>
        <w:t xml:space="preserve"> </w:t>
      </w:r>
      <w:r>
        <w:t xml:space="preserve">was run at milestones M4 and M6 by the milestone analyst agents</w:t>
      </w:r>
      <w:r>
        <w:t xml:space="preserve"> </w:t>
      </w:r>
      <w:r>
        <w:t xml:space="preserve">(reviews/audit_order_M4.md, reviews/audit_order_M6.md) and found no ordering violation. Its globs covered the</w:t>
      </w:r>
      <w:r>
        <w:t xml:space="preserve"> </w:t>
      </w:r>
      <w:r>
        <w:t xml:space="preserve">prediction ledger from the first commit (the M6 audit ran before the ledger existed), but not the hold-out evaluation,</w:t>
      </w:r>
      <w:r>
        <w:t xml:space="preserve"> </w:t>
      </w:r>
      <w:r>
        <w:t xml:space="preserve">the M7 judging or the post-review outputs. During revision the globs were extended to those three directories, and an</w:t>
      </w:r>
      <w:r>
        <w:t xml:space="preserve"> </w:t>
      </w:r>
      <w:r>
        <w:t xml:space="preserve">independent agent that produced no results ran the audit on all four (reviews/audit_order_M9.md): no ordering</w:t>
      </w:r>
      <w:r>
        <w:t xml:space="preserve"> </w:t>
      </w:r>
      <w:r>
        <w:t xml:space="preserve">violation, no pairwise output before the freeze tag, and the frozen files unchanged.</w:t>
      </w:r>
    </w:p>
    <w:p>
      <w:pPr>
        <w:numPr>
          <w:ilvl w:val="0"/>
          <w:numId w:val="1005"/>
        </w:numPr>
        <w:pStyle w:val="Compact"/>
      </w:pPr>
      <w:r>
        <w:rPr>
          <w:bCs/>
          <w:b/>
        </w:rPr>
        <w:t xml:space="preserve">Hidden tool predictions.</w:t>
      </w:r>
      <w:r>
        <w:t xml:space="preserve"> </w:t>
      </w:r>
      <w:r>
        <w:t xml:space="preserve">The tool’s genome-wide predictions were hidden by sparse checkout until the freeze.</w:t>
      </w:r>
    </w:p>
    <w:p>
      <w:pPr>
        <w:numPr>
          <w:ilvl w:val="0"/>
          <w:numId w:val="1005"/>
        </w:numPr>
        <w:pStyle w:val="Compact"/>
      </w:pPr>
      <w:r>
        <w:rPr>
          <w:bCs/>
          <w:b/>
        </w:rPr>
        <w:t xml:space="preserve">One-look rule.</w:t>
      </w:r>
      <w:r>
        <w:t xml:space="preserve"> </w:t>
      </w:r>
      <w:r>
        <w:t xml:space="preserve">LOOKS.md allowed one primary look at H, after the ranker and calibration specification were</w:t>
      </w:r>
      <w:r>
        <w:t xml:space="preserve"> </w:t>
      </w:r>
      <w:r>
        <w:t xml:space="preserve">committed. LOOKS.md also records an independent verification re-run of the primary analysis, one exploratory look</w:t>
      </w:r>
      <w:r>
        <w:t xml:space="preserve"> </w:t>
      </w:r>
      <w:r>
        <w:t xml:space="preserve">(complementarity) and the post-review exploratory analyses. Only the specification row (commit fa21808) demonstrably</w:t>
      </w:r>
      <w:r>
        <w:t xml:space="preserve"> </w:t>
      </w:r>
      <w:r>
        <w:t xml:space="preserve">preceded the primary look (aa381fc), by 31 minutes; the rows for the primary look, the verification re-run, the</w:t>
      </w:r>
      <w:r>
        <w:t xml:space="preserve"> </w:t>
      </w:r>
      <w:r>
        <w:t xml:space="preserve">exploratory look and the post-review analyses were each committed together with their results, so for those looks</w:t>
      </w:r>
      <w:r>
        <w:t xml:space="preserve"> </w:t>
      </w:r>
      <w:r>
        <w:t xml:space="preserve">“</w:t>
      </w:r>
      <w:r>
        <w:t xml:space="preserve">row before run</w:t>
      </w:r>
      <w:r>
        <w:t xml:space="preserve">”</w:t>
      </w:r>
      <w:r>
        <w:t xml:space="preserve"> </w:t>
      </w:r>
      <w:r>
        <w:t xml:space="preserve">rests on the agents’ record (reviews/audit_order_M9.md).</w:t>
      </w:r>
    </w:p>
    <w:p>
      <w:pPr>
        <w:numPr>
          <w:ilvl w:val="0"/>
          <w:numId w:val="1005"/>
        </w:numPr>
        <w:pStyle w:val="Compact"/>
      </w:pPr>
      <w:r>
        <w:rPr>
          <w:bCs/>
          <w:b/>
        </w:rPr>
        <w:t xml:space="preserve">Claim tracing.</w:t>
      </w:r>
      <w:r>
        <w:t xml:space="preserve"> </w:t>
      </w:r>
      <w:r>
        <w:t xml:space="preserve">Every number in this manuscript’s source carries a comment naming its file. A claims table</w:t>
      </w:r>
      <w:r>
        <w:t xml:space="preserve"> </w:t>
      </w:r>
      <w:r>
        <w:t xml:space="preserve">generated from these comments, for the main text and S1 Text (</w:t>
      </w:r>
      <w:r>
        <w:rPr>
          <w:rStyle w:val="VerbatimChar"/>
        </w:rPr>
        <w:t xml:space="preserve">CLAIMS.tsv</w:t>
      </w:r>
      <w:r>
        <w:t xml:space="preserve">, by</w:t>
      </w:r>
      <w:r>
        <w:t xml:space="preserve"> </w:t>
      </w:r>
      <w:r>
        <w:rPr>
          <w:rStyle w:val="VerbatimChar"/>
        </w:rPr>
        <w:t xml:space="preserve">scripts/91_claims_from_manuscript.py</w:t>
      </w:r>
      <w:r>
        <w:t xml:space="preserve">),</w:t>
      </w:r>
      <w:r>
        <w:t xml:space="preserve"> </w:t>
      </w:r>
      <w:r>
        <w:t xml:space="preserve">replaces the hand-written version, which held only six claims.</w:t>
      </w:r>
    </w:p>
    <w:p>
      <w:pPr>
        <w:numPr>
          <w:ilvl w:val="0"/>
          <w:numId w:val="1005"/>
        </w:numPr>
        <w:pStyle w:val="Compact"/>
      </w:pPr>
      <w:r>
        <w:rPr>
          <w:bCs/>
          <w:b/>
        </w:rPr>
        <w:t xml:space="preserve">Agent scopes and prompts.</w:t>
      </w:r>
      <w:r>
        <w:t xml:space="preserve"> </w:t>
      </w:r>
      <w:r>
        <w:t xml:space="preserve">Blind roles (curation-lag auditor, literature agent L, recall probe, judges, adjudicator)</w:t>
      </w:r>
      <w:r>
        <w:t xml:space="preserve"> </w:t>
      </w:r>
      <w:r>
        <w:t xml:space="preserve">were given read and write restrictions in their task prompts, which are reproduced verbatim in docs/AGENT_PROMPTS.md;</w:t>
      </w:r>
      <w:r>
        <w:t xml:space="preserve"> </w:t>
      </w:r>
      <w:r>
        <w:rPr>
          <w:rStyle w:val="VerbatimChar"/>
        </w:rPr>
        <w:t xml:space="preserve">config/agent_scopes.yaml</w:t>
      </w:r>
      <w:r>
        <w:t xml:space="preserve"> </w:t>
      </w:r>
      <w:r>
        <w:t xml:space="preserve">is a template rather than an enforced policy,</w:t>
      </w:r>
      <w:r>
        <w:t xml:space="preserve"> </w:t>
      </w:r>
      <w:r>
        <w:rPr>
          <w:rStyle w:val="VerbatimChar"/>
        </w:rPr>
        <w:t xml:space="preserve">results/agent_runs.tsv</w:t>
      </w:r>
      <w:r>
        <w:t xml:space="preserve"> </w:t>
      </w:r>
      <w:r>
        <w:t xml:space="preserve">logs only one agent</w:t>
      </w:r>
      <w:r>
        <w:t xml:space="preserve"> </w:t>
      </w:r>
      <w:r>
        <w:t xml:space="preserve">run, and model temperatures and seeds were not recorded, so the agent-only steps are not reproducible in the strict</w:t>
      </w:r>
      <w:r>
        <w:t xml:space="preserve"> </w:t>
      </w:r>
      <w:r>
        <w:t xml:space="preserve">sense and blinding can be audited only from the prompts, packet construction (scripts/50–51) and the leak check.</w:t>
      </w:r>
    </w:p>
    <w:p>
      <w:pPr>
        <w:numPr>
          <w:ilvl w:val="0"/>
          <w:numId w:val="1005"/>
        </w:numPr>
        <w:pStyle w:val="Compact"/>
      </w:pPr>
      <w:r>
        <w:rPr>
          <w:bCs/>
          <w:b/>
        </w:rPr>
        <w:t xml:space="preserve">Independent re-derivation.</w:t>
      </w:r>
      <w:r>
        <w:t xml:space="preserve"> </w:t>
      </w:r>
      <w:r>
        <w:t xml:space="preserve">Agents that did not produce key numbers re-derived them (pre-registered list, hold-out</w:t>
      </w:r>
      <w:r>
        <w:t xml:space="preserve"> </w:t>
      </w:r>
      <w:r>
        <w:t xml:space="preserve">set, primary hold-out evaluation).</w:t>
      </w:r>
    </w:p>
    <w:p>
      <w:pPr>
        <w:pStyle w:val="FirstParagraph"/>
      </w:pPr>
      <w:r>
        <w:t xml:space="preserve">Seeds are in config/seeds.yaml (0–4), and every design parameter is in</w:t>
      </w:r>
      <w:r>
        <w:t xml:space="preserve"> </w:t>
      </w:r>
      <w:r>
        <w:t xml:space="preserve">config/frozen.yaml, checked by script against DESIGN.md; several scripts hard-code seed 0 rather than reading the seed</w:t>
      </w:r>
      <w:r>
        <w:t xml:space="preserve"> </w:t>
      </w:r>
      <w:r>
        <w:t xml:space="preserve">file, and the tool’s internal random-pair seed is fixed inside the tool. The environment is pinned in</w:t>
      </w:r>
      <w:r>
        <w:t xml:space="preserve"> </w:t>
      </w:r>
      <w:r>
        <w:t xml:space="preserve">config/requirements.lock.txt (numpy 2.5.4, pandas 3.1.0, scipy 1.18.1, scikit-learn 1.9.1); README.md documents the run order, which steps call the gate, runtimes and</w:t>
      </w:r>
      <w:r>
        <w:t xml:space="preserve"> </w:t>
      </w:r>
      <w:r>
        <w:t xml:space="preserve">the non-portable lines of the lock file. Large matrices are regenerated by script; summaries and per-gene results are</w:t>
      </w:r>
      <w:r>
        <w:t xml:space="preserve"> </w:t>
      </w:r>
      <w:r>
        <w:t xml:space="preserve">committed.</w:t>
      </w:r>
    </w:p>
    <w:bookmarkEnd w:id="50"/>
    <w:bookmarkStart w:id="51" w:name="deviations-from-the-frozen-design"/>
    <w:p>
      <w:pPr>
        <w:pStyle w:val="Heading2"/>
      </w:pPr>
      <w:r>
        <w:t xml:space="preserve">Deviations from the frozen design</w:t>
      </w:r>
    </w:p>
    <w:p>
      <w:pPr>
        <w:pStyle w:val="FirstParagraph"/>
      </w:pPr>
      <w:r>
        <w:t xml:space="preserve">DESIGN.md was not edited after the tag. Twenty-two changes are logged in DEVIATIONS.md, and</w:t>
      </w:r>
      <w:r>
        <w:t xml:space="preserve"> </w:t>
      </w:r>
      <w:r>
        <w:t xml:space="preserve">affected results are reported under both rules where both exist. Most were logged before the results they affect were</w:t>
      </w:r>
      <w:r>
        <w:t xml:space="preserve"> </w:t>
      </w:r>
      <w:r>
        <w:t xml:space="preserve">computed, but four were not: the R1 tie-break (found by the independent verifier after the primary look), the</w:t>
      </w:r>
      <w:r>
        <w:t xml:space="preserve"> </w:t>
      </w:r>
      <w:r>
        <w:t xml:space="preserve">lineage-restricted expression rule behind the 646 versus 635 assessable count (found after the assessability output),</w:t>
      </w:r>
      <w:r>
        <w:t xml:space="preserve"> </w:t>
      </w:r>
      <w:r>
        <w:t xml:space="preserve">the pure-p_cal reading of the top-40 fill (decided after the ranked list existed, before any literature step) and the</w:t>
      </w:r>
      <w:r>
        <w:t xml:space="preserve"> </w:t>
      </w:r>
      <w:r>
        <w:t xml:space="preserve">module-label crediting in the judge instruction (logged retrospectively during manuscript review in commit acdad5a;</w:t>
      </w:r>
      <w:r>
        <w:t xml:space="preserve"> </w:t>
      </w:r>
      <w:r>
        <w:t xml:space="preserve">the row’s date was first written as a later day and corrected in place in commit 090a7d8, so the commit, not the date,</w:t>
      </w:r>
      <w:r>
        <w:t xml:space="preserve"> </w:t>
      </w:r>
      <w:r>
        <w:t xml:space="preserve">records when it was logged). Row dates in</w:t>
      </w:r>
      <w:r>
        <w:t xml:space="preserve"> </w:t>
      </w:r>
      <w:r>
        <w:t xml:space="preserve">DEVIATIONS.md are not monotone, and the commits, not the dates, give the order. Thirteen rows fill operational details the</w:t>
      </w:r>
      <w:r>
        <w:t xml:space="preserve"> </w:t>
      </w:r>
      <w:r>
        <w:t xml:space="preserve">design left open (for example orthogonal admission mechanics, the RBO persistence of 0.9, LOO and hold-out evaluation</w:t>
      </w:r>
      <w:r>
        <w:t xml:space="preserve"> </w:t>
      </w:r>
      <w:r>
        <w:t xml:space="preserve">details, U scoring and bootstrap mechanics, artefact-flag operationalisation, the transcription-factor list, the fill</w:t>
      </w:r>
      <w:r>
        <w:t xml:space="preserve"> </w:t>
      </w:r>
      <w:r>
        <w:t xml:space="preserve">iteration, the R1 tie-break, which affects 401 of 820 H genes and whose reverse order</w:t>
      </w:r>
      <w:r>
        <w:t xml:space="preserve"> </w:t>
      </w:r>
      <w:r>
        <w:t xml:space="preserve">leaves the primary passing, and the judging instruction). Three were interpretations or implementation gaps: the</w:t>
      </w:r>
      <w:r>
        <w:t xml:space="preserve"> </w:t>
      </w:r>
      <w:r>
        <w:t xml:space="preserve">contradiction rule uses its four named localisation sources regardless of admission; the primary assessable count</w:t>
      </w:r>
      <w:r>
        <w:t xml:space="preserve"> </w:t>
      </w:r>
      <w:r>
        <w:t xml:space="preserve">applies the design’s lineage-restricted expression rule (646 versus 635);</w:t>
      </w:r>
      <w:r>
        <w:t xml:space="preserve"> </w:t>
      </w:r>
      <w:r>
        <w:t xml:space="preserve">and, under the low-yield branch, the top-40-only checks are tier caps, so the primary top 40 is pure p_cal order with the</w:t>
      </w:r>
      <w:r>
        <w:t xml:space="preserve"> </w:t>
      </w:r>
      <w:r>
        <w:t xml:space="preserve">implementing agent’s</w:t>
      </w:r>
      <w:r>
        <w:t xml:space="preserve"> </w:t>
      </w:r>
      <w:r>
        <w:t xml:space="preserve">“</w:t>
      </w:r>
      <w:r>
        <w:t xml:space="preserve">clean-first</w:t>
      </w:r>
      <w:r>
        <w:t xml:space="preserve">”</w:t>
      </w:r>
      <w:r>
        <w:t xml:space="preserve"> </w:t>
      </w:r>
      <w:r>
        <w:t xml:space="preserve">list reported as a sensitivity analysis. Four were real changes or additions: the</w:t>
      </w:r>
      <w:r>
        <w:t xml:space="preserve"> </w:t>
      </w:r>
      <w:r>
        <w:t xml:space="preserve">PMID-only cluster fallback, set before H was opened after the LOO link graph put 2,491 of 2,519</w:t>
      </w:r>
      <w:r>
        <w:t xml:space="preserve"> </w:t>
      </w:r>
      <w:r>
        <w:t xml:space="preserve">genes in one component; the secondary S20 list, defined before</w:t>
      </w:r>
      <w:r>
        <w:t xml:space="preserve"> </w:t>
      </w:r>
      <w:r>
        <w:t xml:space="preserve">any literature step; the extension of the recall probe to S20 and extra30; and a descriptive HPA tissue stratum that was</w:t>
      </w:r>
      <w:r>
        <w:t xml:space="preserve"> </w:t>
      </w:r>
      <w:r>
        <w:t xml:space="preserve">not computed because the data were not obtained. Two were errata with no rule change. Judged statements omitted the</w:t>
      </w:r>
      <w:r>
        <w:t xml:space="preserve"> </w:t>
      </w:r>
      <w:r>
        <w:t xml:space="preserve">relationship type to preserve blinding. DEVIATIONS promised results</w:t>
      </w:r>
      <w:r>
        <w:t xml:space="preserve"> </w:t>
      </w:r>
      <w:r>
        <w:t xml:space="preserve">“</w:t>
      </w:r>
      <w:r>
        <w:t xml:space="preserve">under both rules</w:t>
      </w:r>
      <w:r>
        <w:t xml:space="preserve">”</w:t>
      </w:r>
      <w:r>
        <w:t xml:space="preserve"> </w:t>
      </w:r>
      <w:r>
        <w:t xml:space="preserve">for the top-40 fill, but only the</w:t>
      </w:r>
      <w:r>
        <w:t xml:space="preserve"> </w:t>
      </w:r>
      <w:r>
        <w:t xml:space="preserve">pure-p_cal top 40 was judged; the clean-first list shares 20 genes with it.</w:t>
      </w:r>
    </w:p>
    <w:bookmarkEnd w:id="51"/>
    <w:bookmarkEnd w:id="52"/>
    <w:bookmarkStart w:id="53" w:name="data-and-code-availability"/>
    <w:p>
      <w:pPr>
        <w:pStyle w:val="Heading1"/>
      </w:pPr>
      <w:r>
        <w:t xml:space="preserve">Data and code availability</w:t>
      </w:r>
    </w:p>
    <w:p>
      <w:pPr>
        <w:pStyle w:val="FirstParagraph"/>
      </w:pPr>
      <w:r>
        <w:t xml:space="preserve">All code, configuration, pre-registration files, design documents and reviews, committed results, figure source data</w:t>
      </w:r>
      <w:r>
        <w:t xml:space="preserve"> </w:t>
      </w:r>
      <w:r>
        <w:t xml:space="preserve">and candidate reports are in the project repository, which will be deposited with its git history and tags in an</w:t>
      </w:r>
      <w:r>
        <w:t xml:space="preserve"> </w:t>
      </w:r>
      <w:r>
        <w:t xml:space="preserve">archival repository (Zenodo) on acceptance [archival DOI: to be completed by the human authors]. The pre-registration</w:t>
      </w:r>
      <w:r>
        <w:t xml:space="preserve"> </w:t>
      </w:r>
      <w:r>
        <w:t xml:space="preserve">can be checked against the deposited history: freeze commit afed1dd (tags</w:t>
      </w:r>
      <w:r>
        <w:t xml:space="preserve"> </w:t>
      </w:r>
      <w:r>
        <w:rPr>
          <w:rStyle w:val="VerbatimChar"/>
        </w:rPr>
        <w:t xml:space="preserve">preregistration-v1</w:t>
      </w:r>
      <w:r>
        <w:t xml:space="preserve"> </w:t>
      </w:r>
      <w:r>
        <w:t xml:space="preserve">and</w:t>
      </w:r>
      <w:r>
        <w:t xml:space="preserve"> </w:t>
      </w:r>
      <w:r>
        <w:rPr>
          <w:rStyle w:val="VerbatimChar"/>
        </w:rPr>
        <w:t xml:space="preserve">design-frozen</w:t>
      </w:r>
      <w:r>
        <w:t xml:space="preserve">),</w:t>
      </w:r>
      <w:r>
        <w:t xml:space="preserve"> </w:t>
      </w:r>
      <w:r>
        <w:t xml:space="preserve">SHA-256 of</w:t>
      </w:r>
      <w:r>
        <w:t xml:space="preserve"> </w:t>
      </w:r>
      <w:r>
        <w:rPr>
          <w:rStyle w:val="VerbatimChar"/>
        </w:rPr>
        <w:t xml:space="preserve">preregistration/FREEZE.sha256</w:t>
      </w:r>
      <w:r>
        <w:t xml:space="preserve"> </w:t>
      </w:r>
      <w:r>
        <w:t xml:space="preserve">687075e680b8a051e6482de5bb052c903afaf2942ae5a25a34cef79e5965da04. Until deposition the repository has no public remote, so tag and commit times are self-reported.</w:t>
      </w:r>
      <w:r>
        <w:t xml:space="preserve"> </w:t>
      </w:r>
      <w:r>
        <w:rPr>
          <w:rStyle w:val="VerbatimChar"/>
        </w:rPr>
        <w:t xml:space="preserve">README.md</w:t>
      </w:r>
      <w:r>
        <w:t xml:space="preserve"> </w:t>
      </w:r>
      <w:r>
        <w:t xml:space="preserve">gives the environment set-up, data acquisition and the run order of every script, and marks the steps that</w:t>
      </w:r>
      <w:r>
        <w:t xml:space="preserve"> </w:t>
      </w:r>
      <w:r>
        <w:t xml:space="preserve">were performed by agents and cannot be re-run from a script. The layout is:</w:t>
      </w:r>
      <w:r>
        <w:t xml:space="preserve"> </w:t>
      </w:r>
      <w:r>
        <w:rPr>
          <w:rStyle w:val="VerbatimChar"/>
        </w:rPr>
        <w:t xml:space="preserve">PROMPT.md</w:t>
      </w:r>
      <w:r>
        <w:t xml:space="preserve"> </w:t>
      </w:r>
      <w:r>
        <w:t xml:space="preserve">(the fixed goal),</w:t>
      </w:r>
      <w:r>
        <w:t xml:space="preserve"> </w:t>
      </w:r>
      <w:r>
        <w:rPr>
          <w:rStyle w:val="VerbatimChar"/>
        </w:rPr>
        <w:t xml:space="preserve">DESIGN.md</w:t>
      </w:r>
      <w:r>
        <w:t xml:space="preserve"> </w:t>
      </w:r>
      <w:r>
        <w:t xml:space="preserve">(frozen design v2.3),</w:t>
      </w:r>
      <w:r>
        <w:t xml:space="preserve"> </w:t>
      </w:r>
      <w:r>
        <w:rPr>
          <w:rStyle w:val="VerbatimChar"/>
        </w:rPr>
        <w:t xml:space="preserve">DEVIATIONS.md</w:t>
      </w:r>
      <w:r>
        <w:t xml:space="preserve"> </w:t>
      </w:r>
      <w:r>
        <w:t xml:space="preserve">and</w:t>
      </w:r>
      <w:r>
        <w:t xml:space="preserve"> </w:t>
      </w:r>
      <w:r>
        <w:rPr>
          <w:rStyle w:val="VerbatimChar"/>
        </w:rPr>
        <w:t xml:space="preserve">LOOKS.md</w:t>
      </w:r>
      <w:r>
        <w:t xml:space="preserve"> </w:t>
      </w:r>
      <w:r>
        <w:t xml:space="preserve">(change and hold-out logs),</w:t>
      </w:r>
      <w:r>
        <w:t xml:space="preserve"> </w:t>
      </w:r>
      <w:r>
        <w:rPr>
          <w:rStyle w:val="VerbatimChar"/>
        </w:rPr>
        <w:t xml:space="preserve">RESEARCH_TREE.md</w:t>
      </w:r>
      <w:r>
        <w:t xml:space="preserve"> </w:t>
      </w:r>
      <w:r>
        <w:t xml:space="preserve">(decision record),</w:t>
      </w:r>
      <w:r>
        <w:t xml:space="preserve"> </w:t>
      </w:r>
      <w:r>
        <w:rPr>
          <w:rStyle w:val="VerbatimChar"/>
        </w:rPr>
        <w:t xml:space="preserve">CLAIMS.tsv</w:t>
      </w:r>
      <w:r>
        <w:t xml:space="preserve"> </w:t>
      </w:r>
      <w:r>
        <w:t xml:space="preserve">(number-to-file map generated from the source comments of the manuscript and S1 Text),</w:t>
      </w:r>
      <w:r>
        <w:t xml:space="preserve"> </w:t>
      </w:r>
      <w:r>
        <w:rPr>
          <w:rStyle w:val="VerbatimChar"/>
        </w:rPr>
        <w:t xml:space="preserve">docs/AGENT_PROMPTS.md</w:t>
      </w:r>
      <w:r>
        <w:t xml:space="preserve"> </w:t>
      </w:r>
      <w:r>
        <w:t xml:space="preserve">(verbatim prompts for the blinded agent roles),</w:t>
      </w:r>
      <w:r>
        <w:t xml:space="preserve"> </w:t>
      </w:r>
      <w:r>
        <w:rPr>
          <w:rStyle w:val="VerbatimChar"/>
        </w:rPr>
        <w:t xml:space="preserve">preregistration/</w:t>
      </w:r>
      <w:r>
        <w:t xml:space="preserve"> </w:t>
      </w:r>
      <w:r>
        <w:t xml:space="preserve">(the frozen</w:t>
      </w:r>
      <w:r>
        <w:t xml:space="preserve"> </w:t>
      </w:r>
      <w:r>
        <w:t xml:space="preserve">list U, criteria, provenance and</w:t>
      </w:r>
      <w:r>
        <w:t xml:space="preserve"> </w:t>
      </w:r>
      <w:r>
        <w:rPr>
          <w:rStyle w:val="VerbatimChar"/>
        </w:rPr>
        <w:t xml:space="preserve">FREEZE.sha256</w:t>
      </w:r>
      <w:r>
        <w:t xml:space="preserve">),</w:t>
      </w:r>
      <w:r>
        <w:t xml:space="preserve"> </w:t>
      </w:r>
      <w:r>
        <w:rPr>
          <w:rStyle w:val="VerbatimChar"/>
        </w:rPr>
        <w:t xml:space="preserve">config/</w:t>
      </w:r>
      <w:r>
        <w:t xml:space="preserve"> </w:t>
      </w:r>
      <w:r>
        <w:t xml:space="preserve">(frozen parameters, seeds, pinned environment, agent</w:t>
      </w:r>
      <w:r>
        <w:t xml:space="preserve"> </w:t>
      </w:r>
      <w:r>
        <w:t xml:space="preserve">scopes),</w:t>
      </w:r>
      <w:r>
        <w:t xml:space="preserve"> </w:t>
      </w:r>
      <w:r>
        <w:rPr>
          <w:rStyle w:val="VerbatimChar"/>
        </w:rPr>
        <w:t xml:space="preserve">src/</w:t>
      </w:r>
      <w:r>
        <w:t xml:space="preserve"> </w:t>
      </w:r>
      <w:r>
        <w:t xml:space="preserve">and</w:t>
      </w:r>
      <w:r>
        <w:t xml:space="preserve"> </w:t>
      </w:r>
      <w:r>
        <w:rPr>
          <w:rStyle w:val="VerbatimChar"/>
        </w:rPr>
        <w:t xml:space="preserve">scripts/</w:t>
      </w:r>
      <w:r>
        <w:t xml:space="preserve"> </w:t>
      </w:r>
      <w:r>
        <w:t xml:space="preserve">(pipeline, numbered in execution order),</w:t>
      </w:r>
      <w:r>
        <w:t xml:space="preserve"> </w:t>
      </w:r>
      <w:r>
        <w:rPr>
          <w:rStyle w:val="VerbatimChar"/>
        </w:rPr>
        <w:t xml:space="preserve">tests/</w:t>
      </w:r>
      <w:r>
        <w:t xml:space="preserve"> </w:t>
      </w:r>
      <w:r>
        <w:t xml:space="preserve">and</w:t>
      </w:r>
      <w:r>
        <w:t xml:space="preserve"> </w:t>
      </w:r>
      <w:r>
        <w:rPr>
          <w:rStyle w:val="VerbatimChar"/>
        </w:rPr>
        <w:t xml:space="preserve">verify/</w:t>
      </w:r>
      <w:r>
        <w:t xml:space="preserve"> </w:t>
      </w:r>
      <w:r>
        <w:t xml:space="preserve">(unit tests, toy-data</w:t>
      </w:r>
      <w:r>
        <w:t xml:space="preserve"> </w:t>
      </w:r>
      <w:r>
        <w:t xml:space="preserve">checks and independent re-derivations),</w:t>
      </w:r>
      <w:r>
        <w:t xml:space="preserve"> </w:t>
      </w:r>
      <w:r>
        <w:rPr>
          <w:rStyle w:val="VerbatimChar"/>
        </w:rPr>
        <w:t xml:space="preserve">results/</w:t>
      </w:r>
      <w:r>
        <w:t xml:space="preserve"> </w:t>
      </w:r>
      <w:r>
        <w:t xml:space="preserve">(per-milestone results, including the hold-out evaluation, the</w:t>
      </w:r>
      <w:r>
        <w:t xml:space="preserve"> </w:t>
      </w:r>
      <w:r>
        <w:t xml:space="preserve">prediction ledger and the blinded-judging files),</w:t>
      </w:r>
      <w:r>
        <w:t xml:space="preserve"> </w:t>
      </w:r>
      <w:r>
        <w:rPr>
          <w:rStyle w:val="VerbatimChar"/>
        </w:rPr>
        <w:t xml:space="preserve">reports/</w:t>
      </w:r>
      <w:r>
        <w:t xml:space="preserve"> </w:t>
      </w:r>
      <w:r>
        <w:t xml:space="preserve">(ten candidate reports, experiment plans and red-team</w:t>
      </w:r>
      <w:r>
        <w:t xml:space="preserve"> </w:t>
      </w:r>
      <w:r>
        <w:t xml:space="preserve">reviews),</w:t>
      </w:r>
      <w:r>
        <w:t xml:space="preserve"> </w:t>
      </w:r>
      <w:r>
        <w:rPr>
          <w:rStyle w:val="VerbatimChar"/>
        </w:rPr>
        <w:t xml:space="preserve">reviews/</w:t>
      </w:r>
      <w:r>
        <w:t xml:space="preserve"> </w:t>
      </w:r>
      <w:r>
        <w:t xml:space="preserve">(design reviews and audits) and</w:t>
      </w:r>
      <w:r>
        <w:t xml:space="preserve"> </w:t>
      </w:r>
      <w:r>
        <w:rPr>
          <w:rStyle w:val="VerbatimChar"/>
        </w:rPr>
        <w:t xml:space="preserve">manuscript/</w:t>
      </w:r>
      <w:r>
        <w:t xml:space="preserve"> </w:t>
      </w:r>
      <w:r>
        <w:t xml:space="preserve">(this text, figures and source data; rendered by</w:t>
      </w:r>
      <w:r>
        <w:t xml:space="preserve"> </w:t>
      </w:r>
      <w:r>
        <w:rPr>
          <w:rStyle w:val="VerbatimChar"/>
        </w:rPr>
        <w:t xml:space="preserve">scripts/80_build_manuscript.sh</w:t>
      </w:r>
      <w:r>
        <w:t xml:space="preserve">).</w:t>
      </w:r>
    </w:p>
    <w:p>
      <w:pPr>
        <w:pStyle w:val="BodyText"/>
      </w:pPr>
      <w:r>
        <w:rPr>
          <w:rStyle w:val="VerbatimChar"/>
        </w:rPr>
        <w:t xml:space="preserve">DATA.md</w:t>
      </w:r>
      <w:r>
        <w:t xml:space="preserve"> </w:t>
      </w:r>
      <w:r>
        <w:t xml:space="preserve">lists the source, version, URL, SHA-256 checksum and licence of every dataset;</w:t>
      </w:r>
      <w:r>
        <w:t xml:space="preserve"> </w:t>
      </w:r>
      <w:r>
        <w:rPr>
          <w:rStyle w:val="VerbatimChar"/>
        </w:rPr>
        <w:t xml:space="preserve">scripts/check_data.sh</w:t>
      </w:r>
      <w:r>
        <w:t xml:space="preserve"> </w:t>
      </w:r>
      <w:r>
        <w:t xml:space="preserve">verifies local copies against</w:t>
      </w:r>
      <w:r>
        <w:t xml:space="preserve"> </w:t>
      </w:r>
      <w:r>
        <w:rPr>
          <w:rStyle w:val="VerbatimChar"/>
        </w:rPr>
        <w:t xml:space="preserve">config/data_checksums.tsv</w:t>
      </w:r>
      <w:r>
        <w:t xml:space="preserve">. Raw and restricted data, and large derived matrices, are</w:t>
      </w:r>
      <w:r>
        <w:t xml:space="preserve"> </w:t>
      </w:r>
      <w:r>
        <w:t xml:space="preserve">not redistributed: they are excluded from the repository and regenerated from the public sources by script. DepMap</w:t>
      </w:r>
      <w:r>
        <w:t xml:space="preserve"> </w:t>
      </w:r>
      <w:r>
        <w:t xml:space="preserve">26Q3 files are available from the DepMap portal under CC BY 4.0 [69]. The Olivieri et al.</w:t>
      </w:r>
      <w:r>
        <w:t xml:space="preserve"> </w:t>
      </w:r>
      <w:r>
        <w:t xml:space="preserve">chemogenomic screen table [79] is licensed CC BY-NC-ND; it was used internally for the</w:t>
      </w:r>
      <w:r>
        <w:t xml:space="preserve"> </w:t>
      </w:r>
      <w:r>
        <w:t xml:space="preserve">admission test only and is not redistributed in any form. The co-essentiality tool was used read-only at commit 3c684c9</w:t>
      </w:r>
      <w:r>
        <w:t xml:space="preserve"> </w:t>
      </w:r>
      <w:r>
        <w:t xml:space="preserve">[38] and is not redistributed; it has no archival DOI, and the Methods describe</w:t>
      </w:r>
      <w:r>
        <w:t xml:space="preserve"> </w:t>
      </w:r>
      <w:r>
        <w:t xml:space="preserve">zavg_BEF in enough detail to reimplement it. Supplementary tables of Wainberg et al. and Kim et al. used for the novelty</w:t>
      </w:r>
      <w:r>
        <w:t xml:space="preserve"> </w:t>
      </w:r>
      <w:r>
        <w:t xml:space="preserve">check are listed with URLs and checksums in</w:t>
      </w:r>
      <w:r>
        <w:t xml:space="preserve"> </w:t>
      </w:r>
      <w:r>
        <w:rPr>
          <w:rStyle w:val="VerbatimChar"/>
        </w:rPr>
        <w:t xml:space="preserve">results/revision/external_manifest.tsv</w:t>
      </w:r>
      <w:r>
        <w:t xml:space="preserve"> </w:t>
      </w:r>
      <w:r>
        <w:t xml:space="preserve">and are not redistributed.</w:t>
      </w:r>
    </w:p>
    <w:bookmarkEnd w:id="53"/>
    <w:bookmarkStart w:id="54" w:name="use-of-ai-tools-and-author-contributions"/>
    <w:p>
      <w:pPr>
        <w:pStyle w:val="Heading1"/>
      </w:pPr>
      <w:r>
        <w:t xml:space="preserve">Use of AI tools and author contributions</w:t>
      </w:r>
    </w:p>
    <w:p>
      <w:pPr>
        <w:pStyle w:val="FirstParagraph"/>
      </w:pPr>
      <w:r>
        <w:t xml:space="preserve">This study was planned, executed and written by AI agents (Anthropic Claude models: Claude Opus 5.5 for the PI role,</w:t>
      </w:r>
      <w:r>
        <w:t xml:space="preserve"> </w:t>
      </w:r>
      <w:r>
        <w:t xml:space="preserve">design, analysis, report writing, red-team review, recall probes and adjudication; Claude Sonnet 5.5 for the</w:t>
      </w:r>
      <w:r>
        <w:t xml:space="preserve"> </w:t>
      </w:r>
      <w:r>
        <w:t xml:space="preserve">curation-lag audit, literature agent L, judges and some analyses), working under a human-written brief (</w:t>
      </w:r>
      <w:r>
        <w:rPr>
          <w:rStyle w:val="VerbatimChar"/>
        </w:rPr>
        <w:t xml:space="preserve">PROMPT.md</w:t>
      </w:r>
      <w:r>
        <w:t xml:space="preserve">).</w:t>
      </w:r>
      <w:r>
        <w:t xml:space="preserve"> </w:t>
      </w:r>
      <w:r>
        <w:t xml:space="preserve">The agents designed the study, wrote and ran all code, performed the literature screens and blinded judging, wrote the</w:t>
      </w:r>
      <w:r>
        <w:t xml:space="preserve"> </w:t>
      </w:r>
      <w:r>
        <w:t xml:space="preserve">candidate reports and this manuscript, and revised it after review. The verbatim prompts of the blinded roles are in</w:t>
      </w:r>
      <w:r>
        <w:t xml:space="preserve"> </w:t>
      </w:r>
      <w:r>
        <w:rPr>
          <w:rStyle w:val="VerbatimChar"/>
        </w:rPr>
        <w:t xml:space="preserve">docs/AGENT_PROMPTS.md</w:t>
      </w:r>
      <w:r>
        <w:t xml:space="preserve">. AI tools cannot be authors and cannot take responsibility for the work. [Human oversight and</w:t>
      </w:r>
      <w:r>
        <w:t xml:space="preserve"> </w:t>
      </w:r>
      <w:r>
        <w:t xml:space="preserve">accountability statement: to be completed by the human authors, stating which human author(s) set the brief, reviewed</w:t>
      </w:r>
      <w:r>
        <w:t xml:space="preserve"> </w:t>
      </w:r>
      <w:r>
        <w:t xml:space="preserve">the design, results, literature claims and text, and take responsibility for the submission. At the time of writing, no</w:t>
      </w:r>
      <w:r>
        <w:t xml:space="preserve"> </w:t>
      </w:r>
      <w:r>
        <w:t xml:space="preserve">human had verified the results, the literature claims or the text.]</w:t>
      </w:r>
    </w:p>
    <w:p>
      <w:pPr>
        <w:pStyle w:val="BodyText"/>
      </w:pPr>
      <w:r>
        <w:rPr>
          <w:bCs/>
          <w:b/>
        </w:rPr>
        <w:t xml:space="preserve">Author contributions (CRediT).</w:t>
      </w:r>
      <w:r>
        <w:t xml:space="preserve"> </w:t>
      </w:r>
      <w:r>
        <w:t xml:space="preserve">[To be completed by the human authors; AI contributions are described above and</w:t>
      </w:r>
      <w:r>
        <w:t xml:space="preserve"> </w:t>
      </w:r>
      <w:r>
        <w:t xml:space="preserve">are not authorship.]</w:t>
      </w:r>
    </w:p>
    <w:bookmarkEnd w:id="54"/>
    <w:bookmarkStart w:id="55" w:name="acknowledgements"/>
    <w:p>
      <w:pPr>
        <w:pStyle w:val="Heading1"/>
      </w:pPr>
      <w:r>
        <w:t xml:space="preserve">Acknowledgements</w:t>
      </w:r>
    </w:p>
    <w:p>
      <w:pPr>
        <w:pStyle w:val="FirstParagraph"/>
      </w:pPr>
      <w:r>
        <w:t xml:space="preserve">[To be completed by the human authors.]</w:t>
      </w:r>
    </w:p>
    <w:bookmarkEnd w:id="55"/>
    <w:bookmarkStart w:id="56" w:name="funding"/>
    <w:p>
      <w:pPr>
        <w:pStyle w:val="Heading1"/>
      </w:pPr>
      <w:r>
        <w:t xml:space="preserve">Funding</w:t>
      </w:r>
    </w:p>
    <w:p>
      <w:pPr>
        <w:pStyle w:val="FirstParagraph"/>
      </w:pPr>
      <w:r>
        <w:t xml:space="preserve">[To be completed by the human authors.]</w:t>
      </w:r>
    </w:p>
    <w:bookmarkEnd w:id="56"/>
    <w:bookmarkStart w:id="57" w:name="competing-interests"/>
    <w:p>
      <w:pPr>
        <w:pStyle w:val="Heading1"/>
      </w:pPr>
      <w:r>
        <w:t xml:space="preserve">Competing interests</w:t>
      </w:r>
    </w:p>
    <w:p>
      <w:pPr>
        <w:pStyle w:val="FirstParagraph"/>
      </w:pPr>
      <w:r>
        <w:t xml:space="preserve">The authors have declared that no competing interests exist.</w:t>
      </w:r>
    </w:p>
    <w:bookmarkEnd w:id="57"/>
    <w:bookmarkStart w:id="58" w:name="references"/>
    <w:p>
      <w:pPr>
        <w:pStyle w:val="Heading1"/>
      </w:pPr>
      <w:r>
        <w:t xml:space="preserve">References</w:t>
      </w:r>
    </w:p>
    <w:p>
      <w:pPr>
        <w:numPr>
          <w:ilvl w:val="0"/>
          <w:numId w:val="1006"/>
        </w:numPr>
        <w:pStyle w:val="Compact"/>
      </w:pPr>
      <w:r>
        <w:t xml:space="preserve">Stoeger T, Gerlach M, Morimoto RI, Nunes Amaral LA. Large-scale investigation of the reasons why potentially important genes are ignored. PLOS Biology. 2018;16(9):e2006643. doi:10.1371/journal.pbio.2006643</w:t>
      </w:r>
    </w:p>
    <w:p>
      <w:pPr>
        <w:numPr>
          <w:ilvl w:val="0"/>
          <w:numId w:val="1006"/>
        </w:numPr>
        <w:pStyle w:val="Compact"/>
      </w:pPr>
      <w:r>
        <w:t xml:space="preserve">Stoeger T, Nunes Amaral LA. The characteristics of early-stage research into human genes are substantially different from subsequent research. PLOS Biology. 2022;20(1):e3001520. doi:10.1371/journal.pbio.3001520</w:t>
      </w:r>
    </w:p>
    <w:p>
      <w:pPr>
        <w:numPr>
          <w:ilvl w:val="0"/>
          <w:numId w:val="1006"/>
        </w:numPr>
        <w:pStyle w:val="Compact"/>
      </w:pPr>
      <w:r>
        <w:t xml:space="preserve">Pandey AK, Lu L, Wang X, Homayouni R, Williams RW. Functionally Enigmatic Genes: A Case Study of the Brain Ignorome. PLoS ONE. 2014;9(2):e88889. doi:10.1371/journal.pone.0088889</w:t>
      </w:r>
    </w:p>
    <w:p>
      <w:pPr>
        <w:numPr>
          <w:ilvl w:val="0"/>
          <w:numId w:val="1006"/>
        </w:numPr>
        <w:pStyle w:val="Compact"/>
      </w:pPr>
      <w:r>
        <w:t xml:space="preserve">Edwards AM, Isserlin R, Bader GD, Frye SV, Willson TM, Yu FH. Too many roads not taken. Nature. 2011;470(7333):163-165. doi:10.1038/470163a</w:t>
      </w:r>
    </w:p>
    <w:p>
      <w:pPr>
        <w:numPr>
          <w:ilvl w:val="0"/>
          <w:numId w:val="1006"/>
        </w:numPr>
        <w:pStyle w:val="Compact"/>
      </w:pPr>
      <w:r>
        <w:t xml:space="preserve">Haynes WA, Tomczak A, Khatri P. Gene annotation bias impedes biomedical research. Scientific Reports. 2018;8(1):1362. doi:10.1038/s41598-018-19333-x</w:t>
      </w:r>
    </w:p>
    <w:p>
      <w:pPr>
        <w:numPr>
          <w:ilvl w:val="0"/>
          <w:numId w:val="1006"/>
        </w:numPr>
        <w:pStyle w:val="Compact"/>
      </w:pPr>
      <w:r>
        <w:t xml:space="preserve">Wood V, Lock A, Harris MA, Rutherford K, Bähler J, Oliver SG. Hidden in plain sight: what remains to be discovered in the eukaryotic proteome? Open Biology. 2019;9(2):180241. doi:10.1098/rsob.180241</w:t>
      </w:r>
    </w:p>
    <w:p>
      <w:pPr>
        <w:numPr>
          <w:ilvl w:val="0"/>
          <w:numId w:val="1006"/>
        </w:numPr>
        <w:pStyle w:val="Compact"/>
      </w:pPr>
      <w:r>
        <w:t xml:space="preserve">Kustatscher G, Collins T, Gingras AC, Guo T, Hermjakob H, Ideker T, et al. Understudied proteins: opportunities and challenges for functional proteomics. Nature Methods. 2022;19(7):774-779. doi:10.1038/s41592-022-01454-x</w:t>
      </w:r>
    </w:p>
    <w:p>
      <w:pPr>
        <w:numPr>
          <w:ilvl w:val="0"/>
          <w:numId w:val="1006"/>
        </w:numPr>
        <w:pStyle w:val="Compact"/>
      </w:pPr>
      <w:r>
        <w:t xml:space="preserve">Oprea TI, Bologa CG, Brunak S, Campbell A, Gan GN, Gaulton A, et al. Unexplored therapeutic opportunities in the human genome. Nature Reviews Drug Discovery. 2018;17(5):317-332. doi:10.1038/nrd.2018.14</w:t>
      </w:r>
    </w:p>
    <w:p>
      <w:pPr>
        <w:numPr>
          <w:ilvl w:val="0"/>
          <w:numId w:val="1006"/>
        </w:numPr>
        <w:pStyle w:val="Compact"/>
      </w:pPr>
      <w:r>
        <w:t xml:space="preserve">Rocha JJ, Jayaram SA, Stevens TJ, Muschalik N, Shah RD, Emran S, et al. Functional unknomics: Systematic screening of conserved genes of unknown function. PLOS Biology. 2023;21(8):e3002222. doi:10.1371/journal.pbio.3002222</w:t>
      </w:r>
    </w:p>
    <w:p>
      <w:pPr>
        <w:numPr>
          <w:ilvl w:val="0"/>
          <w:numId w:val="1006"/>
        </w:numPr>
        <w:pStyle w:val="Compact"/>
      </w:pPr>
      <w:r>
        <w:t xml:space="preserve">The Gene Ontology Consortium, Aleksander SA, Balhoff J, Carbon S, Cherry JM, Drabkin HJ, et al. The Gene Ontology knowledgebase in 2023. Genetics. 2023;224(1):iyad031. doi:10.1093/genetics/iyad031</w:t>
      </w:r>
    </w:p>
    <w:p>
      <w:pPr>
        <w:numPr>
          <w:ilvl w:val="0"/>
          <w:numId w:val="1006"/>
        </w:numPr>
        <w:pStyle w:val="Compact"/>
      </w:pPr>
      <w:r>
        <w:t xml:space="preserve">UniProt Consortium. Annotation score (UniProt help page) [Internet]. UniProt website; 2026. Available from: https://www.uniprot.org/help/annotation_score. Accessed 2026-10-29.</w:t>
      </w:r>
    </w:p>
    <w:p>
      <w:pPr>
        <w:numPr>
          <w:ilvl w:val="0"/>
          <w:numId w:val="1006"/>
        </w:numPr>
        <w:pStyle w:val="Compact"/>
      </w:pPr>
      <w:r>
        <w:t xml:space="preserve">The UniProt Consortium, Bateman A, Martin MJ, Orchard S, Magrane M, Adesina A, et al. UniProt: the Universal Protein Knowledgebase in 2025. Nucleic Acids Research. 2025;53(D1):D609-D617. doi:10.1093/nar/gkae1010</w:t>
      </w:r>
    </w:p>
    <w:p>
      <w:pPr>
        <w:numPr>
          <w:ilvl w:val="0"/>
          <w:numId w:val="1006"/>
        </w:numPr>
        <w:pStyle w:val="Compact"/>
      </w:pPr>
      <w:r>
        <w:t xml:space="preserve">Sheils TK, Mathias SL, Kelleher KJ, Siramshetty VB, Nguyen DT, Bologa CG, et al. TCRD and Pharos 2021: mining the human proteome for disease biology. Nucleic Acids Research. 2021;49(D1):D1334-D1346. doi:10.1093/nar/gkaa993</w:t>
      </w:r>
    </w:p>
    <w:p>
      <w:pPr>
        <w:numPr>
          <w:ilvl w:val="0"/>
          <w:numId w:val="1006"/>
        </w:numPr>
        <w:pStyle w:val="Compact"/>
      </w:pPr>
      <w:r>
        <w:t xml:space="preserve">Kang Y, Baker MJ, Liem M, Louber J, McKenzie M, Atukorala I, et al. Tim29 is a novel subunit of the human TIM22 translocase and is involved in complex assembly and stability. eLife. 2016;5:e17463. doi:10.7554/elife.17463</w:t>
      </w:r>
    </w:p>
    <w:p>
      <w:pPr>
        <w:numPr>
          <w:ilvl w:val="0"/>
          <w:numId w:val="1006"/>
        </w:numPr>
        <w:pStyle w:val="Compact"/>
      </w:pPr>
      <w:r>
        <w:t xml:space="preserve">Callegari S, Richter F, Chojnacka K, Jans DC, Lorenzi I, Pacheu‐Grau D, et al. TIM29 is a subunit of the human carrier translocase required for protein transport. FEBS Letters. 2016;590(23):4147-4158. doi:10.1002/1873-3468.12450</w:t>
      </w:r>
    </w:p>
    <w:p>
      <w:pPr>
        <w:numPr>
          <w:ilvl w:val="0"/>
          <w:numId w:val="1006"/>
        </w:numPr>
        <w:pStyle w:val="Compact"/>
      </w:pPr>
      <w:r>
        <w:t xml:space="preserve">Stroud DA, Surgenor EE, Formosa LE, Reljic B, Frazier AE, Dibley MG, et al. Accessory subunits are integral for assembly and function of human mitochondrial complex I. Nature. 2016;538(7623):123-126. doi:10.1038/nature19754</w:t>
      </w:r>
    </w:p>
    <w:p>
      <w:pPr>
        <w:numPr>
          <w:ilvl w:val="0"/>
          <w:numId w:val="1006"/>
        </w:numPr>
        <w:pStyle w:val="Compact"/>
      </w:pPr>
      <w:r>
        <w:t xml:space="preserve">Tsherniak A, Vazquez F, Montgomery PG, Weir BA, Kryukov G, Cowley GS, et al. Defining a Cancer Dependency Map. Cell. 2017;170(3):564-576.e16. doi:10.1016/j.cell.2017.06.010</w:t>
      </w:r>
    </w:p>
    <w:p>
      <w:pPr>
        <w:numPr>
          <w:ilvl w:val="0"/>
          <w:numId w:val="1006"/>
        </w:numPr>
        <w:pStyle w:val="Compact"/>
      </w:pPr>
      <w:r>
        <w:t xml:space="preserve">Meyers RM, Bryan JG, McFarland JM, Weir BA, Sizemore AE, Xu H, et al. Computational correction of copy number effect improves specificity of CRISPR–Cas9 essentiality screens in cancer cells. Nature Genetics. 2017;49(12):1779-1784. doi:10.1038/ng.3984</w:t>
      </w:r>
    </w:p>
    <w:p>
      <w:pPr>
        <w:numPr>
          <w:ilvl w:val="0"/>
          <w:numId w:val="1006"/>
        </w:numPr>
        <w:pStyle w:val="Compact"/>
      </w:pPr>
      <w:r>
        <w:t xml:space="preserve">Dempster JM, Boyle I, Vazquez F, Root DE, Boehm JS, Hahn WC, et al. Chronos: a cell population dynamics model of CRISPR experiments that improves inference of gene fitness effects. Genome Biology. 2021;22(1):343. doi:10.1186/s13059-021-02540-7</w:t>
      </w:r>
    </w:p>
    <w:p>
      <w:pPr>
        <w:numPr>
          <w:ilvl w:val="0"/>
          <w:numId w:val="1006"/>
        </w:numPr>
        <w:pStyle w:val="Compact"/>
      </w:pPr>
      <w:r>
        <w:t xml:space="preserve">Pan J, Meyers RM, Michel BC, Mashtalir N, Sizemore AE, Wells JN, et al. Interrogation of Mammalian Protein Complex Structure, Function, and Membership Using Genome-Scale Fitness Screens. Cell Systems. 2018;6(5):555-568.e7. doi:10.1016/j.cels.2018.04.011</w:t>
      </w:r>
    </w:p>
    <w:p>
      <w:pPr>
        <w:numPr>
          <w:ilvl w:val="0"/>
          <w:numId w:val="1006"/>
        </w:numPr>
        <w:pStyle w:val="Compact"/>
      </w:pPr>
      <w:r>
        <w:t xml:space="preserve">Boyle EA, Pritchard JK, Greenleaf WJ. High‐resolution mapping of cancer cell networks using co‐functional interactions. Molecular Systems Biology. 2018;14(12):MSB188594. doi:10.15252/msb.20188594</w:t>
      </w:r>
    </w:p>
    <w:p>
      <w:pPr>
        <w:numPr>
          <w:ilvl w:val="0"/>
          <w:numId w:val="1006"/>
        </w:numPr>
        <w:pStyle w:val="Compact"/>
      </w:pPr>
      <w:r>
        <w:t xml:space="preserve">Kim E, Dede M, Lenoir WF, Wang G, Srinivasan S, Colic M, et al. A network of human functional gene interactions from knockout fitness screens in cancer cells. Life Science Alliance. 2019;2(2):e201800278. doi:10.26508/lsa.201800278</w:t>
      </w:r>
    </w:p>
    <w:p>
      <w:pPr>
        <w:numPr>
          <w:ilvl w:val="0"/>
          <w:numId w:val="1006"/>
        </w:numPr>
        <w:pStyle w:val="Compact"/>
      </w:pPr>
      <w:r>
        <w:t xml:space="preserve">Wainberg M, Kamber RA, Balsubramani A, Meyers RM, Sinnott-Armstrong N, Hornburg D, et al. A genome-wide atlas of co-essential modules assigns function to uncharacterized genes. Nature Genetics. 2021;53(5):638-649. doi:10.1038/s41588-021-00840-z</w:t>
      </w:r>
    </w:p>
    <w:p>
      <w:pPr>
        <w:numPr>
          <w:ilvl w:val="0"/>
          <w:numId w:val="1006"/>
        </w:numPr>
        <w:pStyle w:val="Compact"/>
      </w:pPr>
      <w:r>
        <w:t xml:space="preserve">Kory N, uit de Bos J, van der Rijt S, Jankovic N, Güra M, Arp N, et al. MCART1/SLC25A51 is required for mitochondrial NAD transport. Science Advances. 2020;6(43):eabe5310. doi:10.1126/sciadv.abe5310</w:t>
      </w:r>
    </w:p>
    <w:p>
      <w:pPr>
        <w:numPr>
          <w:ilvl w:val="0"/>
          <w:numId w:val="1006"/>
        </w:numPr>
        <w:pStyle w:val="Compact"/>
      </w:pPr>
      <w:r>
        <w:t xml:space="preserve">Luongo TS, Eller JM, Lu MJ, Niere M, Raith F, Perry C, et al. SLC25A51 is a mammalian mitochondrial NAD+ transporter. Nature. 2020;588(7836):174-179. doi:10.1038/s41586-020-2741-7</w:t>
      </w:r>
    </w:p>
    <w:p>
      <w:pPr>
        <w:numPr>
          <w:ilvl w:val="0"/>
          <w:numId w:val="1006"/>
        </w:numPr>
        <w:pStyle w:val="Compact"/>
      </w:pPr>
      <w:r>
        <w:t xml:space="preserve">Girardi E, Agrimi G, Goldmann U, Fiume G, Lindinger S, Sedlyarov V, et al. Epistasis-driven identification of SLC25A51 as a regulator of human mitochondrial NAD import. Nature Communications. 2020;11(1):6145. doi:10.1038/s41467-020-19871-x</w:t>
      </w:r>
    </w:p>
    <w:p>
      <w:pPr>
        <w:numPr>
          <w:ilvl w:val="0"/>
          <w:numId w:val="1006"/>
        </w:numPr>
        <w:pStyle w:val="Compact"/>
      </w:pPr>
      <w:r>
        <w:t xml:space="preserve">Bayraktar EC, La K, Karpman K, Unlu G, Ozerdem C, Ritter DJ, et al. Metabolic coessentiality mapping identifies C12orf49 as a regulator of SREBP processing and cholesterol metabolism. Nature Metabolism. 2020;2(6):487-498. doi:10.1038/s42255-020-0206-9</w:t>
      </w:r>
    </w:p>
    <w:p>
      <w:pPr>
        <w:numPr>
          <w:ilvl w:val="0"/>
          <w:numId w:val="1006"/>
        </w:numPr>
        <w:pStyle w:val="Compact"/>
      </w:pPr>
      <w:r>
        <w:t xml:space="preserve">Loregger A, Raaben M, Nieuwenhuis J, Tan JME, Jae LT, van den Hengel LG, et al. Haploid genetic screens identify SPRING/C12ORF49 as a determinant of SREBP signaling and cholesterol metabolism. Nature Communications. 2020;11(1):1128. doi:10.1038/s41467-020-14811-1</w:t>
      </w:r>
    </w:p>
    <w:p>
      <w:pPr>
        <w:numPr>
          <w:ilvl w:val="0"/>
          <w:numId w:val="1006"/>
        </w:numPr>
        <w:pStyle w:val="Compact"/>
      </w:pPr>
      <w:r>
        <w:t xml:space="preserve">Aregger M, Lawson KA, Billmann M, Costanzo M, Tong AHY, Chan K, et al. Systematic mapping of genetic interactions for de novo fatty acid synthesis identifies C12orf49 as a regulator of lipid metabolism. Nature Metabolism. 2020;2(6):499-513. doi:10.1038/s42255-020-0211-z</w:t>
      </w:r>
    </w:p>
    <w:p>
      <w:pPr>
        <w:numPr>
          <w:ilvl w:val="0"/>
          <w:numId w:val="1006"/>
        </w:numPr>
        <w:pStyle w:val="Compact"/>
      </w:pPr>
      <w:r>
        <w:t xml:space="preserve">Gallego-García A, Monera-Girona AJ, Pajares-Martínez E, Bastida-Martínez E, Pérez-Castaño R, Iniesta AA, et al. A bacterial light response reveals an orphan desaturase for human plasmalogen synthesis. Science. 2019;366(6461):128-132. doi:10.1126/science.aay1436</w:t>
      </w:r>
    </w:p>
    <w:p>
      <w:pPr>
        <w:numPr>
          <w:ilvl w:val="0"/>
          <w:numId w:val="1006"/>
        </w:numPr>
        <w:pStyle w:val="Compact"/>
      </w:pPr>
      <w:r>
        <w:t xml:space="preserve">Werner ER, Keller MA, Sailer S, Lackner K, Koch J, Hermann M, et al. The TMEM189 gene encodes plasmanylethanolamine desaturase which introduces the characteristic vinyl ether double bond into plasmalogens. Proceedings of the National Academy of Sciences. 2020;117(14):7792-7798. doi:10.1073/pnas.1917461117</w:t>
      </w:r>
    </w:p>
    <w:p>
      <w:pPr>
        <w:numPr>
          <w:ilvl w:val="0"/>
          <w:numId w:val="1006"/>
        </w:numPr>
        <w:pStyle w:val="Compact"/>
      </w:pPr>
      <w:r>
        <w:t xml:space="preserve">Amici DR, Ansel DJ, Metz KA, Smith RS, Phoumyvong CM, Gayatri S, et al. C16orf72/HAPSTR1 is a molecular rheostat in an integrated network of stress response pathways. Proceedings of the National Academy of Sciences. 2022;119(27):e2111262119. doi:10.1073/pnas.2111262119</w:t>
      </w:r>
    </w:p>
    <w:p>
      <w:pPr>
        <w:numPr>
          <w:ilvl w:val="0"/>
          <w:numId w:val="1006"/>
        </w:numPr>
        <w:pStyle w:val="Compact"/>
      </w:pPr>
      <w:r>
        <w:t xml:space="preserve">Pan J, Kwon JJ, Talamas JA, Borah AA, Vazquez F, Boehm JS, et al. Sparse dictionary learning recovers pleiotropy from human cell fitness screens. Cell Systems. 2022;13(4):286-303.e10. doi:10.1016/j.cels.2021.12.005</w:t>
      </w:r>
    </w:p>
    <w:p>
      <w:pPr>
        <w:numPr>
          <w:ilvl w:val="0"/>
          <w:numId w:val="1006"/>
        </w:numPr>
        <w:pStyle w:val="Compact"/>
      </w:pPr>
      <w:r>
        <w:t xml:space="preserve">Offley SR, Pfleiderer MM, Zucco A, Fraudeau A, Welsh SA, Razew M, et al. A combinatorial approach to uncover an additional Integrator subunit. Cell Reports. 2023;42(3):112244. doi:10.1016/j.celrep.2023.112244</w:t>
      </w:r>
    </w:p>
    <w:p>
      <w:pPr>
        <w:numPr>
          <w:ilvl w:val="0"/>
          <w:numId w:val="1006"/>
        </w:numPr>
        <w:pStyle w:val="Compact"/>
      </w:pPr>
      <w:r>
        <w:t xml:space="preserve">Gheorghe V, Hart T. Optimal construction of a functional interaction network from pooled library CRISPR fitness screens. BMC Bioinformatics. 2022;23(1):510. doi:10.1186/s12859-022-05078-y</w:t>
      </w:r>
    </w:p>
    <w:p>
      <w:pPr>
        <w:numPr>
          <w:ilvl w:val="0"/>
          <w:numId w:val="1006"/>
        </w:numPr>
        <w:pStyle w:val="Compact"/>
      </w:pPr>
      <w:r>
        <w:t xml:space="preserve">Hassan AZ, Ward HN, Rahman M, Billmann M, Lee Y, Myers CL. Dimensionality reduction methods for extracting functional networks from large‐scale CRISPR screens. Molecular Systems Biology. 2023;19(11):MSB202311657. doi:10.15252/msb.202311657</w:t>
      </w:r>
    </w:p>
    <w:p>
      <w:pPr>
        <w:numPr>
          <w:ilvl w:val="0"/>
          <w:numId w:val="1006"/>
        </w:numPr>
        <w:pStyle w:val="Compact"/>
      </w:pPr>
      <w:r>
        <w:t xml:space="preserve">Rohde T, Demirtas TY, Süsser S, Shaw AH, Kaulich M, Billmann M. BaCoN (Balanced Correlation Network) improves prediction of gene buffering. Molecular Systems Biology. 2025;21(7):807-824. doi:10.1038/s44320-025-00103-7</w:t>
      </w:r>
    </w:p>
    <w:p>
      <w:pPr>
        <w:numPr>
          <w:ilvl w:val="0"/>
          <w:numId w:val="1006"/>
        </w:numPr>
        <w:pStyle w:val="Compact"/>
      </w:pPr>
      <w:r>
        <w:t xml:space="preserve">cancergenetics (AI-generated hackathon project). ai-hackathon-Coessentiality: predicting protein co-complex membership from DepMap co-essentiality (README.md, REPORT.md, LITERATURE.md) [Internet]. GitHub repository, commit 3c684c972f1e5c3ead722b4b3e2c508fa3cb5ddf; 2026. Available from: https://github.com/cancergenetics/ai-hackathon-Coessentiality. Accessed 2026-10-29.</w:t>
      </w:r>
    </w:p>
    <w:p>
      <w:pPr>
        <w:numPr>
          <w:ilvl w:val="0"/>
          <w:numId w:val="1006"/>
        </w:numPr>
        <w:pStyle w:val="Compact"/>
      </w:pPr>
      <w:r>
        <w:t xml:space="preserve">Replogle JM, Saunders RA, Pogson AN, Hussmann JA, Lenail A, Guna A, et al. Mapping information-rich genotype-phenotype landscapes with genome-scale Perturb-seq. Cell. 2022;185(14):2559-2575.e28. doi:10.1016/j.cell.2022.05.013</w:t>
      </w:r>
    </w:p>
    <w:p>
      <w:pPr>
        <w:numPr>
          <w:ilvl w:val="0"/>
          <w:numId w:val="1006"/>
        </w:numPr>
        <w:pStyle w:val="Compact"/>
      </w:pPr>
      <w:r>
        <w:t xml:space="preserve">Fischer SN, Claussen ER, Kourtis S, Sdelci S, Orchard S, Hermjakob H, et al. hu.MAP3.0: atlas of human protein complexes by integration of &gt;25,000 proteomic experiments. Molecular Systems Biology. 2025;21(7):911-943. doi:10.1038/s44320-025-00121-5</w:t>
      </w:r>
    </w:p>
    <w:p>
      <w:pPr>
        <w:numPr>
          <w:ilvl w:val="0"/>
          <w:numId w:val="1006"/>
        </w:numPr>
        <w:pStyle w:val="Compact"/>
      </w:pPr>
      <w:r>
        <w:t xml:space="preserve">Cho NH, Cheveralls KC, Brunner AD, Kim K, Michaelis AC, Raghavan P, et al. OpenCell: Endogenous tagging for the cartography of human cellular organization. Science. 2022;375(6585):eabi6983. doi:10.1126/science.abi6983</w:t>
      </w:r>
    </w:p>
    <w:p>
      <w:pPr>
        <w:numPr>
          <w:ilvl w:val="0"/>
          <w:numId w:val="1006"/>
        </w:numPr>
        <w:pStyle w:val="Compact"/>
      </w:pPr>
      <w:r>
        <w:t xml:space="preserve">Burke DF, Bryant P, Barrio-Hernandez I, Memon D, Pozzati G, Shenoy A, et al. Towards a structurally resolved human protein interaction network. Nature Structural &amp; Molecular Biology. 2023;30(2):216-225. doi:10.1038/s41594-022-00910-8</w:t>
      </w:r>
    </w:p>
    <w:p>
      <w:pPr>
        <w:numPr>
          <w:ilvl w:val="0"/>
          <w:numId w:val="1006"/>
        </w:numPr>
        <w:pStyle w:val="Compact"/>
      </w:pPr>
      <w:r>
        <w:t xml:space="preserve">Schmid EW, Walter JC. Predictomes, a classifier-curated database of AlphaFold-modeled protein-protein interactions. Molecular Cell. 2025;85(6):1216-1232.e5. doi:10.1016/j.molcel.2025.01.034</w:t>
      </w:r>
    </w:p>
    <w:p>
      <w:pPr>
        <w:numPr>
          <w:ilvl w:val="0"/>
          <w:numId w:val="1006"/>
        </w:numPr>
        <w:pStyle w:val="Compact"/>
      </w:pPr>
      <w:r>
        <w:t xml:space="preserve">Feuermann M, Mi H, Gaudet P, Muruganujan A, Lewis SE, Ebert D, et al. A compendium of human gene functions derived from evolutionary modelling. Nature. 2025;640(8057):146-154. doi:10.1038/s41586-025-08592-0</w:t>
      </w:r>
    </w:p>
    <w:p>
      <w:pPr>
        <w:numPr>
          <w:ilvl w:val="0"/>
          <w:numId w:val="1006"/>
        </w:numPr>
        <w:pStyle w:val="Compact"/>
      </w:pPr>
      <w:r>
        <w:t xml:space="preserve">Zhou N, Jiang Y, Bergquist TR, Lee AJ, Kacsoh BZ, Crocker AW, et al. The CAFA challenge reports improved protein function prediction and new functional annotations for hundreds of genes through experimental screens. Genome Biology. 2019;20(1):244. doi:10.1186/s13059-019-1835-8</w:t>
      </w:r>
    </w:p>
    <w:p>
      <w:pPr>
        <w:numPr>
          <w:ilvl w:val="0"/>
          <w:numId w:val="1006"/>
        </w:numPr>
        <w:pStyle w:val="Compact"/>
      </w:pPr>
      <w:r>
        <w:t xml:space="preserve">Simmons JP, Nelson LD, Simonsohn U. False-Positive Psychology. Psychological Science. 2011;22(11):1359-1366. doi:10.1177/0956797611417632</w:t>
      </w:r>
    </w:p>
    <w:p>
      <w:pPr>
        <w:numPr>
          <w:ilvl w:val="0"/>
          <w:numId w:val="1006"/>
        </w:numPr>
        <w:pStyle w:val="Compact"/>
      </w:pPr>
      <w:r>
        <w:t xml:space="preserve">Nosek BA, Ebersole CR, DeHaven AC, Mellor DT. The preregistration revolution. Proceedings of the National Academy of Sciences. 2018;115(11):2600-2606. doi:10.1073/pnas.1708274114</w:t>
      </w:r>
    </w:p>
    <w:p>
      <w:pPr>
        <w:numPr>
          <w:ilvl w:val="0"/>
          <w:numId w:val="1006"/>
        </w:numPr>
        <w:pStyle w:val="Compact"/>
      </w:pPr>
      <w:r>
        <w:t xml:space="preserve">Kim CY, Baek S, Cha J, Yang S, Kim E, Marcotte EM, et al. HumanNet v3: an improved database of human gene networks for disease research. Nucleic Acids Research. 2022;50(D1):D632-D639. doi:10.1093/nar/gkab1048</w:t>
      </w:r>
    </w:p>
    <w:p>
      <w:pPr>
        <w:numPr>
          <w:ilvl w:val="0"/>
          <w:numId w:val="1006"/>
        </w:numPr>
        <w:pStyle w:val="Compact"/>
      </w:pPr>
      <w:r>
        <w:t xml:space="preserve">Gillis J, Pavlidis P. The Impact of Multifunctional Genes on</w:t>
      </w:r>
      <w:r>
        <w:t xml:space="preserve"> </w:t>
      </w:r>
      <w:r>
        <w:t xml:space="preserve">“</w:t>
      </w:r>
      <w:r>
        <w:t xml:space="preserve">Guilt by Association</w:t>
      </w:r>
      <w:r>
        <w:t xml:space="preserve">”</w:t>
      </w:r>
      <w:r>
        <w:t xml:space="preserve"> </w:t>
      </w:r>
      <w:r>
        <w:t xml:space="preserve">Analysis. PLoS ONE. 2011;6(2):e17258. doi:10.1371/journal.pone.0017258</w:t>
      </w:r>
    </w:p>
    <w:p>
      <w:pPr>
        <w:numPr>
          <w:ilvl w:val="0"/>
          <w:numId w:val="1006"/>
        </w:numPr>
        <w:pStyle w:val="Compact"/>
      </w:pPr>
      <w:r>
        <w:t xml:space="preserve">Gillis J, Pavlidis P.</w:t>
      </w:r>
      <w:r>
        <w:t xml:space="preserve"> </w:t>
      </w:r>
      <w:r>
        <w:t xml:space="preserve">“</w:t>
      </w:r>
      <w:r>
        <w:t xml:space="preserve">Guilt by Association</w:t>
      </w:r>
      <w:r>
        <w:t xml:space="preserve">”</w:t>
      </w:r>
      <w:r>
        <w:t xml:space="preserve"> </w:t>
      </w:r>
      <w:r>
        <w:t xml:space="preserve">Is the Exception Rather Than the Rule in Gene Networks. PLoS Computational Biology. 2012;8(3):e1002444. doi:10.1371/journal.pcbi.1002444</w:t>
      </w:r>
    </w:p>
    <w:p>
      <w:pPr>
        <w:numPr>
          <w:ilvl w:val="0"/>
          <w:numId w:val="1006"/>
        </w:numPr>
        <w:pStyle w:val="Compact"/>
      </w:pPr>
      <w:r>
        <w:t xml:space="preserve">Rahman M, Billmann M, Costanzo M, Aregger M, Tong AHY, Chan K, et al. A method for benchmarking genetic screens reveals a predominant mitochondrial bias. Molecular Systems Biology. 2021;17(5):MSB202010013. doi:10.15252/msb.202010013</w:t>
      </w:r>
    </w:p>
    <w:p>
      <w:pPr>
        <w:numPr>
          <w:ilvl w:val="0"/>
          <w:numId w:val="1006"/>
        </w:numPr>
        <w:pStyle w:val="Compact"/>
      </w:pPr>
      <w:r>
        <w:t xml:space="preserve">Radivojac P, Clark WT, Oron TR, Schnoes AM, Wittkop T, Sokolov A, et al. A large-scale evaluation of computational protein function prediction. Nature Methods. 2013;10(3):221-227. doi:10.1038/nmeth.2340</w:t>
      </w:r>
    </w:p>
    <w:p>
      <w:pPr>
        <w:numPr>
          <w:ilvl w:val="0"/>
          <w:numId w:val="1006"/>
        </w:numPr>
        <w:pStyle w:val="Compact"/>
      </w:pPr>
      <w:r>
        <w:t xml:space="preserve">Jiang Y, Oron TR, Clark WT, Bankapur AR, D’Andrea D, Lepore R, et al. An expanded evaluation of protein function prediction methods shows an improvement in accuracy. Genome Biology. 2016;17(1):184. doi:10.1186/s13059-016-1037-6</w:t>
      </w:r>
    </w:p>
    <w:p>
      <w:pPr>
        <w:numPr>
          <w:ilvl w:val="0"/>
          <w:numId w:val="1006"/>
        </w:numPr>
        <w:pStyle w:val="Compact"/>
      </w:pPr>
      <w:r>
        <w:t xml:space="preserve">Gene Ontology Consortium. GO release archive (releases 2004-03-01 to 2026-08-05) [Internet]. release.geneontology.org; 2026. Available from: https://release.geneontology.org/. Accessed 2026-10-29.</w:t>
      </w:r>
    </w:p>
    <w:p>
      <w:pPr>
        <w:numPr>
          <w:ilvl w:val="0"/>
          <w:numId w:val="1006"/>
        </w:numPr>
        <w:pStyle w:val="Compact"/>
      </w:pPr>
      <w:r>
        <w:t xml:space="preserve">Billmann M, Costanzo M, Zhang X, Hassan AZ, Rahman M, Brown KR, et al. Global genetic interaction network of a human cell maps conserved principles and informs functional interpretation of gene co-essentiality profiles. Cell. 2026;189(12):3736-3759.e58. doi:10.1016/j.cell.2026.03.044</w:t>
      </w:r>
    </w:p>
    <w:p>
      <w:pPr>
        <w:numPr>
          <w:ilvl w:val="0"/>
          <w:numId w:val="1006"/>
        </w:numPr>
        <w:pStyle w:val="Compact"/>
      </w:pPr>
      <w:r>
        <w:t xml:space="preserve">Dede M, McLaughlin M, Kim E, Hart T. Multiplex enCas12a screens detect functional buffering among paralogs otherwise masked in monogenic Cas9 knockout screens. Genome Biology. 2020;21(1):262. doi:10.1186/s13059-020-02173-2</w:t>
      </w:r>
    </w:p>
    <w:p>
      <w:pPr>
        <w:numPr>
          <w:ilvl w:val="0"/>
          <w:numId w:val="1006"/>
        </w:numPr>
        <w:pStyle w:val="Compact"/>
      </w:pPr>
      <w:r>
        <w:t xml:space="preserve">De Kegel B, Ryan CJ. Paralog buffering contributes to the variable essentiality of genes in cancer cell lines. PLOS Genetics. 2019;15(10):e1008466. doi:10.1371/journal.pgen.1008466</w:t>
      </w:r>
    </w:p>
    <w:p>
      <w:pPr>
        <w:numPr>
          <w:ilvl w:val="0"/>
          <w:numId w:val="1006"/>
        </w:numPr>
        <w:pStyle w:val="Compact"/>
      </w:pPr>
      <w:r>
        <w:t xml:space="preserve">Lazar NH, Celik S, Chen L, Fay MM, Irish JC, Jensen J, et al. High-resolution genome-wide mapping of chromosome-arm-scale truncations induced by CRISPR–Cas9 editing. Nature Genetics. 2024;56(7):1482-1493. doi:10.1038/s41588-024-01758-y</w:t>
      </w:r>
    </w:p>
    <w:p>
      <w:pPr>
        <w:numPr>
          <w:ilvl w:val="0"/>
          <w:numId w:val="1006"/>
        </w:numPr>
        <w:pStyle w:val="Compact"/>
      </w:pPr>
      <w:r>
        <w:t xml:space="preserve">McFarland JM, Ho ZV, Kugener G, Dempster JM, Montgomery PG, Bryan JG, et al. Improved estimation of cancer dependencies from large-scale RNAi screens using model-based normalization and data integration. Nature Communications. 2018;9(1):4610. doi:10.1038/s41467-018-06916-5</w:t>
      </w:r>
    </w:p>
    <w:p>
      <w:pPr>
        <w:numPr>
          <w:ilvl w:val="0"/>
          <w:numId w:val="1006"/>
        </w:numPr>
        <w:pStyle w:val="Compact"/>
      </w:pPr>
      <w:r>
        <w:t xml:space="preserve">Amici DR, Jackson JM, Truica MI, Smith RS, Abdulkadir SA, Mendillo ML. FIREWORKS: a bottom-up approach to integrative coessentiality network analysis. Life Science Alliance. 2021;4(2):e202000882. doi:10.26508/lsa.202000882</w:t>
      </w:r>
    </w:p>
    <w:p>
      <w:pPr>
        <w:numPr>
          <w:ilvl w:val="0"/>
          <w:numId w:val="1006"/>
        </w:numPr>
        <w:pStyle w:val="Compact"/>
      </w:pPr>
      <w:r>
        <w:t xml:space="preserve">Golden RJ, Chen B, Li T, Braun J, Manjunath H, Chen X, et al. An Argonaute phosphorylation cycle promotes microRNA-mediated silencing. Nature. 2017;542(7640):197-202. doi:10.1038/nature21025</w:t>
      </w:r>
    </w:p>
    <w:p>
      <w:pPr>
        <w:numPr>
          <w:ilvl w:val="0"/>
          <w:numId w:val="1006"/>
        </w:numPr>
        <w:pStyle w:val="Compact"/>
      </w:pPr>
      <w:r>
        <w:t xml:space="preserve">Shui B, Beyett TS, Chen Z, Li X, La Rocca G, Gazlay WM, et al. Oncogenic K-Ras suppresses global miRNA function. Molecular Cell. 2023;83(14):2509-2523.e13. doi:10.1016/j.molcel.2023.06.008</w:t>
      </w:r>
    </w:p>
    <w:p>
      <w:pPr>
        <w:numPr>
          <w:ilvl w:val="0"/>
          <w:numId w:val="1006"/>
        </w:numPr>
        <w:pStyle w:val="Compact"/>
      </w:pPr>
      <w:r>
        <w:t xml:space="preserve">Alpsoy A, Dykhuizen EC. Glioma tumor suppressor candidate region gene 1 (GLTSCR1) and its paralog GLTSCR1-like form SWI/SNF chromatin remodeling subcomplexes. Journal of Biological Chemistry. 2018;293(11):3892-3903. doi:10.1074/jbc.ra117.001065</w:t>
      </w:r>
    </w:p>
    <w:p>
      <w:pPr>
        <w:numPr>
          <w:ilvl w:val="0"/>
          <w:numId w:val="1006"/>
        </w:numPr>
        <w:pStyle w:val="Compact"/>
      </w:pPr>
      <w:r>
        <w:t xml:space="preserve">Talkish J, Campbell IW, Sahasranaman A, Jakovljevic J, Woolford JL. Ribosome Assembly Factors Pwp1 and Nop12 Are Important for Folding of 5.8S rRNA during Ribosome Biogenesis in Saccharomyces cerevisiae. Molecular and Cellular Biology. 2014;34(10):1863-1877. doi:10.1128/mcb.01322-13</w:t>
      </w:r>
    </w:p>
    <w:p>
      <w:pPr>
        <w:numPr>
          <w:ilvl w:val="0"/>
          <w:numId w:val="1006"/>
        </w:numPr>
        <w:pStyle w:val="Compact"/>
      </w:pPr>
      <w:r>
        <w:t xml:space="preserve">Bournonville L, Laporte MH, Borgers S, Guichard P, Hamel V. The A-C linker controls centriole structural integrity and duplication. Nature Communications. 2025;16(1):6836. doi:10.1038/s41467-025-62154-6</w:t>
      </w:r>
    </w:p>
    <w:p>
      <w:pPr>
        <w:numPr>
          <w:ilvl w:val="0"/>
          <w:numId w:val="1006"/>
        </w:numPr>
        <w:pStyle w:val="Compact"/>
      </w:pPr>
      <w:r>
        <w:t xml:space="preserve">Lambrus BG, Daggubati V, Uetake Y, Scott PM, Clutario KM, Sluder G, et al. A USP28–53BP1–p53–p21 signaling axis arrests growth after centrosome loss or prolonged mitosis. Journal of Cell Biology. 2016;214(2):143-153. doi:10.1083/jcb.201604054</w:t>
      </w:r>
    </w:p>
    <w:p>
      <w:pPr>
        <w:numPr>
          <w:ilvl w:val="0"/>
          <w:numId w:val="1006"/>
        </w:numPr>
        <w:pStyle w:val="Compact"/>
      </w:pPr>
      <w:r>
        <w:t xml:space="preserve">Škunca N, Altenhoff A, Dessimoz C. Quality of Computationally Inferred Gene Ontology Annotations. PLoS Computational Biology. 2012;8(5):e1002533. doi:10.1371/journal.pcbi.1002533</w:t>
      </w:r>
    </w:p>
    <w:p>
      <w:pPr>
        <w:numPr>
          <w:ilvl w:val="0"/>
          <w:numId w:val="1006"/>
        </w:numPr>
        <w:pStyle w:val="Compact"/>
      </w:pPr>
      <w:r>
        <w:t xml:space="preserve">Chen X, Li Y, Zhu F, Xu X, Estrella B, Pazos MA, et al. Context-defined cancer co-dependency mapping identifies a functional interplay between PRC2 and MLL-MEN1 complex in lymphoma. Nature Communications. 2023;14(1):4259. doi:10.1038/s41467-023-39990-5</w:t>
      </w:r>
    </w:p>
    <w:p>
      <w:pPr>
        <w:numPr>
          <w:ilvl w:val="0"/>
          <w:numId w:val="1006"/>
        </w:numPr>
        <w:pStyle w:val="Compact"/>
      </w:pPr>
      <w:r>
        <w:t xml:space="preserve">Broad Institute. DepMap Public 26Q3 (CRISPRGeneEffect and companion files) [Internet]. DepMap portal (web resource); 2026. Available from: https://depmap.org/portal/. Accessed 2026-10-30.</w:t>
      </w:r>
    </w:p>
    <w:p>
      <w:pPr>
        <w:numPr>
          <w:ilvl w:val="0"/>
          <w:numId w:val="1006"/>
        </w:numPr>
        <w:pStyle w:val="Compact"/>
      </w:pPr>
      <w:r>
        <w:t xml:space="preserve">Seal RL, Braschi B, Gray K, Jones TEM, Tweedie S, Haim-Vilmovsky L, et al. Genenames.org: the HGNC resources in 2023. Nucleic Acids Research. 2023;51(D1):D1003-D1009. doi:10.1093/nar/gkac888</w:t>
      </w:r>
    </w:p>
    <w:p>
      <w:pPr>
        <w:numPr>
          <w:ilvl w:val="0"/>
          <w:numId w:val="1006"/>
        </w:numPr>
        <w:pStyle w:val="Compact"/>
      </w:pPr>
      <w:r>
        <w:t xml:space="preserve">NCBI. gene2pubmed (NCBI Gene to PubMed links) [Internet]. NCBI FTP; 2026. Available from: https://ftp.ncbi.nlm.nih.gov/gene/DATA/gene2pubmed.gz. Accessed 2026-10-29.</w:t>
      </w:r>
    </w:p>
    <w:p>
      <w:pPr>
        <w:numPr>
          <w:ilvl w:val="0"/>
          <w:numId w:val="1006"/>
        </w:numPr>
        <w:pStyle w:val="Compact"/>
      </w:pPr>
      <w:r>
        <w:t xml:space="preserve">Dyer SC, Austine-Orimoloye O, Azov AG, Barba M, Barnes I, Barrera-Enriquez VP, et al. Ensembl 2025. Nucleic Acids Research. 2025;53(D1):D948-D957. doi:10.1093/nar/gkae1071</w:t>
      </w:r>
    </w:p>
    <w:p>
      <w:pPr>
        <w:numPr>
          <w:ilvl w:val="0"/>
          <w:numId w:val="1006"/>
        </w:numPr>
        <w:pStyle w:val="Compact"/>
      </w:pPr>
      <w:r>
        <w:t xml:space="preserve">Huttlin EL, Bruckner RJ, Navarrete-Perea J, Cannon JR, Baltier K, Gebreab F, et al. Dual proteome-scale networks reveal cell-specific remodeling of the human interactome. Cell. 2021;184(11):3022-3040.e28. doi:10.1016/j.cell.2021.04.011</w:t>
      </w:r>
    </w:p>
    <w:p>
      <w:pPr>
        <w:numPr>
          <w:ilvl w:val="0"/>
          <w:numId w:val="1006"/>
        </w:numPr>
        <w:pStyle w:val="Compact"/>
      </w:pPr>
      <w:r>
        <w:t xml:space="preserve">Oughtred R, Rust J, Chang C, Breitkreutz B, Stark C, Willems A, et al. The BioGRID database: A comprehensive biomedical resource of curated protein, genetic, and chemical interactions. Protein Science. 2021;30(1):187-200. doi:10.1002/pro.3978</w:t>
      </w:r>
    </w:p>
    <w:p>
      <w:pPr>
        <w:numPr>
          <w:ilvl w:val="0"/>
          <w:numId w:val="1006"/>
        </w:numPr>
        <w:pStyle w:val="Compact"/>
      </w:pPr>
      <w:r>
        <w:t xml:space="preserve">Szklarczyk D, Nastou K, Koutrouli M, Kirsch R, Mehryary F, Hachilif R, et al. The STRING database in 2025: protein networks with directionality of regulation. Nucleic Acids Research. 2025;53(D1):D730-D737. doi:10.1093/nar/gkae1113</w:t>
      </w:r>
    </w:p>
    <w:p>
      <w:pPr>
        <w:numPr>
          <w:ilvl w:val="0"/>
          <w:numId w:val="1006"/>
        </w:numPr>
        <w:pStyle w:val="Compact"/>
      </w:pPr>
      <w:r>
        <w:t xml:space="preserve">Go CD, Knight JDR, Rajasekharan A, Rathod B, Hesketh GG, Abe KT, et al. A proximity-dependent biotinylation map of a human cell. Nature. 2021;595(7865):120-124. doi:10.1038/s41586-021-03592-2</w:t>
      </w:r>
    </w:p>
    <w:p>
      <w:pPr>
        <w:numPr>
          <w:ilvl w:val="0"/>
          <w:numId w:val="1006"/>
        </w:numPr>
        <w:pStyle w:val="Compact"/>
      </w:pPr>
      <w:r>
        <w:t xml:space="preserve">Kustatscher G, Grabowski P, Schrader TA, Passmore JB, Schrader M, Rappsilber J. Co-regulation map of the human proteome enables identification of protein functions. Nature Biotechnology. 2019;37(11):1361-1371. doi:10.1038/s41587-019-0298-5</w:t>
      </w:r>
    </w:p>
    <w:p>
      <w:pPr>
        <w:numPr>
          <w:ilvl w:val="0"/>
          <w:numId w:val="1006"/>
        </w:numPr>
        <w:pStyle w:val="Compact"/>
      </w:pPr>
      <w:r>
        <w:t xml:space="preserve">Nusinow DP, Szpyt J, Ghandi M, Rose CM, McDonald ER, Kalocsay M, et al. Quantitative Proteomics of the Cancer Cell Line Encyclopedia. Cell. 2020;180(2):387-402.e16. doi:10.1016/j.cell.2019.12.023</w:t>
      </w:r>
    </w:p>
    <w:p>
      <w:pPr>
        <w:numPr>
          <w:ilvl w:val="0"/>
          <w:numId w:val="1006"/>
        </w:numPr>
        <w:pStyle w:val="Compact"/>
      </w:pPr>
      <w:r>
        <w:t xml:space="preserve">Olivieri M, Cho T, Álvarez-Quilón A, Li K, Schellenberg MJ, Zimmermann M, et al. A Genetic Map of the Response to DNA Damage in Human Cells. Cell. 2020;182(2):481-496.e21. doi:10.1016/j.cell.2020.05.040</w:t>
      </w:r>
    </w:p>
    <w:p>
      <w:pPr>
        <w:numPr>
          <w:ilvl w:val="0"/>
          <w:numId w:val="1006"/>
        </w:numPr>
        <w:pStyle w:val="Compact"/>
      </w:pPr>
      <w:r>
        <w:t xml:space="preserve">Thul PJ, Åkesson L, Wiking M, Mahdessian D, Geladaki A, Ait Blal H, et al. A subcellular map of the human proteome. Science. 2017;356(6340):eaal3321. doi:10.1126/science.aal3321</w:t>
      </w:r>
    </w:p>
    <w:p>
      <w:pPr>
        <w:numPr>
          <w:ilvl w:val="0"/>
          <w:numId w:val="1006"/>
        </w:numPr>
        <w:pStyle w:val="Compact"/>
      </w:pPr>
      <w:r>
        <w:t xml:space="preserve">Rath S, Sharma R, Gupta R, Ast T, Chan C, Durham TJ, et al. MitoCarta3.0: an updated mitochondrial proteome now with sub-organelle localization and pathway annotations. Nucleic Acids Research. 2021;49(D1):D1541-D1547. doi:10.1093/nar/gkaa1011</w:t>
      </w:r>
    </w:p>
    <w:p>
      <w:pPr>
        <w:numPr>
          <w:ilvl w:val="0"/>
          <w:numId w:val="1006"/>
        </w:numPr>
        <w:pStyle w:val="Compact"/>
      </w:pPr>
      <w:r>
        <w:t xml:space="preserve">Meldal BHM, Perfetto L, Combe C, Lubiana T, Ferreira Cavalcante JV, Bye-A-Jee H, et al. Complex Portal 2022: new curation frontiers. Nucleic Acids Research. 2022;50(D1):D578-D586. doi:10.1093/nar/gkab991</w:t>
      </w:r>
    </w:p>
    <w:p>
      <w:pPr>
        <w:numPr>
          <w:ilvl w:val="0"/>
          <w:numId w:val="1006"/>
        </w:numPr>
        <w:pStyle w:val="Compact"/>
      </w:pPr>
      <w:r>
        <w:t xml:space="preserve">Belkin M, Niyogi P. Laplacian Eigenmaps for Dimensionality Reduction and Data Representation. Neural Computation. 2003;15(6):1373-1396. doi:10.1162/089976603321780317</w:t>
      </w:r>
    </w:p>
    <w:p>
      <w:pPr>
        <w:numPr>
          <w:ilvl w:val="0"/>
          <w:numId w:val="1006"/>
        </w:numPr>
        <w:pStyle w:val="Compact"/>
      </w:pPr>
      <w:r>
        <w:t xml:space="preserve">Gene Ontology Consortium. Guide to GO evidence codes [Internet]. geneontology.org; 2026. Available from: https://geneontology.org/docs/guide-go-evidence-codes/. Accessed 2026-10-29.</w:t>
      </w:r>
    </w:p>
    <w:p>
      <w:pPr>
        <w:numPr>
          <w:ilvl w:val="0"/>
          <w:numId w:val="1006"/>
        </w:numPr>
        <w:pStyle w:val="Compact"/>
      </w:pPr>
      <w:r>
        <w:t xml:space="preserve">Wilson EB. Probable Inference, the Law of Succession, and Statistical Inference. Journal of the American Statistical Association. 1927;22(158):209-212. doi:10.1080/01621459.1927.10502953</w:t>
      </w:r>
    </w:p>
    <w:p>
      <w:pPr>
        <w:numPr>
          <w:ilvl w:val="0"/>
          <w:numId w:val="1006"/>
        </w:numPr>
        <w:pStyle w:val="Compact"/>
      </w:pPr>
      <w:r>
        <w:t xml:space="preserve">Webber W, Moffat A, Zobel J. A similarity measure for indefinite rankings. ACM Transactions on Information Systems. 2010;28(4):1-38. doi:10.1145/1852102.1852106</w:t>
      </w:r>
    </w:p>
    <w:p>
      <w:pPr>
        <w:numPr>
          <w:ilvl w:val="0"/>
          <w:numId w:val="1006"/>
        </w:numPr>
        <w:pStyle w:val="Compact"/>
      </w:pPr>
      <w:r>
        <w:t xml:space="preserve">Rubin DB. Bias Reduction Using Mahalanobis-Metric Matching. Biometrics. 1980;36(2):293. doi:10.2307/2529981</w:t>
      </w:r>
    </w:p>
    <w:p>
      <w:pPr>
        <w:numPr>
          <w:ilvl w:val="0"/>
          <w:numId w:val="1006"/>
        </w:numPr>
        <w:pStyle w:val="Compact"/>
      </w:pPr>
      <w:r>
        <w:t xml:space="preserve">Stuart EA. Matching Methods for Causal Inference: A Review and a Look Forward. Statistical Science. 2010;25(1):1-21. doi:10.1214/09-sts313</w:t>
      </w:r>
    </w:p>
    <w:p>
      <w:pPr>
        <w:numPr>
          <w:ilvl w:val="0"/>
          <w:numId w:val="1006"/>
        </w:numPr>
        <w:pStyle w:val="Compact"/>
      </w:pPr>
      <w:r>
        <w:t xml:space="preserve">Berger RL. Multiparameter Hypothesis Testing and Acceptance Sampling. Technometrics. 1982;24(4):295-300. doi:10.1080/00401706.1982.10487790</w:t>
      </w:r>
    </w:p>
    <w:p>
      <w:pPr>
        <w:numPr>
          <w:ilvl w:val="0"/>
          <w:numId w:val="1006"/>
        </w:numPr>
        <w:pStyle w:val="Compact"/>
      </w:pPr>
      <w:r>
        <w:t xml:space="preserve">Berger RL, Hsu JC. Bioequivalence trials, intersection-union tests and equivalence confidence sets. Statistical Science. 1996;11(4):283-319. doi:10.1214/ss/1032280304</w:t>
      </w:r>
    </w:p>
    <w:p>
      <w:pPr>
        <w:numPr>
          <w:ilvl w:val="0"/>
          <w:numId w:val="1006"/>
        </w:numPr>
        <w:pStyle w:val="Compact"/>
      </w:pPr>
      <w:r>
        <w:t xml:space="preserve">Field CA, Welsh AH. Bootstrapping Clustered Data. Journal of the Royal Statistical Society Series B: Statistical Methodology. 2007;69(3):369-390. doi:10.1111/j.1467-9868.2007.00593.x</w:t>
      </w:r>
    </w:p>
    <w:p>
      <w:pPr>
        <w:numPr>
          <w:ilvl w:val="0"/>
          <w:numId w:val="1006"/>
        </w:numPr>
        <w:pStyle w:val="Compact"/>
      </w:pPr>
      <w:r>
        <w:t xml:space="preserve">Efron B. Better Bootstrap Confidence Intervals. Journal of the American Statistical Association. 1987;82(397):171-185. doi:10.1080/01621459.1987.10478410</w:t>
      </w:r>
    </w:p>
    <w:p>
      <w:pPr>
        <w:numPr>
          <w:ilvl w:val="0"/>
          <w:numId w:val="1006"/>
        </w:numPr>
        <w:pStyle w:val="Compact"/>
      </w:pPr>
      <w:r>
        <w:t xml:space="preserve">Chernozhukov V, Chetverikov D, Demirer M, Duflo E, Hansen C, Newey W, et al. Double/debiased machine learning for treatment and structural parameters. The Econometrics Journal. 2018;21(1):C1-C68. doi:10.1111/ectj.12097</w:t>
      </w:r>
    </w:p>
    <w:p>
      <w:pPr>
        <w:numPr>
          <w:ilvl w:val="0"/>
          <w:numId w:val="1006"/>
        </w:numPr>
        <w:pStyle w:val="Compact"/>
      </w:pPr>
      <w:r>
        <w:t xml:space="preserve">Brier GW. Verification of forecasts expressed in terms of probability. Monthly Weather Review. 1950;78(1):1-3. doi:10.1175/1520-0493(1950)078&lt;0001:vofeit&gt;2.0.co;2</w:t>
      </w:r>
    </w:p>
    <w:p>
      <w:pPr>
        <w:numPr>
          <w:ilvl w:val="0"/>
          <w:numId w:val="1006"/>
        </w:numPr>
        <w:pStyle w:val="Compact"/>
      </w:pPr>
      <w:r>
        <w:t xml:space="preserve">Cox DR. Two further applications of a model for binary regression. Biometrika. 1958;45(3-4):562-565. doi:10.1093/biomet/45.3-4.562</w:t>
      </w:r>
    </w:p>
    <w:p>
      <w:pPr>
        <w:numPr>
          <w:ilvl w:val="0"/>
          <w:numId w:val="1006"/>
        </w:numPr>
        <w:pStyle w:val="Compact"/>
      </w:pPr>
      <w:r>
        <w:t xml:space="preserve">Van Calster B, McLernon DJ, van Smeden M, Wynants L, Steyerberg EW. Calibration: the Achilles heel of predictive analytics. BMC Medicine. 2019;17(1):230. doi:10.1186/s12916-019-1466-7</w:t>
      </w:r>
    </w:p>
    <w:p>
      <w:pPr>
        <w:numPr>
          <w:ilvl w:val="0"/>
          <w:numId w:val="1006"/>
        </w:numPr>
        <w:pStyle w:val="Compact"/>
      </w:pPr>
      <w:r>
        <w:t xml:space="preserve">Benjamini Y, Hochberg Y. Controlling the False Discovery Rate: A Practical and Powerful Approach to Multiple Testing. Journal of the Royal Statistical Society Series B: Statistical Methodology. 1995;57(1):289-300. doi:10.1111/j.2517-6161.1995.tb02031.x</w:t>
      </w:r>
    </w:p>
    <w:p>
      <w:pPr>
        <w:numPr>
          <w:ilvl w:val="0"/>
          <w:numId w:val="1006"/>
        </w:numPr>
        <w:pStyle w:val="Compact"/>
      </w:pPr>
      <w:r>
        <w:t xml:space="preserve">Simes RJ. An improved Bonferroni procedure for multiple tests of significance. Biometrika. 1986;73(3):751-754. doi:10.1093/biomet/73.3.751</w:t>
      </w:r>
    </w:p>
    <w:p>
      <w:pPr>
        <w:numPr>
          <w:ilvl w:val="0"/>
          <w:numId w:val="1006"/>
        </w:numPr>
        <w:pStyle w:val="Compact"/>
      </w:pPr>
      <w:r>
        <w:t xml:space="preserve">Holm S. A simple sequentially rejective multiple test procedure. Scandinavian Journal of Statistics. 1979;6(2):65-70. Available from: https://www.jstor.org/stable/4615733</w:t>
      </w:r>
    </w:p>
    <w:p>
      <w:pPr>
        <w:numPr>
          <w:ilvl w:val="0"/>
          <w:numId w:val="1006"/>
        </w:numPr>
        <w:pStyle w:val="Compact"/>
      </w:pPr>
      <w:r>
        <w:t xml:space="preserve">Aickin M, Gensler H. Adjusting for multiple testing when reporting research results: the Bonferroni vs Holm methods. American Journal of Public Health. 1996;86(5):726-728. doi:10.2105/ajph.86.5.726</w:t>
      </w:r>
    </w:p>
    <w:p>
      <w:pPr>
        <w:numPr>
          <w:ilvl w:val="0"/>
          <w:numId w:val="1006"/>
        </w:numPr>
        <w:pStyle w:val="Compact"/>
      </w:pPr>
      <w:r>
        <w:t xml:space="preserve">Cohen J. A Coefficient of Agreement for Nominal Scales. Educational and Psychological Measurement. 1960;20(1):37-46. doi:10.1177/001316446002000104</w:t>
      </w:r>
    </w:p>
    <w:bookmarkEnd w:id="58"/>
    <w:bookmarkStart w:id="68" w:name="figure-legends"/>
    <w:p>
      <w:pPr>
        <w:pStyle w:val="Heading1"/>
      </w:pPr>
      <w:r>
        <w:t xml:space="preserve">Figure legends</w:t>
      </w:r>
    </w:p>
    <w:p>
      <w:pPr>
        <w:pStyle w:val="FirstParagraph"/>
      </w:pPr>
      <w:r>
        <w:drawing>
          <wp:inline>
            <wp:extent cx="5334000" cy="3843114"/>
            <wp:effectExtent b="0" l="0" r="0" t="0"/>
            <wp:docPr descr="" title="" id="1" name="Picture"/>
            <a:graphic>
              <a:graphicData uri="http://schemas.openxmlformats.org/drawingml/2006/picture">
                <pic:pic>
                  <pic:nvPicPr>
                    <pic:cNvPr descr="figures/Fig1.png" id="0" name="Picture"/>
                    <pic:cNvPicPr>
                      <a:picLocks noChangeArrowheads="1" noChangeAspect="1"/>
                    </pic:cNvPicPr>
                  </pic:nvPicPr>
                  <pic:blipFill>
                    <a:blip r:embed="rId59"/>
                    <a:stretch>
                      <a:fillRect/>
                    </a:stretch>
                  </pic:blipFill>
                  <pic:spPr bwMode="auto">
                    <a:xfrm>
                      <a:off x="0" y="0"/>
                      <a:ext cx="5334000" cy="3843114"/>
                    </a:xfrm>
                    <a:prstGeom prst="rect">
                      <a:avLst/>
                    </a:prstGeom>
                    <a:noFill/>
                    <a:ln w="9525">
                      <a:noFill/>
                      <a:headEnd/>
                      <a:tailEnd/>
                    </a:ln>
                  </pic:spPr>
                </pic:pic>
              </a:graphicData>
            </a:graphic>
          </wp:inline>
        </w:drawing>
      </w:r>
    </w:p>
    <w:p>
      <w:pPr>
        <w:pStyle w:val="BodyText"/>
      </w:pPr>
      <w:r>
        <w:rPr>
          <w:bCs/>
          <w:b/>
        </w:rPr>
        <w:t xml:space="preserve">Fig 1. Study design, census of the pre-registered genes and curation lag.</w:t>
      </w:r>
      <w:r>
        <w:t xml:space="preserve"> </w:t>
      </w:r>
      <w:r>
        <w:t xml:space="preserve">(A) Workflow. The list of uncharacterised</w:t>
      </w:r>
      <w:r>
        <w:t xml:space="preserve"> </w:t>
      </w:r>
      <w:r>
        <w:t xml:space="preserve">genes (U) and the analysis design were frozen before any gene–gene DepMap quantity was computed (blue, C1); the tool was</w:t>
      </w:r>
      <w:r>
        <w:t xml:space="preserve"> </w:t>
      </w:r>
      <w:r>
        <w:t xml:space="preserve">verified and the ranker chosen on characterised leave-one-out (LOO) genes (grey); accuracy and calibration were tested</w:t>
      </w:r>
      <w:r>
        <w:t xml:space="preserve"> </w:t>
      </w:r>
      <w:r>
        <w:t xml:space="preserve">on a temporal hold-out H of genes uncharacterised at the July 2018 GO release, opened once (orange, C2); the calibrated</w:t>
      </w:r>
      <w:r>
        <w:t xml:space="preserve"> </w:t>
      </w:r>
      <w:r>
        <w:t xml:space="preserve">model was then applied to U and evaluated against clean-negative, matched-gene and decoy controls (green, C3), and the</w:t>
      </w:r>
      <w:r>
        <w:t xml:space="preserve"> </w:t>
      </w:r>
      <w:r>
        <w:t xml:space="preserve">top predictions went to literature validation (C4). (B) Census of U: HGNC protein-coding genes, pre-registered genes,</w:t>
      </w:r>
      <w:r>
        <w:t xml:space="preserve"> </w:t>
      </w:r>
      <w:r>
        <w:t xml:space="preserve">genes with a DepMap 26Q3 column, scorable genes, scorable and expressed genes, and assessable genes (scorable, expressed</w:t>
      </w:r>
      <w:r>
        <w:t xml:space="preserve"> </w:t>
      </w:r>
      <w:r>
        <w:t xml:space="preserve">and split-half reproducible beyond a matched-gene null); percentages are of U. (C) Fraction of U genes assessable by</w:t>
      </w:r>
      <w:r>
        <w:t xml:space="preserve"> </w:t>
      </w:r>
      <w:r>
        <w:t xml:space="preserve">pre-registered stratum (labels give assessable/stratum size);</w:t>
      </w:r>
      <w:r>
        <w:t xml:space="preserve"> </w:t>
      </w:r>
      <w:r>
        <w:t xml:space="preserve">“</w:t>
      </w:r>
      <w:r>
        <w:t xml:space="preserve">expressed</w:t>
      </w:r>
      <w:r>
        <w:t xml:space="preserve">”</w:t>
      </w:r>
      <w:r>
        <w:t xml:space="preserve"> </w:t>
      </w:r>
      <w:r>
        <w:t xml:space="preserve">includes lineage-restricted genes; SD tertiles</w:t>
      </w:r>
      <w:r>
        <w:t xml:space="preserve"> </w:t>
      </w:r>
      <w:r>
        <w:t xml:space="preserve">and dependency classes are within U;</w:t>
      </w:r>
      <w:r>
        <w:t xml:space="preserve"> </w:t>
      </w:r>
      <w:r>
        <w:t xml:space="preserve">“</w:t>
      </w:r>
      <w:r>
        <w:t xml:space="preserve">core</w:t>
      </w:r>
      <w:r>
        <w:t xml:space="preserve">”</w:t>
      </w:r>
      <w:r>
        <w:t xml:space="preserve"> </w:t>
      </w:r>
      <w:r>
        <w:t xml:space="preserve">denotes genes with at most 3 focused PMIDs that are Tdark. (D) Curation-lag</w:t>
      </w:r>
      <w:r>
        <w:t xml:space="preserve"> </w:t>
      </w:r>
      <w:r>
        <w:t xml:space="preserve">audit of a pre-specified random sample of 50 U genes, classed by an auditor without access to co-essentiality output as</w:t>
      </w:r>
      <w:r>
        <w:t xml:space="preserve"> </w:t>
      </w:r>
      <w:r>
        <w:t xml:space="preserve">N1 (function established), N2 (partial) or N3 (none). Bars show the fraction in each class with Wilson 95% confidence</w:t>
      </w:r>
      <w:r>
        <w:t xml:space="preserve"> </w:t>
      </w:r>
      <w:r>
        <w:t xml:space="preserve">intervals; the dark part of each bar is the fraction</w:t>
      </w:r>
      <w:r>
        <w:t xml:space="preserve"> </w:t>
      </w:r>
      <w:r>
        <w:t xml:space="preserve">“</w:t>
      </w:r>
      <w:r>
        <w:t xml:space="preserve">recognised</w:t>
      </w:r>
      <w:r>
        <w:t xml:space="preserve">”</w:t>
      </w:r>
      <w:r>
        <w:t xml:space="preserve"> </w:t>
      </w:r>
      <w:r>
        <w:t xml:space="preserve">by a closed-book language-model recall probe. Source</w:t>
      </w:r>
      <w:r>
        <w:t xml:space="preserve"> </w:t>
      </w:r>
      <w:r>
        <w:t xml:space="preserve">data: manuscript/figures/source_data/Fig1b_census_funnel.tsv, Fig1c_assessable_by_stratum.tsv,</w:t>
      </w:r>
      <w:r>
        <w:t xml:space="preserve"> </w:t>
      </w:r>
      <w:r>
        <w:t xml:space="preserve">Fig1d_curation_lag_audit.tsv.</w:t>
      </w:r>
    </w:p>
    <w:p>
      <w:pPr>
        <w:pStyle w:val="BodyText"/>
      </w:pPr>
      <w:r>
        <w:drawing>
          <wp:inline>
            <wp:extent cx="5334000" cy="3777960"/>
            <wp:effectExtent b="0" l="0" r="0" t="0"/>
            <wp:docPr descr="" title="" id="1" name="Picture"/>
            <a:graphic>
              <a:graphicData uri="http://schemas.openxmlformats.org/drawingml/2006/picture">
                <pic:pic>
                  <pic:nvPicPr>
                    <pic:cNvPr descr="figures/Fig2.png" id="0" name="Picture"/>
                    <pic:cNvPicPr>
                      <a:picLocks noChangeArrowheads="1" noChangeAspect="1"/>
                    </pic:cNvPicPr>
                  </pic:nvPicPr>
                  <pic:blipFill>
                    <a:blip r:embed="rId60"/>
                    <a:stretch>
                      <a:fillRect/>
                    </a:stretch>
                  </pic:blipFill>
                  <pic:spPr bwMode="auto">
                    <a:xfrm>
                      <a:off x="0" y="0"/>
                      <a:ext cx="5334000" cy="3777960"/>
                    </a:xfrm>
                    <a:prstGeom prst="rect">
                      <a:avLst/>
                    </a:prstGeom>
                    <a:noFill/>
                    <a:ln w="9525">
                      <a:noFill/>
                      <a:headEnd/>
                      <a:tailEnd/>
                    </a:ln>
                  </pic:spPr>
                </pic:pic>
              </a:graphicData>
            </a:graphic>
          </wp:inline>
        </w:drawing>
      </w:r>
    </w:p>
    <w:p>
      <w:pPr>
        <w:pStyle w:val="BodyText"/>
      </w:pPr>
      <w:r>
        <w:rPr>
          <w:bCs/>
          <w:b/>
        </w:rPr>
        <w:t xml:space="preserve">Fig 2. Temporal hold-out: accuracy, calibration and named controls.</w:t>
      </w:r>
      <w:r>
        <w:t xml:space="preserve"> </w:t>
      </w:r>
      <w:r>
        <w:t xml:space="preserve">(A) Precision@1 (fraction of the 809 primary</w:t>
      </w:r>
      <w:r>
        <w:t xml:space="preserve"> </w:t>
      </w:r>
      <w:r>
        <w:t xml:space="preserve">hold-out genes whose top reportable GO term was later annotated with experimental evidence) with 95% cluster-bootstrap</w:t>
      </w:r>
      <w:r>
        <w:t xml:space="preserve"> </w:t>
      </w:r>
      <w:r>
        <w:t xml:space="preserve">confidence intervals (PMID-only clusters, 10,000 replicates). Above the line: pre-specified core comparisons; below:</w:t>
      </w:r>
      <w:r>
        <w:t xml:space="preserve"> </w:t>
      </w:r>
      <w:r>
        <w:t xml:space="preserve">the secondary batch (hu.MAP 3.0 interaction-partner transfer; the gene’s own t0 electronic, sequence-similarity and</w:t>
      </w:r>
      <w:r>
        <w:t xml:space="preserve"> </w:t>
      </w:r>
      <w:r>
        <w:t xml:space="preserve">phylogenetic annotations). (B) Paired differences, zavg_BEF minus comparator, with 95% cluster-bootstrap intervals. The</w:t>
      </w:r>
      <w:r>
        <w:t xml:space="preserve"> </w:t>
      </w:r>
      <w:r>
        <w:t xml:space="preserve">primary intersection–union test requires both upper comparisons (prior-only, matched-gene null) to exclude zero; GLS is</w:t>
      </w:r>
      <w:r>
        <w:t xml:space="preserve"> </w:t>
      </w:r>
      <w:r>
        <w:t xml:space="preserve">the key secondary comparison. (C) Precision@1 by quintile of the gene’s top-K mean zavg_BEF (Q1 2.7–3.7 to Q5 5.4–15.5)</w:t>
      </w:r>
      <w:r>
        <w:t xml:space="preserve"> </w:t>
      </w:r>
      <w:r>
        <w:t xml:space="preserve">for zavg_BEF, GLS and the matched-gene null, with 95%</w:t>
      </w:r>
      <w:r>
        <w:t xml:space="preserve"> </w:t>
      </w:r>
      <w:r>
        <w:t xml:space="preserve">intervals; prior-only scored 0 in every quintile. (D) Reliability</w:t>
      </w:r>
      <w:r>
        <w:t xml:space="preserve"> </w:t>
      </w:r>
      <w:r>
        <w:t xml:space="preserve">diagram of the pre-specified calibration model (out-of-fold, 10-fold cluster cross-fitting) and of a secondary model</w:t>
      </w:r>
      <w:r>
        <w:t xml:space="preserve"> </w:t>
      </w:r>
      <w:r>
        <w:t xml:space="preserve">fitted on LOO genes, in bins of at least 30 genes; observed hit@1 with Wilson 95% intervals; dashed line, perfect</w:t>
      </w:r>
      <w:r>
        <w:t xml:space="preserve"> </w:t>
      </w:r>
      <w:r>
        <w:t xml:space="preserve">calibration. (E) Named positive controls: number of GO terms gained since t0 (window 2–300 genes), split into clean</w:t>
      </w:r>
      <w:r>
        <w:t xml:space="preserve"> </w:t>
      </w:r>
      <w:r>
        <w:t xml:space="preserve">terms and terms whose supporting papers cite DepMap or co-essentiality work (excluded), with the rank of the best clean</w:t>
      </w:r>
      <w:r>
        <w:t xml:space="preserve"> </w:t>
      </w:r>
      <w:r>
        <w:t xml:space="preserve">true term among the gene’s reportable terms. Reasons for the misses of INTS15 and TMEM41B (true terms not reportable from</w:t>
      </w:r>
      <w:r>
        <w:t xml:space="preserve"> </w:t>
      </w:r>
      <w:r>
        <w:t xml:space="preserve">t0 neighbour annotations) are given in Results and S1 Text [post-review exploratory]. †, not in H (no new term in the 5–200 window); case series only. Source data:</w:t>
      </w:r>
      <w:r>
        <w:t xml:space="preserve"> </w:t>
      </w:r>
      <w:r>
        <w:t xml:space="preserve">manuscript/figures/source_data/Fig2a_precision_by_method.tsv, Fig2b_paired_differences.tsv, Fig2c_signal_quintiles.tsv,</w:t>
      </w:r>
      <w:r>
        <w:t xml:space="preserve"> </w:t>
      </w:r>
      <w:r>
        <w:t xml:space="preserve">Fig2d_reliability.tsv, Fig2e_named_controls.tsv.</w:t>
      </w:r>
    </w:p>
    <w:p>
      <w:pPr>
        <w:pStyle w:val="BodyText"/>
      </w:pPr>
      <w:r>
        <w:drawing>
          <wp:inline>
            <wp:extent cx="5334000" cy="4065093"/>
            <wp:effectExtent b="0" l="0" r="0" t="0"/>
            <wp:docPr descr="" title="" id="1" name="Picture"/>
            <a:graphic>
              <a:graphicData uri="http://schemas.openxmlformats.org/drawingml/2006/picture">
                <pic:pic>
                  <pic:nvPicPr>
                    <pic:cNvPr descr="figures/Fig3.png" id="0" name="Picture"/>
                    <pic:cNvPicPr>
                      <a:picLocks noChangeArrowheads="1" noChangeAspect="1"/>
                    </pic:cNvPicPr>
                  </pic:nvPicPr>
                  <pic:blipFill>
                    <a:blip r:embed="rId61"/>
                    <a:stretch>
                      <a:fillRect/>
                    </a:stretch>
                  </pic:blipFill>
                  <pic:spPr bwMode="auto">
                    <a:xfrm>
                      <a:off x="0" y="0"/>
                      <a:ext cx="5334000" cy="4065093"/>
                    </a:xfrm>
                    <a:prstGeom prst="rect">
                      <a:avLst/>
                    </a:prstGeom>
                    <a:noFill/>
                    <a:ln w="9525">
                      <a:noFill/>
                      <a:headEnd/>
                      <a:tailEnd/>
                    </a:ln>
                  </pic:spPr>
                </pic:pic>
              </a:graphicData>
            </a:graphic>
          </wp:inline>
        </w:drawing>
      </w:r>
    </w:p>
    <w:p>
      <w:pPr>
        <w:pStyle w:val="BodyText"/>
      </w:pPr>
      <w:r>
        <w:rPr>
          <w:bCs/>
          <w:b/>
        </w:rPr>
        <w:t xml:space="preserve">Fig 3. Calibrated catalogue for the pre-registered genes.</w:t>
      </w:r>
      <w:r>
        <w:t xml:space="preserve"> </w:t>
      </w:r>
      <w:r>
        <w:t xml:space="preserve">(A) Cumulative distribution of calibrated probability</w:t>
      </w:r>
      <w:r>
        <w:t xml:space="preserve"> </w:t>
      </w:r>
      <w:r>
        <w:t xml:space="preserve">(p_cal) for expressed, assessable genes within calibration support (n = 269), for all in-support U genes (n = 2,583) and</w:t>
      </w:r>
      <w:r>
        <w:t xml:space="preserve"> </w:t>
      </w:r>
      <w:r>
        <w:t xml:space="preserve">for in-support clean-negative genes, which are not expressed in at least 95% of lines (n = 708). The Tier B (0.3) and</w:t>
      </w:r>
      <w:r>
        <w:t xml:space="preserve"> </w:t>
      </w:r>
      <w:r>
        <w:t xml:space="preserve">Tier A (0.5) thresholds lie off scale. (B) Σp_cal, the expected number of top terms that would be confirmed if every</w:t>
      </w:r>
      <w:r>
        <w:t xml:space="preserve"> </w:t>
      </w:r>
      <w:r>
        <w:t xml:space="preserve">gene gained new experimental BP/MF annotation within about eight years (conditional; about 4.9 for the in-support genes</w:t>
      </w:r>
      <w:r>
        <w:t xml:space="preserve"> </w:t>
      </w:r>
      <w:r>
        <w:t xml:space="preserve">if the 2018 cohort’s annotation rate applies [post-review exploratory]), with percentile 95% confidence intervals from 2,000 cluster-bootstrap refits of the calibration model; the</w:t>
      </w:r>
      <w:r>
        <w:t xml:space="preserve"> </w:t>
      </w:r>
      <w:r>
        <w:t xml:space="preserve">boundary-gene value is an upper bound, and the primary top 40 is a point sum. (C) Fraction of real, matched-gene and</w:t>
      </w:r>
      <w:r>
        <w:t xml:space="preserve"> </w:t>
      </w:r>
      <w:r>
        <w:t xml:space="preserve">decoy-term predictions (247 anchors each) meeting the Tier-A orthogonal support condition (rule), the strict and any-class</w:t>
      </w:r>
      <w:r>
        <w:t xml:space="preserve"> </w:t>
      </w:r>
      <w:r>
        <w:t xml:space="preserve">variants, and support from individual classes (P, physical; A, co-abundance; L, localisation; G, Perturb-seq), with 95%</w:t>
      </w:r>
      <w:r>
        <w:t xml:space="preserve"> </w:t>
      </w:r>
      <w:r>
        <w:t xml:space="preserve">confidence intervals. (D) U genes with a reportable top term by module family, coloured by calibration support category</w:t>
      </w:r>
      <w:r>
        <w:t xml:space="preserve"> </w:t>
      </w:r>
      <w:r>
        <w:t xml:space="preserve">(p_cal within support; boundary upper bound only; no p_cal), with the number of hold-out genes per family in parentheses.</w:t>
      </w:r>
      <w:r>
        <w:t xml:space="preserve"> </w:t>
      </w:r>
      <w:r>
        <w:t xml:space="preserve">Families with fewer than 30 hold-out genes receive no p_cal. Source data: manuscript/figures/source_data/Fig3a_</w:t>
      </w:r>
      <w:r>
        <w:rPr>
          <w:iCs/>
          <w:i/>
        </w:rPr>
        <w:t xml:space="preserve">.tsv,</w:t>
      </w:r>
      <w:r>
        <w:rPr>
          <w:iCs/>
          <w:i/>
        </w:rPr>
        <w:t xml:space="preserve"> </w:t>
      </w:r>
      <w:r>
        <w:rPr>
          <w:iCs/>
          <w:i/>
        </w:rPr>
        <w:t xml:space="preserve">Fig3b_sigma_pcal.tsv, Fig3c_orthogonal_support_</w:t>
      </w:r>
      <w:r>
        <w:t xml:space="preserve">.tsv, Fig3d_family_support_category.tsv.</w:t>
      </w:r>
    </w:p>
    <w:p>
      <w:pPr>
        <w:pStyle w:val="BodyText"/>
      </w:pPr>
      <w:r>
        <w:drawing>
          <wp:inline>
            <wp:extent cx="5334000" cy="4159821"/>
            <wp:effectExtent b="0" l="0" r="0" t="0"/>
            <wp:docPr descr="" title="" id="1" name="Picture"/>
            <a:graphic>
              <a:graphicData uri="http://schemas.openxmlformats.org/drawingml/2006/picture">
                <pic:pic>
                  <pic:nvPicPr>
                    <pic:cNvPr descr="figures/Fig4.png" id="0" name="Picture"/>
                    <pic:cNvPicPr>
                      <a:picLocks noChangeArrowheads="1" noChangeAspect="1"/>
                    </pic:cNvPicPr>
                  </pic:nvPicPr>
                  <pic:blipFill>
                    <a:blip r:embed="rId62"/>
                    <a:stretch>
                      <a:fillRect/>
                    </a:stretch>
                  </pic:blipFill>
                  <pic:spPr bwMode="auto">
                    <a:xfrm>
                      <a:off x="0" y="0"/>
                      <a:ext cx="5334000" cy="4159821"/>
                    </a:xfrm>
                    <a:prstGeom prst="rect">
                      <a:avLst/>
                    </a:prstGeom>
                    <a:noFill/>
                    <a:ln w="9525">
                      <a:noFill/>
                      <a:headEnd/>
                      <a:tailEnd/>
                    </a:ln>
                  </pic:spPr>
                </pic:pic>
              </a:graphicData>
            </a:graphic>
          </wp:inline>
        </w:drawing>
      </w:r>
    </w:p>
    <w:p>
      <w:pPr>
        <w:pStyle w:val="BodyText"/>
      </w:pPr>
      <w:r>
        <w:rPr>
          <w:bCs/>
          <w:b/>
        </w:rPr>
        <w:t xml:space="preserve">Fig 4. The primary top 40.</w:t>
      </w:r>
      <w:r>
        <w:t xml:space="preserve"> </w:t>
      </w:r>
      <w:r>
        <w:t xml:space="preserve">(A) The 40 highest p_cal values among expressed, assessable, in-support U genes after</w:t>
      </w:r>
      <w:r>
        <w:t xml:space="preserve"> </w:t>
      </w:r>
      <w:r>
        <w:t xml:space="preserve">built-in artefact exclusions and contradictions, labelled with the predicted GO term and coloured by its module family.</w:t>
      </w:r>
      <w:r>
        <w:t xml:space="preserve"> </w:t>
      </w:r>
      <w:r>
        <w:t xml:space="preserve">(B) Top-40-only checks and orthogonal evidence: lineage leave-out (refit without the most dependent lineage changes the</w:t>
      </w:r>
      <w:r>
        <w:t xml:space="preserve"> </w:t>
      </w:r>
      <w:r>
        <w:t xml:space="preserve">top term), DEMETER2 RNAi replication of partner correlations, TP53-status flag (BH q &lt; 0.05), orthogonal classes that</w:t>
      </w:r>
      <w:r>
        <w:t xml:space="preserve"> </w:t>
      </w:r>
      <w:r>
        <w:t xml:space="preserve">support the predicted term after Holm correction, and support from the family’s diagnostic class. ×, check failed (a</w:t>
      </w:r>
      <w:r>
        <w:t xml:space="preserve"> </w:t>
      </w:r>
      <w:r>
        <w:t xml:space="preserve">Tier B cap, inert because no gene reached a tier); ·, passed; –, not measured or none. Source data:</w:t>
      </w:r>
      <w:r>
        <w:t xml:space="preserve"> </w:t>
      </w:r>
      <w:r>
        <w:t xml:space="preserve">manuscript/figures/source_data/Fig4_top40_primary.tsv.</w:t>
      </w:r>
    </w:p>
    <w:p>
      <w:pPr>
        <w:pStyle w:val="BodyText"/>
      </w:pPr>
      <w:r>
        <w:drawing>
          <wp:inline>
            <wp:extent cx="5334000" cy="4622800"/>
            <wp:effectExtent b="0" l="0" r="0" t="0"/>
            <wp:docPr descr="" title="" id="1" name="Picture"/>
            <a:graphic>
              <a:graphicData uri="http://schemas.openxmlformats.org/drawingml/2006/picture">
                <pic:pic>
                  <pic:nvPicPr>
                    <pic:cNvPr descr="figures/Fig5.png" id="0" name="Picture"/>
                    <pic:cNvPicPr>
                      <a:picLocks noChangeArrowheads="1" noChangeAspect="1"/>
                    </pic:cNvPicPr>
                  </pic:nvPicPr>
                  <pic:blipFill>
                    <a:blip r:embed="rId63"/>
                    <a:stretch>
                      <a:fillRect/>
                    </a:stretch>
                  </pic:blipFill>
                  <pic:spPr bwMode="auto">
                    <a:xfrm>
                      <a:off x="0" y="0"/>
                      <a:ext cx="5334000" cy="4622800"/>
                    </a:xfrm>
                    <a:prstGeom prst="rect">
                      <a:avLst/>
                    </a:prstGeom>
                    <a:noFill/>
                    <a:ln w="9525">
                      <a:noFill/>
                      <a:headEnd/>
                      <a:tailEnd/>
                    </a:ln>
                  </pic:spPr>
                </pic:pic>
              </a:graphicData>
            </a:graphic>
          </wp:inline>
        </w:drawing>
      </w:r>
    </w:p>
    <w:p>
      <w:pPr>
        <w:pStyle w:val="BodyText"/>
      </w:pPr>
      <w:r>
        <w:rPr>
          <w:bCs/>
          <w:b/>
        </w:rPr>
        <w:t xml:space="preserve">Fig 5. Blinded literature validation.</w:t>
      </w:r>
      <w:r>
        <w:t xml:space="preserve"> </w:t>
      </w:r>
      <w:r>
        <w:t xml:space="preserve">(A) Adjudicated scores for real statements (supported, unaddressed,</w:t>
      </w:r>
      <w:r>
        <w:t xml:space="preserve"> </w:t>
      </w:r>
      <w:r>
        <w:t xml:space="preserve">contradicted) and the fraction of decoy statements supported (Wilson 95% intervals; three decoys per gene), for the 10</w:t>
      </w:r>
      <w:r>
        <w:t xml:space="preserve"> </w:t>
      </w:r>
      <w:r>
        <w:t xml:space="preserve">hold-out validation genes, the primary top 40, and the secondary S20 and extra30 sets. p-values are exact one-sided</w:t>
      </w:r>
      <w:r>
        <w:t xml:space="preserve"> </w:t>
      </w:r>
      <w:r>
        <w:t xml:space="preserve">sign-flip tests of real minus mean decoy score; κ is Cohen’s κ between the two judges. (B) Fraction of real statements</w:t>
      </w:r>
      <w:r>
        <w:t xml:space="preserve"> </w:t>
      </w:r>
      <w:r>
        <w:t xml:space="preserve">supported by p_cal bin: the five extra30 quintiles (fill-pool genes outside the top 40) and the two halves of the primary</w:t>
      </w:r>
      <w:r>
        <w:t xml:space="preserve"> </w:t>
      </w:r>
      <w:r>
        <w:t xml:space="preserve">top 40, with Wilson 95% intervals; diamonds, mean p_cal of the bin. The highest extra30 bin (p_cal 0.020–0.099)</w:t>
      </w:r>
      <w:r>
        <w:t xml:space="preserve"> </w:t>
      </w:r>
      <w:r>
        <w:t xml:space="preserve">overlaps the top-40 range because its two highest genes, MARF1 (contradiction) and TMEM60 (artefact exclusion), were</w:t>
      </w:r>
      <w:r>
        <w:t xml:space="preserve"> </w:t>
      </w:r>
      <w:r>
        <w:t xml:space="preserve">excluded from the top 40. (C) Left, novelty class of each set (N1, function</w:t>
      </w:r>
      <w:r>
        <w:t xml:space="preserve"> </w:t>
      </w:r>
      <w:r>
        <w:t xml:space="preserve">established; N2, partial; N3, none), from the curation-lag auditor for the random 50 and from the blind literature agent</w:t>
      </w:r>
      <w:r>
        <w:t xml:space="preserve"> </w:t>
      </w:r>
      <w:r>
        <w:t xml:space="preserve">L otherwise. Right, fraction of real statements supported within each class and set, with Wilson 95% intervals.</w:t>
      </w:r>
      <w:r>
        <w:t xml:space="preserve"> </w:t>
      </w:r>
      <w:r>
        <w:t xml:space="preserve">(D) Fraction of genes</w:t>
      </w:r>
      <w:r>
        <w:t xml:space="preserve"> </w:t>
      </w:r>
      <w:r>
        <w:t xml:space="preserve">“</w:t>
      </w:r>
      <w:r>
        <w:t xml:space="preserve">recognised</w:t>
      </w:r>
      <w:r>
        <w:t xml:space="preserve">”</w:t>
      </w:r>
      <w:r>
        <w:t xml:space="preserve"> </w:t>
      </w:r>
      <w:r>
        <w:t xml:space="preserve">by the closed-book recall probe, by novelty class, for the random 50 U genes and for</w:t>
      </w:r>
      <w:r>
        <w:t xml:space="preserve"> </w:t>
      </w:r>
      <w:r>
        <w:t xml:space="preserve">the 90 candidates, with Wilson 95% intervals. Source data: manuscript/figures/source_data/Fig5a_judging_by_set.tsv,</w:t>
      </w:r>
      <w:r>
        <w:t xml:space="preserve"> </w:t>
      </w:r>
      <w:r>
        <w:t xml:space="preserve">Fig5b_support_vs_pcal.tsv, Fig5c_novelty_class.tsv, Fig5d_recall_probe.tsv, Fig5_derived_numbers.tsv.</w:t>
      </w:r>
    </w:p>
    <w:p>
      <w:pPr>
        <w:pStyle w:val="BodyText"/>
      </w:pPr>
      <w:r>
        <w:drawing>
          <wp:inline>
            <wp:extent cx="4651513" cy="2253888"/>
            <wp:effectExtent b="0" l="0" r="0" t="0"/>
            <wp:docPr descr="" title="" id="1" name="Picture"/>
            <a:graphic>
              <a:graphicData uri="http://schemas.openxmlformats.org/drawingml/2006/picture">
                <pic:pic>
                  <pic:nvPicPr>
                    <pic:cNvPr descr="figures/FigS1.png" id="0" name="Picture"/>
                    <pic:cNvPicPr>
                      <a:picLocks noChangeArrowheads="1" noChangeAspect="1"/>
                    </pic:cNvPicPr>
                  </pic:nvPicPr>
                  <pic:blipFill>
                    <a:blip r:embed="rId64"/>
                    <a:stretch>
                      <a:fillRect/>
                    </a:stretch>
                  </pic:blipFill>
                  <pic:spPr bwMode="auto">
                    <a:xfrm>
                      <a:off x="0" y="0"/>
                      <a:ext cx="4651513" cy="2253888"/>
                    </a:xfrm>
                    <a:prstGeom prst="rect">
                      <a:avLst/>
                    </a:prstGeom>
                    <a:noFill/>
                    <a:ln w="9525">
                      <a:noFill/>
                      <a:headEnd/>
                      <a:tailEnd/>
                    </a:ln>
                  </pic:spPr>
                </pic:pic>
              </a:graphicData>
            </a:graphic>
          </wp:inline>
        </w:drawing>
      </w:r>
    </w:p>
    <w:p>
      <w:pPr>
        <w:pStyle w:val="BodyText"/>
      </w:pPr>
      <w:r>
        <w:rPr>
          <w:bCs/>
          <w:b/>
        </w:rPr>
        <w:t xml:space="preserve">S1 Fig. Ranker choice on leave-one-out genes.</w:t>
      </w:r>
      <w:r>
        <w:t xml:space="preserve"> </w:t>
      </w:r>
      <w:r>
        <w:t xml:space="preserve">(A) Mean reciprocal rank (MRR) of the first correct reportable term</w:t>
      </w:r>
      <w:r>
        <w:t xml:space="preserve"> </w:t>
      </w:r>
      <w:r>
        <w:t xml:space="preserve">and precision@1, with gene-level 95% intervals, for the three pre-specified rankers and prior-only on 2,519 characterised</w:t>
      </w:r>
      <w:r>
        <w:t xml:space="preserve"> </w:t>
      </w:r>
      <w:r>
        <w:t xml:space="preserve">LOO genes; R1 was chosen by the frozen MRR rule. (B) Precision@1 with real and shuffled annotation labels (labels</w:t>
      </w:r>
      <w:r>
        <w:t xml:space="preserve"> </w:t>
      </w:r>
      <w:r>
        <w:t xml:space="preserve">permuted among genes of similar annotation count; seed 0, with seeds 1–4 as ticks). Source data:</w:t>
      </w:r>
      <w:r>
        <w:t xml:space="preserve"> </w:t>
      </w:r>
      <w:r>
        <w:t xml:space="preserve">manuscript/figures/source_data/FigS1a_loo_rankers.tsv, FigS1b_label_shuffle.tsv.</w:t>
      </w:r>
    </w:p>
    <w:p>
      <w:pPr>
        <w:pStyle w:val="BodyText"/>
      </w:pPr>
      <w:r>
        <w:drawing>
          <wp:inline>
            <wp:extent cx="5334000" cy="2245282"/>
            <wp:effectExtent b="0" l="0" r="0" t="0"/>
            <wp:docPr descr="" title="" id="1" name="Picture"/>
            <a:graphic>
              <a:graphicData uri="http://schemas.openxmlformats.org/drawingml/2006/picture">
                <pic:pic>
                  <pic:nvPicPr>
                    <pic:cNvPr descr="figures/FigS2.png" id="0" name="Picture"/>
                    <pic:cNvPicPr>
                      <a:picLocks noChangeArrowheads="1" noChangeAspect="1"/>
                    </pic:cNvPicPr>
                  </pic:nvPicPr>
                  <pic:blipFill>
                    <a:blip r:embed="rId65"/>
                    <a:stretch>
                      <a:fillRect/>
                    </a:stretch>
                  </pic:blipFill>
                  <pic:spPr bwMode="auto">
                    <a:xfrm>
                      <a:off x="0" y="0"/>
                      <a:ext cx="5334000" cy="2245282"/>
                    </a:xfrm>
                    <a:prstGeom prst="rect">
                      <a:avLst/>
                    </a:prstGeom>
                    <a:noFill/>
                    <a:ln w="9525">
                      <a:noFill/>
                      <a:headEnd/>
                      <a:tailEnd/>
                    </a:ln>
                  </pic:spPr>
                </pic:pic>
              </a:graphicData>
            </a:graphic>
          </wp:inline>
        </w:drawing>
      </w:r>
    </w:p>
    <w:p>
      <w:pPr>
        <w:pStyle w:val="BodyText"/>
      </w:pPr>
      <w:r>
        <w:rPr>
          <w:bCs/>
          <w:b/>
        </w:rPr>
        <w:t xml:space="preserve">S2 Fig. Split-half reproducibility.</w:t>
      </w:r>
      <w:r>
        <w:t xml:space="preserve"> </w:t>
      </w:r>
      <w:r>
        <w:t xml:space="preserve">(A) Fraction of genes with split-half reproducibility R(g) at least x for U</w:t>
      </w:r>
      <w:r>
        <w:t xml:space="preserve"> </w:t>
      </w:r>
      <w:r>
        <w:t xml:space="preserve">(n = 4,271 scorable), H (n = 820), the LOO sample (n = 3,000) and other scorable genes (n = 10,303). (B) Fraction of</w:t>
      </w:r>
      <w:r>
        <w:t xml:space="preserve"> </w:t>
      </w:r>
      <w:r>
        <w:t xml:space="preserve">scorable U genes with split-half p &lt; 0.05 against the matched-gene null, by expression group (expressed under the</w:t>
      </w:r>
      <w:r>
        <w:t xml:space="preserve"> </w:t>
      </w:r>
      <w:r>
        <w:t xml:space="preserve">design’s definition, not expressed, clean negatives, and clean negatives with and without any dependency), with Wilson</w:t>
      </w:r>
      <w:r>
        <w:t xml:space="preserve"> </w:t>
      </w:r>
      <w:r>
        <w:t xml:space="preserve">95% intervals; dashed line, nominal 0.05. (C) Precision@1 on H for each of the ten split-half networks (seed/half), with</w:t>
      </w:r>
      <w:r>
        <w:t xml:space="preserve"> </w:t>
      </w:r>
      <w:r>
        <w:t xml:space="preserve">95% cluster-bootstrap intervals and the matched-gene null; dashed line, full network. Source data:</w:t>
      </w:r>
      <w:r>
        <w:t xml:space="preserve"> </w:t>
      </w:r>
      <w:r>
        <w:t xml:space="preserve">manuscript/figures/source_data/FigS2a_R_by_set.tsv, FigS2b_reproducibility_rate.tsv, FigS2c_splithalf_networks.tsv.</w:t>
      </w:r>
    </w:p>
    <w:p>
      <w:pPr>
        <w:pStyle w:val="BodyText"/>
      </w:pPr>
      <w:r>
        <w:drawing>
          <wp:inline>
            <wp:extent cx="5334000" cy="2165219"/>
            <wp:effectExtent b="0" l="0" r="0" t="0"/>
            <wp:docPr descr="" title="" id="1" name="Picture"/>
            <a:graphic>
              <a:graphicData uri="http://schemas.openxmlformats.org/drawingml/2006/picture">
                <pic:pic>
                  <pic:nvPicPr>
                    <pic:cNvPr descr="figures/FigS3.png" id="0" name="Picture"/>
                    <pic:cNvPicPr>
                      <a:picLocks noChangeArrowheads="1" noChangeAspect="1"/>
                    </pic:cNvPicPr>
                  </pic:nvPicPr>
                  <pic:blipFill>
                    <a:blip r:embed="rId66"/>
                    <a:stretch>
                      <a:fillRect/>
                    </a:stretch>
                  </pic:blipFill>
                  <pic:spPr bwMode="auto">
                    <a:xfrm>
                      <a:off x="0" y="0"/>
                      <a:ext cx="5334000" cy="2165219"/>
                    </a:xfrm>
                    <a:prstGeom prst="rect">
                      <a:avLst/>
                    </a:prstGeom>
                    <a:noFill/>
                    <a:ln w="9525">
                      <a:noFill/>
                      <a:headEnd/>
                      <a:tailEnd/>
                    </a:ln>
                  </pic:spPr>
                </pic:pic>
              </a:graphicData>
            </a:graphic>
          </wp:inline>
        </w:drawing>
      </w:r>
    </w:p>
    <w:p>
      <w:pPr>
        <w:pStyle w:val="BodyText"/>
      </w:pPr>
      <w:r>
        <w:rPr>
          <w:bCs/>
          <w:b/>
        </w:rPr>
        <w:t xml:space="preserve">S3 Fig. Admission of orthogonal evidence sources.</w:t>
      </w:r>
      <w:r>
        <w:t xml:space="preserve"> </w:t>
      </w:r>
      <w:r>
        <w:t xml:space="preserve">(A) Co-complex odds ratio (95% interval, bootstrap over 2,538</w:t>
      </w:r>
      <w:r>
        <w:t xml:space="preserve"> </w:t>
      </w:r>
      <w:r>
        <w:t xml:space="preserve">complexes not derived from hu.MAP) for each pair source, by class (P, physical; A, co-abundance; G, Perturb-seq; S,</w:t>
      </w:r>
      <w:r>
        <w:t xml:space="preserve"> </w:t>
      </w:r>
      <w:r>
        <w:t xml:space="preserve">structure). Sources were admitted if the lower bound exceeded 2 (dashed line); hu.MAP 3.0 (grey) was not independent of</w:t>
      </w:r>
      <w:r>
        <w:t xml:space="preserve"> </w:t>
      </w:r>
      <w:r>
        <w:t xml:space="preserve">DepMap and was reported only; the Olivieri 2020 screens (red) were not admitted. (B) Agreement of localisation sources</w:t>
      </w:r>
      <w:r>
        <w:t xml:space="preserve"> </w:t>
      </w:r>
      <w:r>
        <w:t xml:space="preserve">with GO cellular component on hold-out genes (Wilson 95% interval). Admission required a lower bound above 0.6 (dashed</w:t>
      </w:r>
      <w:r>
        <w:t xml:space="preserve"> </w:t>
      </w:r>
      <w:r>
        <w:t xml:space="preserve">line) and at least 200 hold-out genes; red, not admitted. Source data: manuscript/figures/source_data/FigS3a_pair_admission.tsv,</w:t>
      </w:r>
      <w:r>
        <w:t xml:space="preserve"> </w:t>
      </w:r>
      <w:r>
        <w:t xml:space="preserve">FigS3b_localisation_admission.tsv.</w:t>
      </w:r>
    </w:p>
    <w:p>
      <w:pPr>
        <w:pStyle w:val="BodyText"/>
      </w:pPr>
      <w:r>
        <w:drawing>
          <wp:inline>
            <wp:extent cx="5334000" cy="4086457"/>
            <wp:effectExtent b="0" l="0" r="0" t="0"/>
            <wp:docPr descr="" title="" id="1" name="Picture"/>
            <a:graphic>
              <a:graphicData uri="http://schemas.openxmlformats.org/drawingml/2006/picture">
                <pic:pic>
                  <pic:nvPicPr>
                    <pic:cNvPr descr="figures/FigS4.png" id="0" name="Picture"/>
                    <pic:cNvPicPr>
                      <a:picLocks noChangeArrowheads="1" noChangeAspect="1"/>
                    </pic:cNvPicPr>
                  </pic:nvPicPr>
                  <pic:blipFill>
                    <a:blip r:embed="rId67"/>
                    <a:stretch>
                      <a:fillRect/>
                    </a:stretch>
                  </pic:blipFill>
                  <pic:spPr bwMode="auto">
                    <a:xfrm>
                      <a:off x="0" y="0"/>
                      <a:ext cx="5334000" cy="4086457"/>
                    </a:xfrm>
                    <a:prstGeom prst="rect">
                      <a:avLst/>
                    </a:prstGeom>
                    <a:noFill/>
                    <a:ln w="9525">
                      <a:noFill/>
                      <a:headEnd/>
                      <a:tailEnd/>
                    </a:ln>
                  </pic:spPr>
                </pic:pic>
              </a:graphicData>
            </a:graphic>
          </wp:inline>
        </w:drawing>
      </w:r>
    </w:p>
    <w:p>
      <w:pPr>
        <w:pStyle w:val="BodyText"/>
      </w:pPr>
      <w:r>
        <w:rPr>
          <w:bCs/>
          <w:b/>
        </w:rPr>
        <w:t xml:space="preserve">S4 Fig. Post-review exploratory analyses.</w:t>
      </w:r>
      <w:r>
        <w:t xml:space="preserve"> </w:t>
      </w:r>
      <w:r>
        <w:t xml:space="preserve">(A) Fraction of genes with an established function (N1) by entry route</w:t>
      </w:r>
      <w:r>
        <w:t xml:space="preserve"> </w:t>
      </w:r>
      <w:r>
        <w:t xml:space="preserve">into U (literature criterion D3 alone versus low UniProt annotation score, D1 and D2) and by definition-artefact flag</w:t>
      </w:r>
      <w:r>
        <w:t xml:space="preserve"> </w:t>
      </w:r>
      <w:r>
        <w:t xml:space="preserve">(UniProt score 5, Complex Portal subunit or experimental GO cellular-component annotation), for the random 50 audited</w:t>
      </w:r>
      <w:r>
        <w:t xml:space="preserve"> </w:t>
      </w:r>
      <w:r>
        <w:t xml:space="preserve">genes (a prevalence) and for the 90 candidates classed by agent L (selected, not a prevalence); Wilson 95% intervals and</w:t>
      </w:r>
      <w:r>
        <w:t xml:space="preserve"> </w:t>
      </w:r>
      <w:r>
        <w:t xml:space="preserve">counts. (B) Fraction of the primary top 40, S20 and the ten report genes for which the relationship with at least one of</w:t>
      </w:r>
      <w:r>
        <w:t xml:space="preserve"> </w:t>
      </w:r>
      <w:r>
        <w:t xml:space="preserve">the gene’s ten strongest partners was already in a published resource: hu.MAP 3.0 co-complex membership; Predictomes</w:t>
      </w:r>
      <w:r>
        <w:t xml:space="preserve"> </w:t>
      </w:r>
      <w:r>
        <w:t xml:space="preserve">AlphaFold pair (SPOC ≥ 0.5); Wainberg et al. 2021 significant GLS pair, module (density ≥ 0.5) or explicit function</w:t>
      </w:r>
      <w:r>
        <w:t xml:space="preserve"> </w:t>
      </w:r>
      <w:r>
        <w:t xml:space="preserve">prediction; Kim et al. 2019 network edge or cluster; and any co-essentiality catalogue or any resource. Flags record a</w:t>
      </w:r>
      <w:r>
        <w:t xml:space="preserve"> </w:t>
      </w:r>
      <w:r>
        <w:t xml:space="preserve">published link, not the same function. (C) Assessable genes (grey) and the excess of assessable calls over the false calls</w:t>
      </w:r>
      <w:r>
        <w:t xml:space="preserve"> </w:t>
      </w:r>
      <w:r>
        <w:t xml:space="preserve">expected from clean-negative rates (blue; 95% interval), by the stratifier used for the rates and the expression</w:t>
      </w:r>
      <w:r>
        <w:t xml:space="preserve"> </w:t>
      </w:r>
      <w:r>
        <w:t xml:space="preserve">definition; labels give the excess and its share of U. The excess is not the number of genes with real signal, which at</w:t>
      </w:r>
      <w:r>
        <w:t xml:space="preserve"> </w:t>
      </w:r>
      <w:r>
        <w:t xml:space="preserve">full power is at least about 324 (S1 Text). (D) Calibration of the frozen model and of one- and</w:t>
      </w:r>
      <w:r>
        <w:t xml:space="preserve"> </w:t>
      </w:r>
      <w:r>
        <w:t xml:space="preserve">two-covariate models, all cross-fitted out of fold on H: calibration slope (solid, Wald 95% CI; dashed, cluster</w:t>
      </w:r>
      <w:r>
        <w:t xml:space="preserve"> </w:t>
      </w:r>
      <w:r>
        <w:t xml:space="preserve">bootstrap) and c-statistic (cluster-bootstrap 95% CI); EPP, events per parameter; BSS, Brier skill score relative to a</w:t>
      </w:r>
      <w:r>
        <w:t xml:space="preserve"> </w:t>
      </w:r>
      <w:r>
        <w:t xml:space="preserve">constant prediction. Source data: manuscript/figures/source_data/FigS4a_N1_by_route_and_flag.tsv,</w:t>
      </w:r>
      <w:r>
        <w:t xml:space="preserve"> </w:t>
      </w:r>
      <w:r>
        <w:t xml:space="preserve">FigS4b_novelty_overlap.tsv, FigS4c_assessability_null_adjusted.tsv, FigS4d_calibration_models.tsv,</w:t>
      </w:r>
      <w:r>
        <w:t xml:space="preserve"> </w:t>
      </w:r>
      <w:r>
        <w:t xml:space="preserve">FigS4_derived_numbers.tsv (scripts/62_figS4.py, from results/revision/).</w:t>
      </w:r>
    </w:p>
    <w:bookmarkEnd w:id="68"/>
    <w:bookmarkStart w:id="69" w:name="table-legends"/>
    <w:p>
      <w:pPr>
        <w:pStyle w:val="Heading1"/>
      </w:pPr>
      <w:r>
        <w:t xml:space="preserve">Table legends</w:t>
      </w:r>
    </w:p>
    <w:p>
      <w:pPr>
        <w:pStyle w:val="FirstParagraph"/>
      </w:pPr>
      <w:r>
        <w:rPr>
          <w:bCs/>
          <w:b/>
        </w:rPr>
        <w:t xml:space="preserve">Table 1. Principal data sources.</w:t>
      </w:r>
      <w:r>
        <w:t xml:space="preserve"> </w:t>
      </w:r>
      <w:r>
        <w:t xml:space="preserve">Version and use of each input; URLs, SHA-256 checksums and licences are in</w:t>
      </w:r>
      <w:r>
        <w:t xml:space="preserve"> </w:t>
      </w:r>
      <w:r>
        <w:t xml:space="preserve">DATA.md. Restricted-licence files were used internally and are not redistributed.</w:t>
      </w:r>
    </w:p>
    <w:p>
      <w:pPr>
        <w:pStyle w:val="BodyText"/>
      </w:pPr>
      <w:r>
        <w:rPr>
          <w:bCs/>
          <w:b/>
        </w:rPr>
        <w:t xml:space="preserve">Table 2. The ten candidate reports.</w:t>
      </w:r>
      <w:r>
        <w:t xml:space="preserve"> </w:t>
      </w:r>
      <w:r>
        <w:t xml:space="preserve">For each report gene: rank and p_cal in the primary top 40; the predicted GO term</w:t>
      </w:r>
      <w:r>
        <w:t xml:space="preserve"> </w:t>
      </w:r>
      <w:r>
        <w:t xml:space="preserve">and relationship type (a, stable subunit; b, assembly or maturation factor; d, pathway member, type unresolved); the</w:t>
      </w:r>
      <w:r>
        <w:t xml:space="preserve"> </w:t>
      </w:r>
      <w:r>
        <w:t xml:space="preserve">strongest co-essential partners; evidence strength (physical-class support after Holm correction; other orthogonal</w:t>
      </w:r>
      <w:r>
        <w:t xml:space="preserve"> </w:t>
      </w:r>
      <w:r>
        <w:t xml:space="preserve">classes, A, co-abundance, L, localisation, G, Perturb-seq; the blind literature agent’s novelty class; and the</w:t>
      </w:r>
      <w:r>
        <w:t xml:space="preserve"> </w:t>
      </w:r>
      <w:r>
        <w:t xml:space="preserve">adjudicated verdict on the real statement); prior catalogue evidence [post-review]; the main caveat after red-team</w:t>
      </w:r>
      <w:r>
        <w:t xml:space="preserve"> </w:t>
      </w:r>
      <w:r>
        <w:t xml:space="preserve">review (DEMETER2 non-replication omitted as an unvalidated check); and status (rediscovery, partial rediscovery or hypothesis). The decisive experiments are in S10 Table. Full</w:t>
      </w:r>
      <w:r>
        <w:t xml:space="preserve"> </w:t>
      </w:r>
      <w:r>
        <w:t xml:space="preserve">reports, experiment plans and red-team reviews: S1–S10 Reports.</w:t>
      </w:r>
    </w:p>
    <w:p>
      <w:pPr>
        <w:pStyle w:val="BodyText"/>
      </w:pPr>
      <w:r>
        <w:rPr>
          <w:bCs/>
          <w:b/>
        </w:rPr>
        <w:t xml:space="preserve">Table 3. Notation</w:t>
      </w:r>
      <w:r>
        <w:t xml:space="preserve"> </w:t>
      </w:r>
      <w:r>
        <w:t xml:space="preserve">(Methods).</w:t>
      </w:r>
    </w:p>
    <w:bookmarkEnd w:id="69"/>
    <w:bookmarkStart w:id="70" w:name="supporting-information"/>
    <w:p>
      <w:pPr>
        <w:pStyle w:val="Heading1"/>
      </w:pPr>
      <w:r>
        <w:t xml:space="preserve">Supporting information</w:t>
      </w:r>
    </w:p>
    <w:p>
      <w:pPr>
        <w:pStyle w:val="FirstParagraph"/>
      </w:pPr>
      <w:r>
        <w:rPr>
          <w:bCs/>
          <w:b/>
        </w:rPr>
        <w:t xml:space="preserve">S1 Table. Pre-registered list of uncharacterised genes (U).</w:t>
      </w:r>
      <w:r>
        <w:t xml:space="preserve"> </w:t>
      </w:r>
      <w:r>
        <w:t xml:space="preserve">4,924 genes with D1–D3 values and strata.</w:t>
      </w:r>
      <w:r>
        <w:t xml:space="preserve"> </w:t>
      </w:r>
      <w:r>
        <w:rPr>
          <w:rStyle w:val="VerbatimChar"/>
        </w:rPr>
        <w:t xml:space="preserve">preregistration/uncharacterised_genes.tsv</w:t>
      </w:r>
      <w:r>
        <w:t xml:space="preserve">; criteria in</w:t>
      </w:r>
      <w:r>
        <w:t xml:space="preserve"> </w:t>
      </w:r>
      <w:r>
        <w:rPr>
          <w:rStyle w:val="VerbatimChar"/>
        </w:rPr>
        <w:t xml:space="preserve">preregistration/CRITERIA.md</w:t>
      </w:r>
      <w:r>
        <w:t xml:space="preserve">; freeze hashes in</w:t>
      </w:r>
      <w:r>
        <w:t xml:space="preserve"> </w:t>
      </w:r>
      <w:r>
        <w:rPr>
          <w:rStyle w:val="VerbatimChar"/>
        </w:rPr>
        <w:t xml:space="preserve">preregistration/FREEZE.sha256</w:t>
      </w:r>
      <w:r>
        <w:t xml:space="preserve">.</w:t>
      </w:r>
    </w:p>
    <w:p>
      <w:pPr>
        <w:pStyle w:val="BodyText"/>
      </w:pPr>
      <w:r>
        <w:rPr>
          <w:bCs/>
          <w:b/>
        </w:rPr>
        <w:t xml:space="preserve">S2 Table. Prediction ledger for all scorable U genes.</w:t>
      </w:r>
      <w:r>
        <w:t xml:space="preserve"> </w:t>
      </w:r>
      <w:r>
        <w:t xml:space="preserve">Top term, V1/V1′ labels, p_cal, support category, artefact</w:t>
      </w:r>
      <w:r>
        <w:t xml:space="preserve"> </w:t>
      </w:r>
      <w:r>
        <w:t xml:space="preserve">flags and top-10 partners.</w:t>
      </w:r>
      <w:r>
        <w:t xml:space="preserve"> </w:t>
      </w:r>
      <w:r>
        <w:rPr>
          <w:rStyle w:val="VerbatimChar"/>
        </w:rPr>
        <w:t xml:space="preserve">results/ledger/u_predictions.tsv</w:t>
      </w:r>
      <w:r>
        <w:t xml:space="preserve">,</w:t>
      </w:r>
      <w:r>
        <w:t xml:space="preserve"> </w:t>
      </w:r>
      <w:r>
        <w:rPr>
          <w:rStyle w:val="VerbatimChar"/>
        </w:rPr>
        <w:t xml:space="preserve">u_pcal.tsv</w:t>
      </w:r>
      <w:r>
        <w:t xml:space="preserve">,</w:t>
      </w:r>
      <w:r>
        <w:t xml:space="preserve"> </w:t>
      </w:r>
      <w:r>
        <w:rPr>
          <w:rStyle w:val="VerbatimChar"/>
        </w:rPr>
        <w:t xml:space="preserve">u_top5.tsv</w:t>
      </w:r>
      <w:r>
        <w:t xml:space="preserve">,</w:t>
      </w:r>
      <w:r>
        <w:t xml:space="preserve"> </w:t>
      </w:r>
      <w:r>
        <w:rPr>
          <w:rStyle w:val="VerbatimChar"/>
        </w:rPr>
        <w:t xml:space="preserve">u_partners.tsv</w:t>
      </w:r>
      <w:r>
        <w:t xml:space="preserve">,</w:t>
      </w:r>
      <w:r>
        <w:t xml:space="preserve"> </w:t>
      </w:r>
      <w:r>
        <w:rPr>
          <w:rStyle w:val="VerbatimChar"/>
        </w:rPr>
        <w:t xml:space="preserve">u_flags.tsv</w:t>
      </w:r>
      <w:r>
        <w:t xml:space="preserve">,</w:t>
      </w:r>
      <w:r>
        <w:t xml:space="preserve"> </w:t>
      </w:r>
      <w:r>
        <w:rPr>
          <w:rStyle w:val="VerbatimChar"/>
        </w:rPr>
        <w:t xml:space="preserve">tiers_all.tsv</w:t>
      </w:r>
      <w:r>
        <w:t xml:space="preserve">.</w:t>
      </w:r>
    </w:p>
    <w:p>
      <w:pPr>
        <w:pStyle w:val="BodyText"/>
      </w:pPr>
      <w:r>
        <w:rPr>
          <w:bCs/>
          <w:b/>
        </w:rPr>
        <w:t xml:space="preserve">S3 Table. Primary top 40 with checks, and sensitivity lists.</w:t>
      </w:r>
      <w:r>
        <w:t xml:space="preserve"> </w:t>
      </w:r>
      <w:r>
        <w:rPr>
          <w:rStyle w:val="VerbatimChar"/>
        </w:rPr>
        <w:t xml:space="preserve">results/ledger/top40_primary.tsv</w:t>
      </w:r>
      <w:r>
        <w:t xml:space="preserve">,</w:t>
      </w:r>
      <w:r>
        <w:t xml:space="preserve"> </w:t>
      </w:r>
      <w:r>
        <w:rPr>
          <w:rStyle w:val="VerbatimChar"/>
        </w:rPr>
        <w:t xml:space="preserve">top40_checks.tsv</w:t>
      </w:r>
      <w:r>
        <w:t xml:space="preserve">,</w:t>
      </w:r>
      <w:r>
        <w:t xml:space="preserve"> </w:t>
      </w:r>
      <w:r>
        <w:rPr>
          <w:rStyle w:val="VerbatimChar"/>
        </w:rPr>
        <w:t xml:space="preserve">top40_partners_gls.tsv</w:t>
      </w:r>
      <w:r>
        <w:t xml:space="preserve">; clean-first sensitivity list</w:t>
      </w:r>
      <w:r>
        <w:t xml:space="preserve"> </w:t>
      </w:r>
      <w:r>
        <w:rPr>
          <w:rStyle w:val="VerbatimChar"/>
        </w:rPr>
        <w:t xml:space="preserve">results/ledger/top40.tsv</w:t>
      </w:r>
      <w:r>
        <w:t xml:space="preserve">; S20 and extra30</w:t>
      </w:r>
      <w:r>
        <w:t xml:space="preserve"> </w:t>
      </w:r>
      <w:r>
        <w:t xml:space="preserve">in</w:t>
      </w:r>
      <w:r>
        <w:t xml:space="preserve"> </w:t>
      </w:r>
      <w:r>
        <w:rPr>
          <w:rStyle w:val="VerbatimChar"/>
        </w:rPr>
        <w:t xml:space="preserve">results/m7/s20.tsv</w:t>
      </w:r>
      <w:r>
        <w:t xml:space="preserve"> </w:t>
      </w:r>
      <w:r>
        <w:t xml:space="preserve">and</w:t>
      </w:r>
      <w:r>
        <w:t xml:space="preserve"> </w:t>
      </w:r>
      <w:r>
        <w:rPr>
          <w:rStyle w:val="VerbatimChar"/>
        </w:rPr>
        <w:t xml:space="preserve">results/m7/extra30.tsv</w:t>
      </w:r>
      <w:r>
        <w:t xml:space="preserve">.</w:t>
      </w:r>
    </w:p>
    <w:p>
      <w:pPr>
        <w:pStyle w:val="BodyText"/>
      </w:pPr>
      <w:r>
        <w:rPr>
          <w:bCs/>
          <w:b/>
        </w:rPr>
        <w:t xml:space="preserve">S4 Table. Hold-out evaluation per gene and secondary analyses.</w:t>
      </w:r>
      <w:r>
        <w:t xml:space="preserve"> </w:t>
      </w:r>
      <w:r>
        <w:rPr>
          <w:rStyle w:val="VerbatimChar"/>
        </w:rPr>
        <w:t xml:space="preserve">results/holdout_eval/per_gene_core.tsv</w:t>
      </w:r>
      <w:r>
        <w:t xml:space="preserve">,</w:t>
      </w:r>
      <w:r>
        <w:t xml:space="preserve"> </w:t>
      </w:r>
      <w:r>
        <w:rPr>
          <w:rStyle w:val="VerbatimChar"/>
        </w:rPr>
        <w:t xml:space="preserve">comparisons_core.tsv</w:t>
      </w:r>
      <w:r>
        <w:t xml:space="preserve">,</w:t>
      </w:r>
      <w:r>
        <w:t xml:space="preserve"> </w:t>
      </w:r>
      <w:r>
        <w:rPr>
          <w:rStyle w:val="VerbatimChar"/>
        </w:rPr>
        <w:t xml:space="preserve">secondary.tsv</w:t>
      </w:r>
      <w:r>
        <w:t xml:space="preserve">,</w:t>
      </w:r>
      <w:r>
        <w:t xml:space="preserve"> </w:t>
      </w:r>
      <w:r>
        <w:rPr>
          <w:rStyle w:val="VerbatimChar"/>
        </w:rPr>
        <w:t xml:space="preserve">circularity_sensitivity.tsv</w:t>
      </w:r>
      <w:r>
        <w:t xml:space="preserve">,</w:t>
      </w:r>
      <w:r>
        <w:t xml:space="preserve"> </w:t>
      </w:r>
      <w:r>
        <w:rPr>
          <w:rStyle w:val="VerbatimChar"/>
        </w:rPr>
        <w:t xml:space="preserve">calibration_oof.tsv</w:t>
      </w:r>
      <w:r>
        <w:t xml:space="preserve">,</w:t>
      </w:r>
      <w:r>
        <w:t xml:space="preserve"> </w:t>
      </w:r>
      <w:r>
        <w:rPr>
          <w:rStyle w:val="VerbatimChar"/>
        </w:rPr>
        <w:t xml:space="preserve">controls_case_series.tsv</w:t>
      </w:r>
      <w:r>
        <w:t xml:space="preserve">,</w:t>
      </w:r>
      <w:r>
        <w:t xml:space="preserve"> </w:t>
      </w:r>
      <w:r>
        <w:rPr>
          <w:rStyle w:val="VerbatimChar"/>
        </w:rPr>
        <w:t xml:space="preserve">exploratory_complementarity.tsv</w:t>
      </w:r>
      <w:r>
        <w:t xml:space="preserve">.</w:t>
      </w:r>
    </w:p>
    <w:p>
      <w:pPr>
        <w:pStyle w:val="BodyText"/>
      </w:pPr>
      <w:r>
        <w:rPr>
          <w:bCs/>
          <w:b/>
        </w:rPr>
        <w:t xml:space="preserve">S5 Table. Orthogonal evidence.</w:t>
      </w:r>
      <w:r>
        <w:t xml:space="preserve"> </w:t>
      </w:r>
      <w:r>
        <w:t xml:space="preserve">Source admission (</w:t>
      </w:r>
      <w:r>
        <w:rPr>
          <w:rStyle w:val="VerbatimChar"/>
        </w:rPr>
        <w:t xml:space="preserve">results/orthogonal/admission.md</w:t>
      </w:r>
      <w:r>
        <w:t xml:space="preserve">) and support calls for real,</w:t>
      </w:r>
      <w:r>
        <w:t xml:space="preserve"> </w:t>
      </w:r>
      <w:r>
        <w:t xml:space="preserve">matched-gene and decoy predictions (</w:t>
      </w:r>
      <w:r>
        <w:rPr>
          <w:rStyle w:val="VerbatimChar"/>
        </w:rPr>
        <w:t xml:space="preserve">results/ledger/support.tsv</w:t>
      </w:r>
      <w:r>
        <w:t xml:space="preserve">,</w:t>
      </w:r>
      <w:r>
        <w:t xml:space="preserve"> </w:t>
      </w:r>
      <w:r>
        <w:rPr>
          <w:rStyle w:val="VerbatimChar"/>
        </w:rPr>
        <w:t xml:space="preserve">false_support.tsv</w:t>
      </w:r>
      <w:r>
        <w:t xml:space="preserve">,</w:t>
      </w:r>
      <w:r>
        <w:t xml:space="preserve"> </w:t>
      </w:r>
      <w:r>
        <w:rPr>
          <w:rStyle w:val="VerbatimChar"/>
        </w:rPr>
        <w:t xml:space="preserve">support_sources.tsv</w:t>
      </w:r>
      <w:r>
        <w:t xml:space="preserve">).</w:t>
      </w:r>
    </w:p>
    <w:p>
      <w:pPr>
        <w:pStyle w:val="BodyText"/>
      </w:pPr>
      <w:r>
        <w:rPr>
          <w:bCs/>
          <w:b/>
        </w:rPr>
        <w:t xml:space="preserve">S6 Table. Curation-lag audit and recall probes.</w:t>
      </w:r>
      <w:r>
        <w:t xml:space="preserve"> </w:t>
      </w:r>
      <w:r>
        <w:rPr>
          <w:rStyle w:val="VerbatimChar"/>
        </w:rPr>
        <w:t xml:space="preserve">results/audit/curation_lag_audit.tsv</w:t>
      </w:r>
      <w:r>
        <w:t xml:space="preserve">,</w:t>
      </w:r>
      <w:r>
        <w:t xml:space="preserve"> </w:t>
      </w:r>
      <w:r>
        <w:rPr>
          <w:rStyle w:val="VerbatimChar"/>
        </w:rPr>
        <w:t xml:space="preserve">results/audit/recall_probe_random50.tsv</w:t>
      </w:r>
      <w:r>
        <w:t xml:space="preserve">,</w:t>
      </w:r>
      <w:r>
        <w:t xml:space="preserve"> </w:t>
      </w:r>
      <w:r>
        <w:rPr>
          <w:rStyle w:val="VerbatimChar"/>
        </w:rPr>
        <w:t xml:space="preserve">results/m7/recall_probe_90.tsv</w:t>
      </w:r>
      <w:r>
        <w:t xml:space="preserve">.</w:t>
      </w:r>
    </w:p>
    <w:p>
      <w:pPr>
        <w:pStyle w:val="BodyText"/>
      </w:pPr>
      <w:r>
        <w:rPr>
          <w:bCs/>
          <w:b/>
        </w:rPr>
        <w:t xml:space="preserve">S7 Table. Blind literature screen and blinded judging.</w:t>
      </w:r>
      <w:r>
        <w:t xml:space="preserve"> </w:t>
      </w:r>
      <w:r>
        <w:t xml:space="preserve">Agent L evidence (</w:t>
      </w:r>
      <w:r>
        <w:rPr>
          <w:rStyle w:val="VerbatimChar"/>
        </w:rPr>
        <w:t xml:space="preserve">results/m7/L/</w:t>
      </w:r>
      <w:r>
        <w:t xml:space="preserve">), statements and answer key</w:t>
      </w:r>
      <w:r>
        <w:t xml:space="preserve"> </w:t>
      </w:r>
      <w:r>
        <w:t xml:space="preserve">(</w:t>
      </w:r>
      <w:r>
        <w:rPr>
          <w:rStyle w:val="VerbatimChar"/>
        </w:rPr>
        <w:t xml:space="preserve">results/m7/statements.tsv</w:t>
      </w:r>
      <w:r>
        <w:t xml:space="preserve">,</w:t>
      </w:r>
      <w:r>
        <w:t xml:space="preserve"> </w:t>
      </w:r>
      <w:r>
        <w:rPr>
          <w:rStyle w:val="VerbatimChar"/>
        </w:rPr>
        <w:t xml:space="preserve">answer_key_slots.tsv</w:t>
      </w:r>
      <w:r>
        <w:t xml:space="preserve">), judge packets, scores and analyses (</w:t>
      </w:r>
      <w:r>
        <w:rPr>
          <w:rStyle w:val="VerbatimChar"/>
        </w:rPr>
        <w:t xml:space="preserve">results/m7/judge/</w:t>
      </w:r>
      <w:r>
        <w:t xml:space="preserve">).</w:t>
      </w:r>
    </w:p>
    <w:p>
      <w:pPr>
        <w:pStyle w:val="BodyText"/>
      </w:pPr>
      <w:r>
        <w:rPr>
          <w:bCs/>
          <w:b/>
        </w:rPr>
        <w:t xml:space="preserve">S8 Table. Deviations and hold-out looks.</w:t>
      </w:r>
      <w:r>
        <w:t xml:space="preserve"> </w:t>
      </w:r>
      <w:r>
        <w:rPr>
          <w:rStyle w:val="VerbatimChar"/>
        </w:rPr>
        <w:t xml:space="preserve">DEVIATIONS.md</w:t>
      </w:r>
      <w:r>
        <w:t xml:space="preserve"> </w:t>
      </w:r>
      <w:r>
        <w:t xml:space="preserve">and</w:t>
      </w:r>
      <w:r>
        <w:t xml:space="preserve"> </w:t>
      </w:r>
      <w:r>
        <w:rPr>
          <w:rStyle w:val="VerbatimChar"/>
        </w:rPr>
        <w:t xml:space="preserve">LOOKS.md</w:t>
      </w:r>
      <w:r>
        <w:t xml:space="preserve">.</w:t>
      </w:r>
    </w:p>
    <w:p>
      <w:pPr>
        <w:pStyle w:val="BodyText"/>
      </w:pPr>
      <w:r>
        <w:rPr>
          <w:bCs/>
          <w:b/>
        </w:rPr>
        <w:t xml:space="preserve">S9 Table. Overlap of candidates with earlier catalogues and post-review analyses [post-review exploratory].</w:t>
      </w:r>
      <w:r>
        <w:t xml:space="preserve"> </w:t>
      </w:r>
      <w:r>
        <w:t xml:space="preserve">Per-gene overlap of the top 40, S20 and the report genes with hu.MAP 3.0, Predictomes, Wainberg et al. 2021 and Kim et</w:t>
      </w:r>
      <w:r>
        <w:t xml:space="preserve"> </w:t>
      </w:r>
      <w:r>
        <w:t xml:space="preserve">al. 2019 (</w:t>
      </w:r>
      <w:r>
        <w:rPr>
          <w:rStyle w:val="VerbatimChar"/>
        </w:rPr>
        <w:t xml:space="preserve">results/revision/a2_novelty_overlap.tsv</w:t>
      </w:r>
      <w:r>
        <w:t xml:space="preserve">); all other post-review tables in</w:t>
      </w:r>
      <w:r>
        <w:t xml:space="preserve"> </w:t>
      </w:r>
      <w:r>
        <w:rPr>
          <w:rStyle w:val="VerbatimChar"/>
        </w:rPr>
        <w:t xml:space="preserve">results/revision/</w:t>
      </w:r>
      <w:r>
        <w:t xml:space="preserve"> </w:t>
      </w:r>
      <w:r>
        <w:t xml:space="preserve">(summary:</w:t>
      </w:r>
      <w:r>
        <w:t xml:space="preserve"> </w:t>
      </w:r>
      <w:r>
        <w:rPr>
          <w:rStyle w:val="VerbatimChar"/>
        </w:rPr>
        <w:t xml:space="preserve">results/revision/SUMMARY.md</w:t>
      </w:r>
      <w:r>
        <w:t xml:space="preserve">).</w:t>
      </w:r>
    </w:p>
    <w:p>
      <w:pPr>
        <w:pStyle w:val="BodyText"/>
      </w:pPr>
      <w:r>
        <w:rPr>
          <w:bCs/>
          <w:b/>
        </w:rPr>
        <w:t xml:space="preserve">S10 Table. Decisive experiments for the ten report genes.</w:t>
      </w:r>
      <w:r>
        <w:t xml:space="preserve"> </w:t>
      </w:r>
      <w:r>
        <w:rPr>
          <w:rStyle w:val="VerbatimChar"/>
        </w:rPr>
        <w:t xml:space="preserve">manuscript/supplementary/S10_Table_decisive_experiments.tsv</w:t>
      </w:r>
      <w:r>
        <w:t xml:space="preserve"> </w:t>
      </w:r>
      <w:r>
        <w:t xml:space="preserve">(moved from the candidate-report table, now Table 2, with post-review notes).</w:t>
      </w:r>
    </w:p>
    <w:p>
      <w:pPr>
        <w:pStyle w:val="BodyText"/>
      </w:pPr>
      <w:r>
        <w:rPr>
          <w:bCs/>
          <w:b/>
        </w:rPr>
        <w:t xml:space="preserve">S1–S10 Reports. Candidate reports.</w:t>
      </w:r>
      <w:r>
        <w:t xml:space="preserve"> </w:t>
      </w:r>
      <w:r>
        <w:rPr>
          <w:rStyle w:val="VerbatimChar"/>
        </w:rPr>
        <w:t xml:space="preserve">reports/ANKRD52.md</w:t>
      </w:r>
      <w:r>
        <w:t xml:space="preserve"> </w:t>
      </w:r>
      <w:r>
        <w:t xml:space="preserve">(with</w:t>
      </w:r>
      <w:r>
        <w:t xml:space="preserve"> </w:t>
      </w:r>
      <w:r>
        <w:rPr>
          <w:rStyle w:val="VerbatimChar"/>
        </w:rPr>
        <w:t xml:space="preserve">ANKRD52_experiments.md</w:t>
      </w:r>
      <w:r>
        <w:t xml:space="preserve">),</w:t>
      </w:r>
      <w:r>
        <w:t xml:space="preserve"> </w:t>
      </w:r>
      <w:r>
        <w:rPr>
          <w:rStyle w:val="VerbatimChar"/>
        </w:rPr>
        <w:t xml:space="preserve">reports/TRAPPC5.md</w:t>
      </w:r>
      <w:r>
        <w:t xml:space="preserve"> </w:t>
      </w:r>
      <w:r>
        <w:t xml:space="preserve">(with</w:t>
      </w:r>
      <w:r>
        <w:t xml:space="preserve"> </w:t>
      </w:r>
      <w:r>
        <w:rPr>
          <w:rStyle w:val="VerbatimChar"/>
        </w:rPr>
        <w:t xml:space="preserve">TRAPPC5_experiments.md</w:t>
      </w:r>
      <w:r>
        <w:t xml:space="preserve">),</w:t>
      </w:r>
      <w:r>
        <w:t xml:space="preserve"> </w:t>
      </w:r>
      <w:r>
        <w:rPr>
          <w:rStyle w:val="VerbatimChar"/>
        </w:rPr>
        <w:t xml:space="preserve">reports/RBM34.md</w:t>
      </w:r>
      <w:r>
        <w:t xml:space="preserve">,</w:t>
      </w:r>
      <w:r>
        <w:t xml:space="preserve"> </w:t>
      </w:r>
      <w:r>
        <w:rPr>
          <w:rStyle w:val="VerbatimChar"/>
        </w:rPr>
        <w:t xml:space="preserve">reports/PLEKHH3.md</w:t>
      </w:r>
      <w:r>
        <w:t xml:space="preserve">,</w:t>
      </w:r>
      <w:r>
        <w:t xml:space="preserve"> </w:t>
      </w:r>
      <w:r>
        <w:rPr>
          <w:rStyle w:val="VerbatimChar"/>
        </w:rPr>
        <w:t xml:space="preserve">reports/CCDC71L.md</w:t>
      </w:r>
      <w:r>
        <w:t xml:space="preserve">,</w:t>
      </w:r>
      <w:r>
        <w:t xml:space="preserve"> </w:t>
      </w:r>
      <w:r>
        <w:rPr>
          <w:rStyle w:val="VerbatimChar"/>
        </w:rPr>
        <w:t xml:space="preserve">reports/TM2D2.md</w:t>
      </w:r>
      <w:r>
        <w:t xml:space="preserve">,</w:t>
      </w:r>
      <w:r>
        <w:t xml:space="preserve"> </w:t>
      </w:r>
      <w:r>
        <w:rPr>
          <w:rStyle w:val="VerbatimChar"/>
        </w:rPr>
        <w:t xml:space="preserve">reports/TM2D1.md</w:t>
      </w:r>
      <w:r>
        <w:t xml:space="preserve">,</w:t>
      </w:r>
      <w:r>
        <w:t xml:space="preserve"> </w:t>
      </w:r>
      <w:r>
        <w:rPr>
          <w:rStyle w:val="VerbatimChar"/>
        </w:rPr>
        <w:t xml:space="preserve">reports/C5orf34.md</w:t>
      </w:r>
      <w:r>
        <w:t xml:space="preserve">,</w:t>
      </w:r>
      <w:r>
        <w:t xml:space="preserve"> </w:t>
      </w:r>
      <w:r>
        <w:rPr>
          <w:rStyle w:val="VerbatimChar"/>
        </w:rPr>
        <w:t xml:space="preserve">reports/BICRAL.md</w:t>
      </w:r>
      <w:r>
        <w:t xml:space="preserve">,</w:t>
      </w:r>
      <w:r>
        <w:t xml:space="preserve"> </w:t>
      </w:r>
      <w:r>
        <w:rPr>
          <w:rStyle w:val="VerbatimChar"/>
        </w:rPr>
        <w:t xml:space="preserve">reports/INAFM1.md</w:t>
      </w:r>
      <w:r>
        <w:t xml:space="preserve">; red-team reviews in</w:t>
      </w:r>
      <w:r>
        <w:t xml:space="preserve"> </w:t>
      </w:r>
      <w:r>
        <w:rPr>
          <w:rStyle w:val="VerbatimChar"/>
        </w:rPr>
        <w:t xml:space="preserve">reports/redteam/</w:t>
      </w:r>
      <w:r>
        <w:t xml:space="preserve">; machine-generated evidence bundles in</w:t>
      </w:r>
      <w:r>
        <w:t xml:space="preserve"> </w:t>
      </w:r>
      <w:r>
        <w:rPr>
          <w:rStyle w:val="VerbatimChar"/>
        </w:rPr>
        <w:t xml:space="preserve">reports/data/</w:t>
      </w:r>
      <w:r>
        <w:t xml:space="preserve">.</w:t>
      </w:r>
    </w:p>
    <w:p>
      <w:pPr>
        <w:pStyle w:val="BodyText"/>
      </w:pPr>
      <w:r>
        <w:rPr>
          <w:bCs/>
          <w:b/>
        </w:rPr>
        <w:t xml:space="preserve">S1 Text. Supplementary results.</w:t>
      </w:r>
      <w:r>
        <w:t xml:space="preserve"> </w:t>
      </w:r>
      <w:r>
        <w:t xml:space="preserve">Verification, sensitivity and secondary analyses moved from the Results in</w:t>
      </w:r>
      <w:r>
        <w:t xml:space="preserve"> </w:t>
      </w:r>
      <w:r>
        <w:t xml:space="preserve">revision (tool reproduction and ranker choice; census strata and the rank-biased-overlap and null-adjusted</w:t>
      </w:r>
      <w:r>
        <w:t xml:space="preserve"> </w:t>
      </w:r>
      <w:r>
        <w:t xml:space="preserve">assessability analyses; hold-out robustness, calibration details, named controls and complementarity; catalogue</w:t>
      </w:r>
      <w:r>
        <w:t xml:space="preserve"> </w:t>
      </w:r>
      <w:r>
        <w:t xml:space="preserve">coverage, Σp_cal sensitivities, clean-negative false calls, artefact flags, orthogonal support and top-40 checks;</w:t>
      </w:r>
      <w:r>
        <w:t xml:space="preserve"> </w:t>
      </w:r>
      <w:r>
        <w:t xml:space="preserve">judging details and alternative tests), Table A (the top-40 and S20 predictions judged supported by the literature,</w:t>
      </w:r>
      <w:r>
        <w:t xml:space="preserve"> </w:t>
      </w:r>
      <w:r>
        <w:t xml:space="preserve">formerly Table 2) and the full candidate-report narrative.</w:t>
      </w:r>
      <w:r>
        <w:t xml:space="preserve"> </w:t>
      </w:r>
      <w:r>
        <w:rPr>
          <w:rStyle w:val="VerbatimChar"/>
        </w:rPr>
        <w:t xml:space="preserve">manuscript/supplementary/S1_Text.md</w:t>
      </w:r>
      <w:r>
        <w:t xml:space="preserve">.</w:t>
      </w:r>
    </w:p>
    <w:p>
      <w:pPr>
        <w:pStyle w:val="BodyText"/>
      </w:pPr>
      <w:r>
        <w:rPr>
          <w:bCs/>
          <w:b/>
        </w:rPr>
        <w:t xml:space="preserve">S2 Text. Frozen study design.</w:t>
      </w:r>
      <w:r>
        <w:t xml:space="preserve"> </w:t>
      </w:r>
      <w:r>
        <w:rPr>
          <w:rStyle w:val="VerbatimChar"/>
        </w:rPr>
        <w:t xml:space="preserve">DESIGN.md</w:t>
      </w:r>
      <w:r>
        <w:t xml:space="preserve"> </w:t>
      </w:r>
      <w:r>
        <w:t xml:space="preserve">v2.3 (tag</w:t>
      </w:r>
      <w:r>
        <w:t xml:space="preserve"> </w:t>
      </w:r>
      <w:r>
        <w:rPr>
          <w:rStyle w:val="VerbatimChar"/>
        </w:rPr>
        <w:t xml:space="preserve">design-frozen</w:t>
      </w:r>
      <w:r>
        <w:t xml:space="preserve">) and design reviews (</w:t>
      </w:r>
      <w:r>
        <w:rPr>
          <w:rStyle w:val="VerbatimChar"/>
        </w:rPr>
        <w:t xml:space="preserve">reviews/</w:t>
      </w:r>
      <w:r>
        <w:t xml:space="preserve">).</w:t>
      </w:r>
    </w:p>
    <w:p>
      <w:pPr>
        <w:pStyle w:val="BodyText"/>
      </w:pPr>
      <w:r>
        <w:rPr>
          <w:bCs/>
          <w:b/>
        </w:rPr>
        <w:t xml:space="preserve">S1 Data. Figure source data.</w:t>
      </w:r>
      <w:r>
        <w:t xml:space="preserve"> </w:t>
      </w:r>
      <w:r>
        <w:rPr>
          <w:rStyle w:val="VerbatimChar"/>
        </w:rPr>
        <w:t xml:space="preserve">manuscript/figures/source_data/</w:t>
      </w:r>
      <w:r>
        <w:t xml:space="preserve"> </w:t>
      </w:r>
      <w:r>
        <w:t xml:space="preserve">(including S4 Fig).</w:t>
      </w:r>
    </w:p>
    <w:p>
      <w:pPr>
        <w:pStyle w:val="BodyText"/>
      </w:pPr>
      <w:r>
        <w:rPr>
          <w:bCs/>
          <w:b/>
        </w:rPr>
        <w:t xml:space="preserve">S3 Text. Responses to reviewers and verbatim agent prompts.</w:t>
      </w:r>
      <w:r>
        <w:t xml:space="preserve"> </w:t>
      </w:r>
      <w:r>
        <w:rPr>
          <w:rStyle w:val="VerbatimChar"/>
        </w:rPr>
        <w:t xml:space="preserve">reviews/ms_round1_response.md</w:t>
      </w:r>
      <w:r>
        <w:t xml:space="preserve">,</w:t>
      </w:r>
      <w:r>
        <w:t xml:space="preserve"> </w:t>
      </w:r>
      <w:r>
        <w:rPr>
          <w:rStyle w:val="VerbatimChar"/>
        </w:rPr>
        <w:t xml:space="preserve">reviews/ms_round2_response.md</w:t>
      </w:r>
      <w:r>
        <w:t xml:space="preserve">;</w:t>
      </w:r>
      <w:r>
        <w:t xml:space="preserve"> </w:t>
      </w:r>
      <w:r>
        <w:rPr>
          <w:rStyle w:val="VerbatimChar"/>
        </w:rPr>
        <w:t xml:space="preserve">docs/AGENT_PROMPTS.md</w:t>
      </w:r>
      <w:r>
        <w:t xml:space="preserve">.</w:t>
      </w:r>
    </w:p>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60" Target="media/rId60.png" /><Relationship Type="http://schemas.openxmlformats.org/officeDocument/2006/relationships/image" Id="rId61" Target="media/rId61.png" /><Relationship Type="http://schemas.openxmlformats.org/officeDocument/2006/relationships/image" Id="rId62" Target="media/rId62.png" /><Relationship Type="http://schemas.openxmlformats.org/officeDocument/2006/relationships/image" Id="rId63" Target="media/rId63.png" /><Relationship Type="http://schemas.openxmlformats.org/officeDocument/2006/relationships/image" Id="rId64" Target="media/rId64.png" /><Relationship Type="http://schemas.openxmlformats.org/officeDocument/2006/relationships/image" Id="rId65" Target="media/rId65.png" /><Relationship Type="http://schemas.openxmlformats.org/officeDocument/2006/relationships/image" Id="rId66" Target="media/rId66.png" /><Relationship Type="http://schemas.openxmlformats.org/officeDocument/2006/relationships/image" Id="rId67" Target="media/rId6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pre-registered, temporally validated evaluation of co-essentiality function predictions for uncharacterised human genes: modest accuracy, narrow reach and many already-published functions</dc:title>
  <dc:creator/>
  <cp:keywords/>
  <dcterms:created xsi:type="dcterms:W3CDTF">2026-10-30T11:38:09Z</dcterms:created>
  <dcterms:modified xsi:type="dcterms:W3CDTF">2026-10-30T11:38:09Z</dcterms:modified>
</cp:coreProperties>
</file>

<file path=docProps/custom.xml><?xml version="1.0" encoding="utf-8"?>
<Properties xmlns="http://schemas.openxmlformats.org/officeDocument/2006/custom-properties" xmlns:vt="http://schemas.openxmlformats.org/officeDocument/2006/docPropsVTypes"/>
</file>