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"/>
      </w:pPr>
      <w:r>
        <w:rPr>
          <w:rFonts w:ascii="Calibri" w:cs="Calibri" w:eastAsia="Calibri" w:hAnsi="Calibri"/>
          <w:b/>
          <w:bCs/>
          <w:color w:val="2E86AB"/>
          <w:spacing w:val="200"/>
          <w:sz w:val="14"/>
          <w:szCs w:val="14"/>
        </w:rPr>
        <w:t xml:space="preserve">RESEARCH BRIEF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1B2A4A"/>
          <w:sz w:val="32"/>
          <w:szCs w:val="32"/>
        </w:rPr>
        <w:t xml:space="preserve">Legal Department Sizing in Fortune 500 Companies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636E72"/>
          <w:sz w:val="20"/>
          <w:szCs w:val="20"/>
        </w:rPr>
        <w:t xml:space="preserve">Headcount parameters and document taxonomy for RAG system design</w:t>
      </w:r>
    </w:p>
    <w:p>
      <w:pPr>
        <w:pBdr>
          <w:bottom w:val="single" w:color="1B2A4A" w:sz="6" w:space="1"/>
        </w:pBdr>
        <w:spacing w:after="200"/>
      </w:pPr>
    </w:p>
    <w:p>
      <w:pPr>
        <w:pStyle w:val="Heading1"/>
      </w:pPr>
      <w:r>
        <w:t xml:space="preserve">1. Legal department size</w:t>
      </w:r>
    </w:p>
    <w:p>
      <w:pPr>
        <w:spacing w:after="100"/>
      </w:pPr>
      <w:r>
        <w:rPr>
          <w:sz w:val="18"/>
          <w:szCs w:val="18"/>
        </w:rPr>
        <w:t xml:space="preserve">According to the </w:t>
      </w:r>
      <w:r>
        <w:rPr>
          <w:i/>
          <w:iCs/>
          <w:sz w:val="18"/>
          <w:szCs w:val="18"/>
        </w:rPr>
        <w:t xml:space="preserve">ACC 2023 Law Department Management Benchmarking Report</w:t>
      </w:r>
      <w:r>
        <w:rPr>
          <w:sz w:val="18"/>
          <w:szCs w:val="18"/>
        </w:rPr>
        <w:t xml:space="preserve">, lawyers represent 0.33% of total company employees in a typical organization, equivalent to one lawyer per 300 employees. In companies with revenue exceeding $20B USD, this ratio drops to 0.14%, with each lawyer supporting approximately 714 employees. The median total legal staff for this segment is 145 people, of whom 80 are lawyers.</w:t>
      </w:r>
    </w:p>
    <w:p>
      <w:pPr>
        <w:pStyle w:val="Heading2"/>
      </w:pPr>
      <w:r>
        <w:t xml:space="preserve">Legal headcount by revenue segment (median)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200"/>
        <w:gridCol w:w="2840"/>
      </w:tblGrid>
      <w:tr>
        <w:tc>
          <w:tcPr>
            <w:tcW w:type="dxa" w:w="28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Segment (revenue)</w:t>
            </w:r>
          </w:p>
        </w:tc>
        <w:tc>
          <w:tcPr>
            <w:tcW w:type="dxa" w:w="20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Lawyers</w:t>
            </w:r>
          </w:p>
        </w:tc>
        <w:tc>
          <w:tcPr>
            <w:tcW w:type="dxa" w:w="2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Total staff</w:t>
            </w:r>
          </w:p>
        </w:tc>
        <w:tc>
          <w:tcPr>
            <w:tcW w:type="dxa" w:w="284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Source</w:t>
            </w:r>
          </w:p>
        </w:tc>
      </w:tr>
      <w:tr>
        <w:tc>
          <w:tcPr>
            <w:tcW w:type="dxa" w:w="28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3436"/>
                <w:sz w:val="16"/>
                <w:szCs w:val="16"/>
              </w:rPr>
              <w:t xml:space="preserve">&lt; $1B USD</w:t>
            </w:r>
          </w:p>
        </w:tc>
        <w:tc>
          <w:tcPr>
            <w:tcW w:type="dxa" w:w="20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3436"/>
                <w:sz w:val="16"/>
                <w:szCs w:val="16"/>
              </w:rPr>
              <w:t xml:space="preserve">2</w:t>
            </w:r>
          </w:p>
        </w:tc>
        <w:tc>
          <w:tcPr>
            <w:tcW w:type="dxa" w:w="2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3436"/>
                <w:sz w:val="16"/>
                <w:szCs w:val="16"/>
              </w:rPr>
              <w:t xml:space="preserve">4</w:t>
            </w:r>
          </w:p>
        </w:tc>
        <w:tc>
          <w:tcPr>
            <w:tcW w:type="dxa" w:w="284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3436"/>
                <w:sz w:val="16"/>
                <w:szCs w:val="16"/>
              </w:rPr>
              <w:t xml:space="preserve">ACC 2023</w:t>
            </w:r>
          </w:p>
        </w:tc>
      </w:tr>
      <w:tr>
        <w:tc>
          <w:tcPr>
            <w:tcW w:type="dxa" w:w="28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3436"/>
                <w:sz w:val="16"/>
                <w:szCs w:val="16"/>
              </w:rPr>
              <w:t xml:space="preserve">$1B – $5B USD</w:t>
            </w:r>
          </w:p>
        </w:tc>
        <w:tc>
          <w:tcPr>
            <w:tcW w:type="dxa" w:w="20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3436"/>
                <w:sz w:val="16"/>
                <w:szCs w:val="16"/>
              </w:rPr>
              <w:t xml:space="preserve">10</w:t>
            </w:r>
          </w:p>
        </w:tc>
        <w:tc>
          <w:tcPr>
            <w:tcW w:type="dxa" w:w="2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3436"/>
                <w:sz w:val="16"/>
                <w:szCs w:val="16"/>
              </w:rPr>
              <w:t xml:space="preserve">17</w:t>
            </w:r>
          </w:p>
        </w:tc>
        <w:tc>
          <w:tcPr>
            <w:tcW w:type="dxa" w:w="284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3436"/>
                <w:sz w:val="16"/>
                <w:szCs w:val="16"/>
              </w:rPr>
              <w:t xml:space="preserve">ACC 2023</w:t>
            </w:r>
          </w:p>
        </w:tc>
      </w:tr>
      <w:tr>
        <w:tc>
          <w:tcPr>
            <w:tcW w:type="dxa" w:w="28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3436"/>
                <w:sz w:val="16"/>
                <w:szCs w:val="16"/>
              </w:rPr>
              <w:t xml:space="preserve">$5B – $20B USD</w:t>
            </w:r>
          </w:p>
        </w:tc>
        <w:tc>
          <w:tcPr>
            <w:tcW w:type="dxa" w:w="20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3436"/>
                <w:sz w:val="16"/>
                <w:szCs w:val="16"/>
              </w:rPr>
              <w:t xml:space="preserve">38</w:t>
            </w:r>
          </w:p>
        </w:tc>
        <w:tc>
          <w:tcPr>
            <w:tcW w:type="dxa" w:w="2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3436"/>
                <w:sz w:val="16"/>
                <w:szCs w:val="16"/>
              </w:rPr>
              <w:t xml:space="preserve">81</w:t>
            </w:r>
          </w:p>
        </w:tc>
        <w:tc>
          <w:tcPr>
            <w:tcW w:type="dxa" w:w="284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3436"/>
                <w:sz w:val="16"/>
                <w:szCs w:val="16"/>
              </w:rPr>
              <w:t xml:space="preserve">ACC 2023</w:t>
            </w:r>
          </w:p>
        </w:tc>
      </w:tr>
      <w:tr>
        <w:tc>
          <w:tcPr>
            <w:tcW w:type="dxa" w:w="28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D3436"/>
                <w:sz w:val="16"/>
                <w:szCs w:val="16"/>
              </w:rPr>
              <w:t xml:space="preserve">&gt; $20B USD</w:t>
            </w:r>
          </w:p>
        </w:tc>
        <w:tc>
          <w:tcPr>
            <w:tcW w:type="dxa" w:w="20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D3436"/>
                <w:sz w:val="16"/>
                <w:szCs w:val="16"/>
              </w:rPr>
              <w:t xml:space="preserve">80</w:t>
            </w:r>
          </w:p>
        </w:tc>
        <w:tc>
          <w:tcPr>
            <w:tcW w:type="dxa" w:w="2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D3436"/>
                <w:sz w:val="16"/>
                <w:szCs w:val="16"/>
              </w:rPr>
              <w:t xml:space="preserve">145</w:t>
            </w:r>
          </w:p>
        </w:tc>
        <w:tc>
          <w:tcPr>
            <w:tcW w:type="dxa" w:w="284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3436"/>
                <w:sz w:val="16"/>
                <w:szCs w:val="16"/>
              </w:rPr>
              <w:t xml:space="preserve">ACC 2023</w:t>
            </w:r>
          </w:p>
        </w:tc>
      </w:tr>
    </w:tbl>
    <w:p>
      <w:pPr>
        <w:spacing w:after="80" w:before="140"/>
      </w:pPr>
      <w:r>
        <w:rPr>
          <w:sz w:val="18"/>
          <w:szCs w:val="18"/>
        </w:rPr>
        <w:t xml:space="preserve">The ACC/MLA 2022 report establishes the typical department composition as: lawyers (~66%), paralegals (~12%), administrative staff (~8%), legal operations (~5%), and other roles (~9%). Larger companies tend to employ a higher proportion of paralegals relative to lawyers.</w:t>
      </w:r>
    </w:p>
    <w:p>
      <w:pPr>
        <w:pStyle w:val="Heading2"/>
      </w:pPr>
      <w:r>
        <w:t xml:space="preserve">Estimate for a 50,000-employee company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80"/>
        <w:gridCol w:w="2280"/>
        <w:gridCol w:w="2280"/>
      </w:tblGrid>
      <w:tr>
        <w:tc>
          <w:tcPr>
            <w:tcW w:type="dxa" w:w="30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Role</w:t>
            </w:r>
          </w:p>
        </w:tc>
        <w:tc>
          <w:tcPr>
            <w:tcW w:type="dxa" w:w="228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Low est.</w:t>
            </w:r>
          </w:p>
        </w:tc>
        <w:tc>
          <w:tcPr>
            <w:tcW w:type="dxa" w:w="228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Mid est.</w:t>
            </w:r>
          </w:p>
        </w:tc>
        <w:tc>
          <w:tcPr>
            <w:tcW w:type="dxa" w:w="228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High est.</w:t>
            </w:r>
          </w:p>
        </w:tc>
      </w:tr>
      <w:tr>
        <w:tc>
          <w:tcPr>
            <w:tcW w:type="dxa" w:w="30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3436"/>
                <w:sz w:val="16"/>
                <w:szCs w:val="16"/>
              </w:rPr>
              <w:t xml:space="preserve">Lawyers</w:t>
            </w:r>
          </w:p>
        </w:tc>
        <w:tc>
          <w:tcPr>
            <w:tcW w:type="dxa" w:w="228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3436"/>
                <w:sz w:val="16"/>
                <w:szCs w:val="16"/>
              </w:rPr>
              <w:t xml:space="preserve">50</w:t>
            </w:r>
          </w:p>
        </w:tc>
        <w:tc>
          <w:tcPr>
            <w:tcW w:type="dxa" w:w="228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3436"/>
                <w:sz w:val="16"/>
                <w:szCs w:val="16"/>
              </w:rPr>
              <w:t xml:space="preserve">80</w:t>
            </w:r>
          </w:p>
        </w:tc>
        <w:tc>
          <w:tcPr>
            <w:tcW w:type="dxa" w:w="228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3436"/>
                <w:sz w:val="16"/>
                <w:szCs w:val="16"/>
              </w:rPr>
              <w:t xml:space="preserve">120</w:t>
            </w:r>
          </w:p>
        </w:tc>
      </w:tr>
      <w:tr>
        <w:tc>
          <w:tcPr>
            <w:tcW w:type="dxa" w:w="30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3436"/>
                <w:sz w:val="16"/>
                <w:szCs w:val="16"/>
              </w:rPr>
              <w:t xml:space="preserve">Paralegals</w:t>
            </w:r>
          </w:p>
        </w:tc>
        <w:tc>
          <w:tcPr>
            <w:tcW w:type="dxa" w:w="228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3436"/>
                <w:sz w:val="16"/>
                <w:szCs w:val="16"/>
              </w:rPr>
              <w:t xml:space="preserve">15</w:t>
            </w:r>
          </w:p>
        </w:tc>
        <w:tc>
          <w:tcPr>
            <w:tcW w:type="dxa" w:w="228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3436"/>
                <w:sz w:val="16"/>
                <w:szCs w:val="16"/>
              </w:rPr>
              <w:t xml:space="preserve">25</w:t>
            </w:r>
          </w:p>
        </w:tc>
        <w:tc>
          <w:tcPr>
            <w:tcW w:type="dxa" w:w="228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3436"/>
                <w:sz w:val="16"/>
                <w:szCs w:val="16"/>
              </w:rPr>
              <w:t xml:space="preserve">40</w:t>
            </w:r>
          </w:p>
        </w:tc>
      </w:tr>
      <w:tr>
        <w:tc>
          <w:tcPr>
            <w:tcW w:type="dxa" w:w="30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3436"/>
                <w:sz w:val="16"/>
                <w:szCs w:val="16"/>
              </w:rPr>
              <w:t xml:space="preserve">Legal Operations</w:t>
            </w:r>
          </w:p>
        </w:tc>
        <w:tc>
          <w:tcPr>
            <w:tcW w:type="dxa" w:w="228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3436"/>
                <w:sz w:val="16"/>
                <w:szCs w:val="16"/>
              </w:rPr>
              <w:t xml:space="preserve">4</w:t>
            </w:r>
          </w:p>
        </w:tc>
        <w:tc>
          <w:tcPr>
            <w:tcW w:type="dxa" w:w="228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3436"/>
                <w:sz w:val="16"/>
                <w:szCs w:val="16"/>
              </w:rPr>
              <w:t xml:space="preserve">8</w:t>
            </w:r>
          </w:p>
        </w:tc>
        <w:tc>
          <w:tcPr>
            <w:tcW w:type="dxa" w:w="228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3436"/>
                <w:sz w:val="16"/>
                <w:szCs w:val="16"/>
              </w:rPr>
              <w:t xml:space="preserve">12</w:t>
            </w:r>
          </w:p>
        </w:tc>
      </w:tr>
      <w:tr>
        <w:tc>
          <w:tcPr>
            <w:tcW w:type="dxa" w:w="30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3436"/>
                <w:sz w:val="16"/>
                <w:szCs w:val="16"/>
              </w:rPr>
              <w:t xml:space="preserve">Administrative staff</w:t>
            </w:r>
          </w:p>
        </w:tc>
        <w:tc>
          <w:tcPr>
            <w:tcW w:type="dxa" w:w="228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3436"/>
                <w:sz w:val="16"/>
                <w:szCs w:val="16"/>
              </w:rPr>
              <w:t xml:space="preserve">8</w:t>
            </w:r>
          </w:p>
        </w:tc>
        <w:tc>
          <w:tcPr>
            <w:tcW w:type="dxa" w:w="228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3436"/>
                <w:sz w:val="16"/>
                <w:szCs w:val="16"/>
              </w:rPr>
              <w:t xml:space="preserve">12</w:t>
            </w:r>
          </w:p>
        </w:tc>
        <w:tc>
          <w:tcPr>
            <w:tcW w:type="dxa" w:w="228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3436"/>
                <w:sz w:val="16"/>
                <w:szCs w:val="16"/>
              </w:rPr>
              <w:t xml:space="preserve">18</w:t>
            </w:r>
          </w:p>
        </w:tc>
      </w:tr>
      <w:tr>
        <w:tc>
          <w:tcPr>
            <w:tcW w:type="dxa" w:w="30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3436"/>
                <w:sz w:val="16"/>
                <w:szCs w:val="16"/>
              </w:rPr>
              <w:t xml:space="preserve">Other</w:t>
            </w:r>
          </w:p>
        </w:tc>
        <w:tc>
          <w:tcPr>
            <w:tcW w:type="dxa" w:w="228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3436"/>
                <w:sz w:val="16"/>
                <w:szCs w:val="16"/>
              </w:rPr>
              <w:t xml:space="preserve">10</w:t>
            </w:r>
          </w:p>
        </w:tc>
        <w:tc>
          <w:tcPr>
            <w:tcW w:type="dxa" w:w="228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3436"/>
                <w:sz w:val="16"/>
                <w:szCs w:val="16"/>
              </w:rPr>
              <w:t xml:space="preserve">20</w:t>
            </w:r>
          </w:p>
        </w:tc>
        <w:tc>
          <w:tcPr>
            <w:tcW w:type="dxa" w:w="228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3436"/>
                <w:sz w:val="16"/>
                <w:szCs w:val="16"/>
              </w:rPr>
              <w:t xml:space="preserve">30</w:t>
            </w:r>
          </w:p>
        </w:tc>
      </w:tr>
      <w:tr>
        <w:tc>
          <w:tcPr>
            <w:tcW w:type="dxa" w:w="30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D3436"/>
                <w:sz w:val="16"/>
                <w:szCs w:val="16"/>
              </w:rPr>
              <w:t xml:space="preserve">Total</w:t>
            </w:r>
          </w:p>
        </w:tc>
        <w:tc>
          <w:tcPr>
            <w:tcW w:type="dxa" w:w="228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D3436"/>
                <w:sz w:val="16"/>
                <w:szCs w:val="16"/>
              </w:rPr>
              <w:t xml:space="preserve">87</w:t>
            </w:r>
          </w:p>
        </w:tc>
        <w:tc>
          <w:tcPr>
            <w:tcW w:type="dxa" w:w="228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D3436"/>
                <w:sz w:val="16"/>
                <w:szCs w:val="16"/>
              </w:rPr>
              <w:t xml:space="preserve">145</w:t>
            </w:r>
          </w:p>
        </w:tc>
        <w:tc>
          <w:tcPr>
            <w:tcW w:type="dxa" w:w="228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D3436"/>
                <w:sz w:val="16"/>
                <w:szCs w:val="16"/>
              </w:rPr>
              <w:t xml:space="preserve">220</w:t>
            </w:r>
          </w:p>
        </w:tc>
      </w:tr>
    </w:tbl>
    <w:p>
      <w:pPr>
        <w:spacing w:after="60" w:before="100"/>
      </w:pPr>
      <w:r>
        <w:rPr>
          <w:sz w:val="18"/>
          <w:szCs w:val="18"/>
        </w:rPr>
        <w:t xml:space="preserve">Variation depends on sector: highly regulated industries (finance, healthcare, energy) operate at the high end. Data from Legal.io indicates that a retail company with $6B in revenue and 50,000 employees may operate with as few as five lawyers, while a technology firm with $5B–$10B reports approximately 40 people in legal.</w:t>
      </w:r>
    </w:p>
    <w:p>
      <w:pPr>
        <w:pStyle w:val="Heading1"/>
      </w:pPr>
      <w:r>
        <w:t xml:space="preserve">2. Document taxonomy: 200,000-document corpus</w:t>
      </w:r>
    </w:p>
    <w:p>
      <w:pPr>
        <w:spacing w:after="80"/>
      </w:pPr>
      <w:r>
        <w:rPr>
          <w:sz w:val="18"/>
          <w:szCs w:val="18"/>
        </w:rPr>
        <w:t xml:space="preserve">According to SpotDraft and Zignt (citing industry data), an average Fortune 500 company manages between 20,000 and 40,000 active contracts at any given time. The EY </w:t>
      </w:r>
      <w:r>
        <w:rPr>
          <w:i/>
          <w:iCs/>
          <w:sz w:val="18"/>
          <w:szCs w:val="18"/>
        </w:rPr>
        <w:t xml:space="preserve">General Counsel Imperative</w:t>
      </w:r>
      <w:r>
        <w:rPr>
          <w:sz w:val="18"/>
          <w:szCs w:val="18"/>
        </w:rPr>
        <w:t xml:space="preserve"> study indicates that contracting teams at large organizations manage an average of 19,000 contracts per year, with the busiest exceeding 50,000 annually. The ACC 2023 report confirms that over 95% of legal departments handle contract management, compliance, records management, governance, and privacy in-house.</w:t>
      </w:r>
    </w:p>
    <w:p>
      <w:pPr>
        <w:pStyle w:val="Heading2"/>
      </w:pPr>
      <w:r>
        <w:t xml:space="preserve">Proposed document corpus categorization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1400"/>
        <w:gridCol w:w="4640"/>
      </w:tblGrid>
      <w:tr>
        <w:tc>
          <w:tcPr>
            <w:tcW w:type="dxa" w:w="26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Category</w:t>
            </w:r>
          </w:p>
        </w:tc>
        <w:tc>
          <w:tcPr>
            <w:tcW w:type="dxa" w:w="1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% est.</w:t>
            </w:r>
          </w:p>
        </w:tc>
        <w:tc>
          <w:tcPr>
            <w:tcW w:type="dxa" w:w="14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Volume</w:t>
            </w:r>
          </w:p>
        </w:tc>
        <w:tc>
          <w:tcPr>
            <w:tcW w:type="dxa" w:w="464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Key subcategories</w:t>
            </w:r>
          </w:p>
        </w:tc>
      </w:tr>
      <w:tr>
        <w:tc>
          <w:tcPr>
            <w:tcW w:type="dxa" w:w="26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D3436"/>
                <w:sz w:val="16"/>
                <w:szCs w:val="16"/>
              </w:rPr>
              <w:t xml:space="preserve">Contracts &amp; agreements</w:t>
            </w:r>
          </w:p>
        </w:tc>
        <w:tc>
          <w:tcPr>
            <w:tcW w:type="dxa" w:w="1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3436"/>
                <w:sz w:val="16"/>
                <w:szCs w:val="16"/>
              </w:rPr>
              <w:t xml:space="preserve">35%</w:t>
            </w:r>
          </w:p>
        </w:tc>
        <w:tc>
          <w:tcPr>
            <w:tcW w:type="dxa" w:w="14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3436"/>
                <w:sz w:val="16"/>
                <w:szCs w:val="16"/>
              </w:rPr>
              <w:t xml:space="preserve">70,000</w:t>
            </w:r>
          </w:p>
        </w:tc>
        <w:tc>
          <w:tcPr>
            <w:tcW w:type="dxa" w:w="464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3436"/>
                <w:sz w:val="16"/>
                <w:szCs w:val="16"/>
              </w:rPr>
              <w:t xml:space="preserve">NDAs, MSAs, SOWs, licenses, leases, JVs</w:t>
            </w:r>
          </w:p>
        </w:tc>
      </w:tr>
      <w:tr>
        <w:tc>
          <w:tcPr>
            <w:tcW w:type="dxa" w:w="26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D3436"/>
                <w:sz w:val="16"/>
                <w:szCs w:val="16"/>
              </w:rPr>
              <w:t xml:space="preserve">Employment documents</w:t>
            </w:r>
          </w:p>
        </w:tc>
        <w:tc>
          <w:tcPr>
            <w:tcW w:type="dxa" w:w="1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3436"/>
                <w:sz w:val="16"/>
                <w:szCs w:val="16"/>
              </w:rPr>
              <w:t xml:space="preserve">15%</w:t>
            </w:r>
          </w:p>
        </w:tc>
        <w:tc>
          <w:tcPr>
            <w:tcW w:type="dxa" w:w="14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3436"/>
                <w:sz w:val="16"/>
                <w:szCs w:val="16"/>
              </w:rPr>
              <w:t xml:space="preserve">30,000</w:t>
            </w:r>
          </w:p>
        </w:tc>
        <w:tc>
          <w:tcPr>
            <w:tcW w:type="dxa" w:w="464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3436"/>
                <w:sz w:val="16"/>
                <w:szCs w:val="16"/>
              </w:rPr>
              <w:t xml:space="preserve">Employment contracts, policies, benefit plans, terminations</w:t>
            </w:r>
          </w:p>
        </w:tc>
      </w:tr>
      <w:tr>
        <w:tc>
          <w:tcPr>
            <w:tcW w:type="dxa" w:w="26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D3436"/>
                <w:sz w:val="16"/>
                <w:szCs w:val="16"/>
              </w:rPr>
              <w:t xml:space="preserve">Compliance &amp; regulatory</w:t>
            </w:r>
          </w:p>
        </w:tc>
        <w:tc>
          <w:tcPr>
            <w:tcW w:type="dxa" w:w="1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3436"/>
                <w:sz w:val="16"/>
                <w:szCs w:val="16"/>
              </w:rPr>
              <w:t xml:space="preserve">15%</w:t>
            </w:r>
          </w:p>
        </w:tc>
        <w:tc>
          <w:tcPr>
            <w:tcW w:type="dxa" w:w="14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3436"/>
                <w:sz w:val="16"/>
                <w:szCs w:val="16"/>
              </w:rPr>
              <w:t xml:space="preserve">30,000</w:t>
            </w:r>
          </w:p>
        </w:tc>
        <w:tc>
          <w:tcPr>
            <w:tcW w:type="dxa" w:w="464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3436"/>
                <w:sz w:val="16"/>
                <w:szCs w:val="16"/>
              </w:rPr>
              <w:t xml:space="preserve">Policies, regulatory reports, filings, audits, GDPR</w:t>
            </w:r>
          </w:p>
        </w:tc>
      </w:tr>
      <w:tr>
        <w:tc>
          <w:tcPr>
            <w:tcW w:type="dxa" w:w="26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D3436"/>
                <w:sz w:val="16"/>
                <w:szCs w:val="16"/>
              </w:rPr>
              <w:t xml:space="preserve">Litigation &amp; disputes</w:t>
            </w:r>
          </w:p>
        </w:tc>
        <w:tc>
          <w:tcPr>
            <w:tcW w:type="dxa" w:w="1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3436"/>
                <w:sz w:val="16"/>
                <w:szCs w:val="16"/>
              </w:rPr>
              <w:t xml:space="preserve">12%</w:t>
            </w:r>
          </w:p>
        </w:tc>
        <w:tc>
          <w:tcPr>
            <w:tcW w:type="dxa" w:w="14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3436"/>
                <w:sz w:val="16"/>
                <w:szCs w:val="16"/>
              </w:rPr>
              <w:t xml:space="preserve">24,000</w:t>
            </w:r>
          </w:p>
        </w:tc>
        <w:tc>
          <w:tcPr>
            <w:tcW w:type="dxa" w:w="464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3436"/>
                <w:sz w:val="16"/>
                <w:szCs w:val="16"/>
              </w:rPr>
              <w:t xml:space="preserve">Complaints, motions, discovery, memos, settlements</w:t>
            </w:r>
          </w:p>
        </w:tc>
      </w:tr>
      <w:tr>
        <w:tc>
          <w:tcPr>
            <w:tcW w:type="dxa" w:w="26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D3436"/>
                <w:sz w:val="16"/>
                <w:szCs w:val="16"/>
              </w:rPr>
              <w:t xml:space="preserve">Corporate governance</w:t>
            </w:r>
          </w:p>
        </w:tc>
        <w:tc>
          <w:tcPr>
            <w:tcW w:type="dxa" w:w="1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3436"/>
                <w:sz w:val="16"/>
                <w:szCs w:val="16"/>
              </w:rPr>
              <w:t xml:space="preserve">8%</w:t>
            </w:r>
          </w:p>
        </w:tc>
        <w:tc>
          <w:tcPr>
            <w:tcW w:type="dxa" w:w="14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3436"/>
                <w:sz w:val="16"/>
                <w:szCs w:val="16"/>
              </w:rPr>
              <w:t xml:space="preserve">16,000</w:t>
            </w:r>
          </w:p>
        </w:tc>
        <w:tc>
          <w:tcPr>
            <w:tcW w:type="dxa" w:w="464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3436"/>
                <w:sz w:val="16"/>
                <w:szCs w:val="16"/>
              </w:rPr>
              <w:t xml:space="preserve">Board minutes, resolutions, bylaws, articles, powers of attorney</w:t>
            </w:r>
          </w:p>
        </w:tc>
      </w:tr>
      <w:tr>
        <w:tc>
          <w:tcPr>
            <w:tcW w:type="dxa" w:w="26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D3436"/>
                <w:sz w:val="16"/>
                <w:szCs w:val="16"/>
              </w:rPr>
              <w:t xml:space="preserve">Intellectual property</w:t>
            </w:r>
          </w:p>
        </w:tc>
        <w:tc>
          <w:tcPr>
            <w:tcW w:type="dxa" w:w="1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3436"/>
                <w:sz w:val="16"/>
                <w:szCs w:val="16"/>
              </w:rPr>
              <w:t xml:space="preserve">5%</w:t>
            </w:r>
          </w:p>
        </w:tc>
        <w:tc>
          <w:tcPr>
            <w:tcW w:type="dxa" w:w="14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3436"/>
                <w:sz w:val="16"/>
                <w:szCs w:val="16"/>
              </w:rPr>
              <w:t xml:space="preserve">10,000</w:t>
            </w:r>
          </w:p>
        </w:tc>
        <w:tc>
          <w:tcPr>
            <w:tcW w:type="dxa" w:w="464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3436"/>
                <w:sz w:val="16"/>
                <w:szCs w:val="16"/>
              </w:rPr>
              <w:t xml:space="preserve">Patents, trademarks, copyrights, IP licenses</w:t>
            </w:r>
          </w:p>
        </w:tc>
      </w:tr>
      <w:tr>
        <w:tc>
          <w:tcPr>
            <w:tcW w:type="dxa" w:w="26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D3436"/>
                <w:sz w:val="16"/>
                <w:szCs w:val="16"/>
              </w:rPr>
              <w:t xml:space="preserve">Legal correspondence</w:t>
            </w:r>
          </w:p>
        </w:tc>
        <w:tc>
          <w:tcPr>
            <w:tcW w:type="dxa" w:w="1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3436"/>
                <w:sz w:val="16"/>
                <w:szCs w:val="16"/>
              </w:rPr>
              <w:t xml:space="preserve">5%</w:t>
            </w:r>
          </w:p>
        </w:tc>
        <w:tc>
          <w:tcPr>
            <w:tcW w:type="dxa" w:w="14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3436"/>
                <w:sz w:val="16"/>
                <w:szCs w:val="16"/>
              </w:rPr>
              <w:t xml:space="preserve">10,000</w:t>
            </w:r>
          </w:p>
        </w:tc>
        <w:tc>
          <w:tcPr>
            <w:tcW w:type="dxa" w:w="464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3436"/>
                <w:sz w:val="16"/>
                <w:szCs w:val="16"/>
              </w:rPr>
              <w:t xml:space="preserve">Internal memos, legal opinions, formal notices</w:t>
            </w:r>
          </w:p>
        </w:tc>
      </w:tr>
      <w:tr>
        <w:tc>
          <w:tcPr>
            <w:tcW w:type="dxa" w:w="26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D3436"/>
                <w:sz w:val="16"/>
                <w:szCs w:val="16"/>
              </w:rPr>
              <w:t xml:space="preserve">M&amp;A &amp; transactions</w:t>
            </w:r>
          </w:p>
        </w:tc>
        <w:tc>
          <w:tcPr>
            <w:tcW w:type="dxa" w:w="1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3436"/>
                <w:sz w:val="16"/>
                <w:szCs w:val="16"/>
              </w:rPr>
              <w:t xml:space="preserve">3%</w:t>
            </w:r>
          </w:p>
        </w:tc>
        <w:tc>
          <w:tcPr>
            <w:tcW w:type="dxa" w:w="14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3436"/>
                <w:sz w:val="16"/>
                <w:szCs w:val="16"/>
              </w:rPr>
              <w:t xml:space="preserve">6,000</w:t>
            </w:r>
          </w:p>
        </w:tc>
        <w:tc>
          <w:tcPr>
            <w:tcW w:type="dxa" w:w="464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3436"/>
                <w:sz w:val="16"/>
                <w:szCs w:val="16"/>
              </w:rPr>
              <w:t xml:space="preserve">Due diligence, term sheets, purchase agreements</w:t>
            </w:r>
          </w:p>
        </w:tc>
      </w:tr>
      <w:tr>
        <w:tc>
          <w:tcPr>
            <w:tcW w:type="dxa" w:w="26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D3436"/>
                <w:sz w:val="16"/>
                <w:szCs w:val="16"/>
              </w:rPr>
              <w:t xml:space="preserve">Real estate</w:t>
            </w:r>
          </w:p>
        </w:tc>
        <w:tc>
          <w:tcPr>
            <w:tcW w:type="dxa" w:w="1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3436"/>
                <w:sz w:val="16"/>
                <w:szCs w:val="16"/>
              </w:rPr>
              <w:t xml:space="preserve">2%</w:t>
            </w:r>
          </w:p>
        </w:tc>
        <w:tc>
          <w:tcPr>
            <w:tcW w:type="dxa" w:w="14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3436"/>
                <w:sz w:val="16"/>
                <w:szCs w:val="16"/>
              </w:rPr>
              <w:t xml:space="preserve">4,000</w:t>
            </w:r>
          </w:p>
        </w:tc>
        <w:tc>
          <w:tcPr>
            <w:tcW w:type="dxa" w:w="464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3436"/>
                <w:sz w:val="16"/>
                <w:szCs w:val="16"/>
              </w:rPr>
              <w:t xml:space="preserve">Commercial leases, permits, zoning</w:t>
            </w:r>
          </w:p>
        </w:tc>
      </w:tr>
    </w:tbl>
    <w:p>
      <w:pPr>
        <w:pStyle w:val="Heading2"/>
      </w:pPr>
      <w:r>
        <w:t xml:space="preserve">Document size distribution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1200"/>
        <w:gridCol w:w="1400"/>
        <w:gridCol w:w="2240"/>
      </w:tblGrid>
      <w:tr>
        <w:tc>
          <w:tcPr>
            <w:tcW w:type="dxa" w:w="18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Size</w:t>
            </w:r>
          </w:p>
        </w:tc>
        <w:tc>
          <w:tcPr>
            <w:tcW w:type="dxa" w:w="3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Representative type</w:t>
            </w:r>
          </w:p>
        </w:tc>
        <w:tc>
          <w:tcPr>
            <w:tcW w:type="dxa" w:w="1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% corpus</w:t>
            </w:r>
          </w:p>
        </w:tc>
        <w:tc>
          <w:tcPr>
            <w:tcW w:type="dxa" w:w="14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Pages</w:t>
            </w:r>
          </w:p>
        </w:tc>
        <w:tc>
          <w:tcPr>
            <w:tcW w:type="dxa" w:w="224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Est. tokens</w:t>
            </w:r>
          </w:p>
        </w:tc>
      </w:tr>
      <w:tr>
        <w:tc>
          <w:tcPr>
            <w:tcW w:type="dxa" w:w="18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D3436"/>
                <w:sz w:val="16"/>
                <w:szCs w:val="16"/>
              </w:rPr>
              <w:t xml:space="preserve">Small</w:t>
            </w:r>
          </w:p>
        </w:tc>
        <w:tc>
          <w:tcPr>
            <w:tcW w:type="dxa" w:w="3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3436"/>
                <w:sz w:val="16"/>
                <w:szCs w:val="16"/>
              </w:rPr>
              <w:t xml:space="preserve">NDAs, letters, memos, simple SOWs</w:t>
            </w:r>
          </w:p>
        </w:tc>
        <w:tc>
          <w:tcPr>
            <w:tcW w:type="dxa" w:w="1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3436"/>
                <w:sz w:val="16"/>
                <w:szCs w:val="16"/>
              </w:rPr>
              <w:t xml:space="preserve">~40%</w:t>
            </w:r>
          </w:p>
        </w:tc>
        <w:tc>
          <w:tcPr>
            <w:tcW w:type="dxa" w:w="14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3436"/>
                <w:sz w:val="16"/>
                <w:szCs w:val="16"/>
              </w:rPr>
              <w:t xml:space="preserve">1–5</w:t>
            </w:r>
          </w:p>
        </w:tc>
        <w:tc>
          <w:tcPr>
            <w:tcW w:type="dxa" w:w="224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3436"/>
                <w:sz w:val="16"/>
                <w:szCs w:val="16"/>
              </w:rPr>
              <w:t xml:space="preserve">500–3,000</w:t>
            </w:r>
          </w:p>
        </w:tc>
      </w:tr>
      <w:tr>
        <w:tc>
          <w:tcPr>
            <w:tcW w:type="dxa" w:w="18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D3436"/>
                <w:sz w:val="16"/>
                <w:szCs w:val="16"/>
              </w:rPr>
              <w:t xml:space="preserve">Medium</w:t>
            </w:r>
          </w:p>
        </w:tc>
        <w:tc>
          <w:tcPr>
            <w:tcW w:type="dxa" w:w="3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3436"/>
                <w:sz w:val="16"/>
                <w:szCs w:val="16"/>
              </w:rPr>
              <w:t xml:space="preserve">Commercial contracts, policies, reports</w:t>
            </w:r>
          </w:p>
        </w:tc>
        <w:tc>
          <w:tcPr>
            <w:tcW w:type="dxa" w:w="1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3436"/>
                <w:sz w:val="16"/>
                <w:szCs w:val="16"/>
              </w:rPr>
              <w:t xml:space="preserve">~35%</w:t>
            </w:r>
          </w:p>
        </w:tc>
        <w:tc>
          <w:tcPr>
            <w:tcW w:type="dxa" w:w="14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3436"/>
                <w:sz w:val="16"/>
                <w:szCs w:val="16"/>
              </w:rPr>
              <w:t xml:space="preserve">5–30</w:t>
            </w:r>
          </w:p>
        </w:tc>
        <w:tc>
          <w:tcPr>
            <w:tcW w:type="dxa" w:w="224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3436"/>
                <w:sz w:val="16"/>
                <w:szCs w:val="16"/>
              </w:rPr>
              <w:t xml:space="preserve">3,000–20,000</w:t>
            </w:r>
          </w:p>
        </w:tc>
      </w:tr>
      <w:tr>
        <w:tc>
          <w:tcPr>
            <w:tcW w:type="dxa" w:w="18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D3436"/>
                <w:sz w:val="16"/>
                <w:szCs w:val="16"/>
              </w:rPr>
              <w:t xml:space="preserve">Large</w:t>
            </w:r>
          </w:p>
        </w:tc>
        <w:tc>
          <w:tcPr>
            <w:tcW w:type="dxa" w:w="3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3436"/>
                <w:sz w:val="16"/>
                <w:szCs w:val="16"/>
              </w:rPr>
              <w:t xml:space="preserve">Complex MSAs, patents, regulatory filings</w:t>
            </w:r>
          </w:p>
        </w:tc>
        <w:tc>
          <w:tcPr>
            <w:tcW w:type="dxa" w:w="1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3436"/>
                <w:sz w:val="16"/>
                <w:szCs w:val="16"/>
              </w:rPr>
              <w:t xml:space="preserve">~18%</w:t>
            </w:r>
          </w:p>
        </w:tc>
        <w:tc>
          <w:tcPr>
            <w:tcW w:type="dxa" w:w="14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3436"/>
                <w:sz w:val="16"/>
                <w:szCs w:val="16"/>
              </w:rPr>
              <w:t xml:space="preserve">30–100</w:t>
            </w:r>
          </w:p>
        </w:tc>
        <w:tc>
          <w:tcPr>
            <w:tcW w:type="dxa" w:w="224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3436"/>
                <w:sz w:val="16"/>
                <w:szCs w:val="16"/>
              </w:rPr>
              <w:t xml:space="preserve">20,000–65,000</w:t>
            </w:r>
          </w:p>
        </w:tc>
      </w:tr>
      <w:tr>
        <w:tc>
          <w:tcPr>
            <w:tcW w:type="dxa" w:w="18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D3436"/>
                <w:sz w:val="16"/>
                <w:szCs w:val="16"/>
              </w:rPr>
              <w:t xml:space="preserve">Very large</w:t>
            </w:r>
          </w:p>
        </w:tc>
        <w:tc>
          <w:tcPr>
            <w:tcW w:type="dxa" w:w="3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3436"/>
                <w:sz w:val="16"/>
                <w:szCs w:val="16"/>
              </w:rPr>
              <w:t xml:space="preserve">Litigation files, due diligence, full audits</w:t>
            </w:r>
          </w:p>
        </w:tc>
        <w:tc>
          <w:tcPr>
            <w:tcW w:type="dxa" w:w="1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3436"/>
                <w:sz w:val="16"/>
                <w:szCs w:val="16"/>
              </w:rPr>
              <w:t xml:space="preserve">~7%</w:t>
            </w:r>
          </w:p>
        </w:tc>
        <w:tc>
          <w:tcPr>
            <w:tcW w:type="dxa" w:w="14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3436"/>
                <w:sz w:val="16"/>
                <w:szCs w:val="16"/>
              </w:rPr>
              <w:t xml:space="preserve">100–500+</w:t>
            </w:r>
          </w:p>
        </w:tc>
        <w:tc>
          <w:tcPr>
            <w:tcW w:type="dxa" w:w="224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3436"/>
                <w:sz w:val="16"/>
                <w:szCs w:val="16"/>
              </w:rPr>
              <w:t xml:space="preserve">65,000–300,000+</w:t>
            </w:r>
          </w:p>
        </w:tc>
      </w:tr>
    </w:tbl>
    <w:p>
      <w:pPr>
        <w:spacing w:after="60" w:before="100"/>
      </w:pPr>
      <w:r>
        <w:rPr>
          <w:sz w:val="18"/>
          <w:szCs w:val="18"/>
        </w:rPr>
        <w:t xml:space="preserve">Total estimated corpus size ranges between 500M and 1.5B tokens. Predominant formats are PDF (~55%), DOCX/DOC (~25%), email MSG/EML (~10%), XLSX/CSV (~5%), and other (~5%).</w:t>
      </w:r>
    </w:p>
    <w:p>
      <w:pPr>
        <w:pStyle w:val="Heading1"/>
      </w:pPr>
      <w:r>
        <w:t xml:space="preserve">3. User concurrency</w:t>
      </w:r>
    </w:p>
    <w:p>
      <w:pPr>
        <w:spacing w:after="80"/>
      </w:pPr>
      <w:r>
        <w:rPr>
          <w:sz w:val="18"/>
          <w:szCs w:val="18"/>
        </w:rPr>
        <w:t xml:space="preserve">With a legal department of ~145 people, typical concurrency for a legal-only system is estimated at 20–40 simultaneous users (15–25% of the team active at any given time). A scenario of 500 concurrent users exceeds the total area headcount by more than double and is only plausible if the system extends to cross-functional users (procurement, HR, finance, distributed compliance, business units), where between 2,000 and 5,000 people in a 50,000-employee company would interact with legal documents.</w:t>
      </w:r>
    </w:p>
    <w:p>
      <w:pPr>
        <w:pStyle w:val="Heading1"/>
      </w:pPr>
      <w:r>
        <w:t xml:space="preserve">4. Sources cited</w:t>
      </w:r>
    </w:p>
    <w:p>
      <w:pPr>
        <w:spacing w:after="50"/>
      </w:pPr>
      <w:r>
        <w:rPr>
          <w:b/>
          <w:bCs/>
          <w:sz w:val="17"/>
          <w:szCs w:val="17"/>
        </w:rPr>
        <w:t xml:space="preserve">Association of Corporate Counsel (ACC).</w:t>
      </w:r>
      <w:r>
        <w:rPr>
          <w:sz w:val="17"/>
          <w:szCs w:val="17"/>
        </w:rPr>
        <w:t xml:space="preserve"> 2023 Law Department Management Benchmarking Report — Executive Summary. June 2023.</w:t>
      </w:r>
    </w:p>
    <w:p>
      <w:pPr>
        <w:spacing w:after="50"/>
      </w:pPr>
      <w:r>
        <w:rPr>
          <w:b/>
          <w:bCs/>
          <w:sz w:val="17"/>
          <w:szCs w:val="17"/>
        </w:rPr>
        <w:t xml:space="preserve">Association of Corporate Counsel &amp; Major, Lindsey &amp; Africa.</w:t>
      </w:r>
      <w:r>
        <w:rPr>
          <w:sz w:val="17"/>
          <w:szCs w:val="17"/>
        </w:rPr>
        <w:t xml:space="preserve"> 2022 Law Department Management Benchmarking Report. June 2022.</w:t>
      </w:r>
    </w:p>
    <w:p>
      <w:pPr>
        <w:spacing w:after="50"/>
      </w:pPr>
      <w:r>
        <w:rPr>
          <w:b/>
          <w:bCs/>
          <w:sz w:val="17"/>
          <w:szCs w:val="17"/>
        </w:rPr>
        <w:t xml:space="preserve">Harbor Global.</w:t>
      </w:r>
      <w:r>
        <w:rPr>
          <w:sz w:val="17"/>
          <w:szCs w:val="17"/>
        </w:rPr>
        <w:t xml:space="preserve"> Fortune 500 Law Departments Navigate Growing Demand for Legal Services. 2023 Law Department Benchmarking Survey. December 2023.</w:t>
      </w:r>
    </w:p>
    <w:p>
      <w:pPr>
        <w:spacing w:after="50"/>
      </w:pPr>
      <w:r>
        <w:rPr>
          <w:b/>
          <w:bCs/>
          <w:sz w:val="17"/>
          <w:szCs w:val="17"/>
        </w:rPr>
        <w:t xml:space="preserve">EY.</w:t>
      </w:r>
      <w:r>
        <w:rPr>
          <w:sz w:val="17"/>
          <w:szCs w:val="17"/>
        </w:rPr>
        <w:t xml:space="preserve"> The General Counsel Imperative: How Does Contracting Complexity Hide Clear Profitability? 2023.</w:t>
      </w:r>
    </w:p>
    <w:p>
      <w:pPr>
        <w:spacing w:after="50"/>
      </w:pPr>
      <w:r>
        <w:rPr>
          <w:b/>
          <w:bCs/>
          <w:sz w:val="17"/>
          <w:szCs w:val="17"/>
        </w:rPr>
        <w:t xml:space="preserve">SpotDraft.</w:t>
      </w:r>
      <w:r>
        <w:rPr>
          <w:sz w:val="17"/>
          <w:szCs w:val="17"/>
        </w:rPr>
        <w:t xml:space="preserve"> Enterprise Contract Management Guide. April 2023.</w:t>
      </w:r>
    </w:p>
    <w:p>
      <w:pPr>
        <w:spacing w:after="50"/>
      </w:pPr>
      <w:r>
        <w:rPr>
          <w:b/>
          <w:bCs/>
          <w:sz w:val="17"/>
          <w:szCs w:val="17"/>
        </w:rPr>
        <w:t xml:space="preserve">CLOC (Corporate Legal Operations Consortium).</w:t>
      </w:r>
      <w:r>
        <w:rPr>
          <w:sz w:val="17"/>
          <w:szCs w:val="17"/>
        </w:rPr>
        <w:t xml:space="preserve"> Legal Department FTE by Industry. Statista, November 2017.</w:t>
      </w:r>
    </w:p>
    <w:p>
      <w:pPr>
        <w:spacing w:after="50"/>
      </w:pPr>
      <w:r>
        <w:rPr>
          <w:b/>
          <w:bCs/>
          <w:sz w:val="17"/>
          <w:szCs w:val="17"/>
        </w:rPr>
        <w:t xml:space="preserve">CompanySights.</w:t>
      </w:r>
      <w:r>
        <w:rPr>
          <w:sz w:val="17"/>
          <w:szCs w:val="17"/>
        </w:rPr>
        <w:t xml:space="preserve"> Legal Department Size Benchmarks: How Many People Does Your Company Need? October 2025.</w:t>
      </w:r>
    </w:p>
    <w:p>
      <w:pPr>
        <w:spacing w:after="50"/>
      </w:pPr>
      <w:r>
        <w:rPr>
          <w:b/>
          <w:bCs/>
          <w:sz w:val="17"/>
          <w:szCs w:val="17"/>
        </w:rPr>
        <w:t xml:space="preserve">Legal Dive (Informa TechTarget).</w:t>
      </w:r>
      <w:r>
        <w:rPr>
          <w:sz w:val="17"/>
          <w:szCs w:val="17"/>
        </w:rPr>
        <w:t xml:space="preserve"> Most Legal Departments Are Small in Size, Benchmarking Report Says. July 2022.</w:t>
      </w:r>
    </w:p>
    <w:p>
      <w:pPr>
        <w:spacing w:after="50"/>
      </w:pPr>
      <w:r>
        <w:rPr>
          <w:b/>
          <w:bCs/>
          <w:sz w:val="17"/>
          <w:szCs w:val="17"/>
        </w:rPr>
        <w:t xml:space="preserve">Legal.io.</w:t>
      </w:r>
      <w:r>
        <w:rPr>
          <w:sz w:val="17"/>
          <w:szCs w:val="17"/>
        </w:rPr>
        <w:t xml:space="preserve"> Community Perspectives: Legal Department Headcount Data. 2023.</w:t>
      </w:r>
    </w:p>
    <w:p>
      <w:pPr>
        <w:spacing w:after="50"/>
      </w:pPr>
      <w:r>
        <w:rPr>
          <w:b/>
          <w:bCs/>
          <w:sz w:val="17"/>
          <w:szCs w:val="17"/>
        </w:rPr>
        <w:t xml:space="preserve">Zignt.</w:t>
      </w:r>
      <w:r>
        <w:rPr>
          <w:sz w:val="17"/>
          <w:szCs w:val="17"/>
        </w:rPr>
        <w:t xml:space="preserve"> Enterprise Contract Management Software: 2026 Guide. April 2026.</w:t>
      </w:r>
    </w:p>
    <w:p>
      <w:pPr>
        <w:pStyle w:val="Heading1"/>
        <w:pBdr>
          <w:top w:val="single" w:color="DFE6E9" w:sz="2" w:space="8"/>
        </w:pBdr>
      </w:pPr>
      <w:r>
        <w:t xml:space="preserve">5. Methodological note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040"/>
      </w:tblGrid>
      <w:tr>
        <w:tc>
          <w:tcPr>
            <w:tcW w:type="dxa" w:w="2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17"/>
                <w:szCs w:val="17"/>
              </w:rPr>
              <w:t xml:space="preserve">Model</w:t>
            </w:r>
          </w:p>
        </w:tc>
        <w:tc>
          <w:tcPr>
            <w:tcW w:type="dxa" w:w="704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3436"/>
                <w:sz w:val="17"/>
                <w:szCs w:val="17"/>
              </w:rPr>
              <w:t xml:space="preserve">Claude Opus 4 (Anthropic), via claude.ai</w:t>
            </w:r>
          </w:p>
        </w:tc>
      </w:tr>
      <w:tr>
        <w:tc>
          <w:tcPr>
            <w:tcW w:type="dxa" w:w="2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17"/>
                <w:szCs w:val="17"/>
              </w:rPr>
              <w:t xml:space="preserve">Tools used</w:t>
            </w:r>
          </w:p>
        </w:tc>
        <w:tc>
          <w:tcPr>
            <w:tcW w:type="dxa" w:w="704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3436"/>
                <w:sz w:val="17"/>
                <w:szCs w:val="17"/>
              </w:rPr>
              <w:t xml:space="preserve">Web Search (real-time search), Code Execution (.docx document generation via docx-js), File Creation</w:t>
            </w:r>
          </w:p>
        </w:tc>
      </w:tr>
      <w:tr>
        <w:tc>
          <w:tcPr>
            <w:tcW w:type="dxa" w:w="2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17"/>
                <w:szCs w:val="17"/>
              </w:rPr>
              <w:t xml:space="preserve">Process</w:t>
            </w:r>
          </w:p>
        </w:tc>
        <w:tc>
          <w:tcPr>
            <w:tcW w:type="dxa" w:w="704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3436"/>
                <w:sz w:val="17"/>
                <w:szCs w:val="17"/>
              </w:rPr>
              <w:t xml:space="preserve">Multiple web searches were conducted to locate legal industry benchmarks (ACC, CLOC, EY, Harbor). Data was cross-referenced across sources, synthesized into a document taxonomy, and validated with quantitative contract volume data. A concurrency analysis was included based on headcount findings.</w:t>
            </w:r>
          </w:p>
        </w:tc>
      </w:tr>
      <w:tr>
        <w:tc>
          <w:tcPr>
            <w:tcW w:type="dxa" w:w="2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17"/>
                <w:szCs w:val="17"/>
              </w:rPr>
              <w:t xml:space="preserve">Curation</w:t>
            </w:r>
          </w:p>
        </w:tc>
        <w:tc>
          <w:tcPr>
            <w:tcW w:type="dxa" w:w="704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3436"/>
                <w:sz w:val="17"/>
                <w:szCs w:val="17"/>
              </w:rPr>
              <w:t xml:space="preserve">This document was generated by artificial intelligence and curated, reviewed, and validated by a human. The figures presented reflect industry medians and ranges, not absolute values. Document taxonomy percentages are estimates based on the typical composition of corporate legal departments according to the cited sources.</w:t>
            </w:r>
          </w:p>
        </w:tc>
      </w:tr>
    </w:tbl>
    <w:p>
      <w:pPr>
        <w:pBdr>
          <w:top w:val="single" w:color="DFE6E9" w:sz="2" w:space="8"/>
        </w:pBdr>
        <w:spacing w:after="0" w:before="200"/>
        <w:jc w:val="center"/>
      </w:pPr>
      <w:r>
        <w:rPr>
          <w:rFonts w:ascii="Calibri" w:cs="Calibri" w:eastAsia="Calibri" w:hAnsi="Calibri"/>
          <w:color w:val="636E72"/>
          <w:sz w:val="16"/>
          <w:szCs w:val="16"/>
        </w:rPr>
        <w:t xml:space="preserve">May 2026</w:t>
      </w:r>
    </w:p>
    <w:sectPr>
      <w:headerReference w:type="default" r:id="rId7"/>
      <w:footerReference w:type="default" r:id="rId8"/>
      <w:pgSz w:w="12240" w:h="15840" w:orient="portrait"/>
      <w:pgMar w:top="1080" w:right="1200" w:bottom="9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FE6E9" w:sz="2" w:space="4"/>
      </w:pBdr>
      <w:spacing w:before="0"/>
    </w:pPr>
    <w:r>
      <w:rPr>
        <w:rFonts w:ascii="Calibri" w:cs="Calibri" w:eastAsia="Calibri" w:hAnsi="Calibri"/>
        <w:i/>
        <w:iCs/>
        <w:color w:val="636E72"/>
        <w:sz w:val="14"/>
        <w:szCs w:val="14"/>
      </w:rPr>
      <w:t xml:space="preserve">Confidential — Internal use only</w:t>
    </w:r>
    <w:ptab w:alignment="right" w:relativeTo="margin" w:leader="none"/>
    <w:r>
      <w:rPr>
        <w:rFonts w:ascii="Calibri" w:cs="Calibri" w:eastAsia="Calibri" w:hAnsi="Calibri"/>
        <w:color w:val="636E72"/>
        <w:sz w:val="14"/>
        <w:szCs w:val="14"/>
      </w:rPr>
      <w:t xml:space="preserve">Page </w:t>
    </w:r>
    <w:r>
      <w:rPr>
        <w:rFonts w:ascii="Calibri" w:cs="Calibri" w:eastAsia="Calibri" w:hAnsi="Calibri"/>
        <w:color w:val="636E72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36E72"/>
        <w:sz w:val="14"/>
        <w:szCs w:val="14"/>
      </w:rPr>
      <w:t xml:space="preserve"> of </w:t>
    </w:r>
    <w:r>
      <w:rPr>
        <w:rFonts w:ascii="Calibri" w:cs="Calibri" w:eastAsia="Calibri" w:hAnsi="Calibri"/>
        <w:color w:val="636E72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AB" w:sz="4" w:space="6"/>
      </w:pBdr>
      <w:spacing w:after="0"/>
    </w:pPr>
    <w:r>
      <w:rPr>
        <w:rFonts w:ascii="Calibri" w:cs="Calibri" w:eastAsia="Calibri" w:hAnsi="Calibri"/>
        <w:b/>
        <w:bCs/>
        <w:color w:val="1B2A4A"/>
        <w:sz w:val="16"/>
        <w:szCs w:val="16"/>
      </w:rPr>
      <w:t xml:space="preserve">Research Brief</w:t>
    </w:r>
    <w:r>
      <w:rPr>
        <w:rFonts w:ascii="Calibri" w:cs="Calibri" w:eastAsia="Calibri" w:hAnsi="Calibri"/>
        <w:color w:val="DFE6E9"/>
        <w:sz w:val="16"/>
        <w:szCs w:val="16"/>
      </w:rPr>
      <w:t xml:space="preserve">  |  </w:t>
    </w:r>
    <w:r>
      <w:rPr>
        <w:rFonts w:ascii="Calibri" w:cs="Calibri" w:eastAsia="Calibri" w:hAnsi="Calibri"/>
        <w:i/>
        <w:iCs/>
        <w:color w:val="636E72"/>
        <w:sz w:val="16"/>
        <w:szCs w:val="16"/>
      </w:rPr>
      <w:t xml:space="preserve">Legal Department Sizing for RAG</w:t>
    </w:r>
    <w:ptab w:alignment="right" w:relativeTo="margin" w:leader="none"/>
    <w:r>
      <w:rPr>
        <w:rFonts w:ascii="Calibri" w:cs="Calibri" w:eastAsia="Calibri" w:hAnsi="Calibri"/>
        <w:color w:val="636E72"/>
        <w:sz w:val="16"/>
        <w:szCs w:val="16"/>
      </w:rPr>
      <w:t xml:space="preserve">May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D3436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1B2A4A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2E86A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2026-05-25T15:33:04.310Z</dcterms:created>
  <dcterms:modified xsi:type="dcterms:W3CDTF">2026-05-25T15:33:04.310Z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