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Architect Technical Evaluation</w:t>
      </w:r>
    </w:p>
    <w:p>
      <w:pPr>
        <w:spacing w:after="80"/>
      </w:pPr>
      <w:r>
        <w:rPr>
          <w:i/>
          <w:iCs/>
          <w:sz w:val="20"/>
          <w:szCs w:val="20"/>
        </w:rPr>
        <w:t xml:space="preserve">MAS Global Consulting / Sprocket International Group  •  Confidential  •  For Candidate Use Only</w:t>
      </w:r>
    </w:p>
    <w:p>
      <w:pPr>
        <w:spacing w:after="560"/>
      </w:pPr>
      <w:r>
        <w:rPr>
          <w:b/>
          <w:bCs/>
          <w:sz w:val="24"/>
          <w:szCs w:val="24"/>
        </w:rPr>
        <w:t xml:space="preserve">Part A — Architecture Design (40 points)</w:t>
      </w:r>
    </w:p>
    <w:p>
      <w:pPr>
        <w:pStyle w:val="Heading2"/>
      </w:pPr>
      <w:r>
        <w:t xml:space="preserve">Scenario</w:t>
      </w:r>
    </w:p>
    <w:p>
      <w:pPr>
        <w:spacing w:after="160"/>
      </w:pPr>
      <w:r>
        <w:t xml:space="preserve">A Fortune 500 financial services firm (~50,000 employees) wants to build an internal AI assistant for their legal and compliance teams. The assistant must:</w:t>
      </w:r>
    </w:p>
    <w:p>
      <w:pPr>
        <w:spacing w:after="160"/>
      </w:pPr>
      <w:r>
        <w:rPr>
          <w:b/>
          <w:bCs/>
        </w:rPr>
        <w:t xml:space="preserve">Answer questions grounded in ~200,000 internal policy documents, regulatory filings, and legal contracts (updated weekly)</w:t>
      </w:r>
    </w:p>
    <w:p>
      <w:pPr>
        <w:spacing w:after="160"/>
      </w:pPr>
      <w:r>
        <w:rPr>
          <w:b/>
          <w:bCs/>
        </w:rPr>
        <w:t xml:space="preserve">Cite sources with page-level references so lawyers can verify every answer</w:t>
      </w:r>
    </w:p>
    <w:p>
      <w:pPr>
        <w:spacing w:after="160"/>
      </w:pPr>
      <w:r>
        <w:rPr>
          <w:b/>
          <w:bCs/>
        </w:rPr>
        <w:t xml:space="preserve">Reject questions it cannot answer confidently rather than hallucinate</w:t>
      </w:r>
    </w:p>
    <w:p>
      <w:pPr>
        <w:spacing w:after="160"/>
      </w:pPr>
      <w:r>
        <w:rPr>
          <w:b/>
          <w:bCs/>
        </w:rPr>
        <w:t xml:space="preserve">Integrate with existing SSO (Azure AD) and log every query for compliance auditing</w:t>
      </w:r>
    </w:p>
    <w:p>
      <w:pPr>
        <w:spacing w:after="160"/>
      </w:pPr>
      <w:r>
        <w:rPr>
          <w:b/>
          <w:bCs/>
        </w:rPr>
        <w:t xml:space="preserve">Serve ~500 concurrent users with p95 latency under 3 seconds</w:t>
      </w:r>
    </w:p>
    <w:p>
      <w:pPr>
        <w:spacing w:after="400"/>
      </w:pPr>
      <w:r>
        <w:rPr>
          <w:b/>
          <w:bCs/>
        </w:rPr>
        <w:t xml:space="preserve">Be deployed on Azure (the firm's cloud of choice)</w:t>
      </w:r>
    </w:p>
    <w:p>
      <w:pPr>
        <w:pStyle w:val="Heading1"/>
      </w:pPr>
      <w:r>
        <w:t xml:space="preserve">Q1 — System Architecture Diagram</w:t>
      </w:r>
    </w:p>
    <w:p>
      <w:pPr>
        <w:spacing w:after="280"/>
      </w:pPr>
      <w:r>
        <w:t xml:space="preserve">Design the end-to-end architecture. Include: ingestion pipeline, vector store, retrieval strategy, LLM selection and serving, API layer, auth integration, and observability stack.</w:t>
      </w:r>
    </w:p>
    <w:p>
      <w:pPr>
        <w:pStyle w:val="Heading2"/>
      </w:pPr>
      <w:r>
        <w:t xml:space="preserve">A1 — Design Rationale: Vanilla RAG as the Starting Point</w:t>
      </w:r>
    </w:p>
    <w:p>
      <w:pPr>
        <w:spacing w:after="160"/>
      </w:pPr>
      <w:r>
        <w:t xml:space="preserve">This design intentionally starts with a vanilla RAG architecture rather than a feature-rich system. The reasoning is straightforward: before adding complexity, you need a working baseline you can measure against.</w:t>
      </w:r>
    </w:p>
    <w:p>
      <w:pPr>
        <w:pStyle w:val="Heading3"/>
      </w:pPr>
      <w:r>
        <w:t xml:space="preserve">On Business Assumptions</w:t>
      </w:r>
    </w:p>
    <w:p>
      <w:pPr>
        <w:spacing w:after="160"/>
      </w:pPr>
      <w:r>
        <w:t xml:space="preserve">The requirements as stated — 500 concurrent users, p95 latency under 3 seconds, 200,000 documents updated weekly — were reviewed against typical usage patterns for internal legal and compliance tools in enterprise environments. These figures may actually overestimate real-world demand. Internal legal teams rarely generate uniform, sustained concurrency; usage tends to spike around regulatory cycles and remains low otherwise. A system sized and engineered for peak theoretical load from day one carries unnecessary cost and operational overhead before the product has proven its value or its actual usage shape is understood.</w:t>
      </w:r>
    </w:p>
    <w:p>
      <w:pPr>
        <w:pStyle w:val="Heading3"/>
      </w:pPr>
      <w:r>
        <w:t xml:space="preserve">What the Design Covers</w:t>
      </w:r>
    </w:p>
    <w:p>
      <w:pPr>
        <w:spacing w:after="160"/>
      </w:pPr>
      <w:r>
        <w:t xml:space="preserve">The vanilla architecture addresses every stated functional requirement:</w:t>
      </w:r>
    </w:p>
    <w:p>
      <w:pPr>
        <w:spacing w:after="160"/>
      </w:pPr>
      <w:r>
        <w:rPr>
          <w:b/>
          <w:bCs/>
        </w:rPr>
        <w:t xml:space="preserve">Hybrid retrieval — </w:t>
      </w:r>
      <w:r>
        <w:rPr>
          <w:b w:val="false"/>
          <w:bCs w:val="false"/>
        </w:rPr>
        <w:t xml:space="preserve">semantic search (embeddings, weight 0.7) combined with keyword search (BM25, weight 0.3)</w:t>
      </w:r>
    </w:p>
    <w:p>
      <w:pPr>
        <w:spacing w:after="160"/>
      </w:pPr>
      <w:r>
        <w:rPr>
          <w:b/>
          <w:bCs/>
        </w:rPr>
        <w:t xml:space="preserve">Metadata filtering — </w:t>
      </w:r>
      <w:r>
        <w:rPr>
          <w:b w:val="false"/>
          <w:bCs w:val="false"/>
        </w:rPr>
        <w:t xml:space="preserve">top-k chunk selection after retrieval merge</w:t>
      </w:r>
    </w:p>
    <w:p>
      <w:pPr>
        <w:spacing w:after="160"/>
      </w:pPr>
      <w:r>
        <w:rPr>
          <w:b/>
          <w:bCs/>
        </w:rPr>
        <w:t xml:space="preserve">Page-level citation — </w:t>
      </w:r>
      <w:r>
        <w:rPr>
          <w:b w:val="false"/>
          <w:bCs w:val="false"/>
        </w:rPr>
        <w:t xml:space="preserve">inline citations generated by the LLM, evaluated via ALCE</w:t>
      </w:r>
    </w:p>
    <w:p>
      <w:pPr>
        <w:spacing w:after="160"/>
      </w:pPr>
      <w:r>
        <w:rPr>
          <w:b/>
          <w:bCs/>
        </w:rPr>
        <w:t xml:space="preserve">Source grounding — </w:t>
      </w:r>
      <w:r>
        <w:rPr>
          <w:b w:val="false"/>
          <w:bCs w:val="false"/>
        </w:rPr>
        <w:t xml:space="preserve">answers tied directly to retrieved documents; unanswerable queries rejected rather than hallucinated</w:t>
      </w:r>
    </w:p>
    <w:p>
      <w:pPr>
        <w:spacing w:after="160"/>
      </w:pPr>
      <w:r>
        <w:rPr>
          <w:b/>
          <w:bCs/>
        </w:rPr>
        <w:t xml:space="preserve">Online evaluation loop — </w:t>
      </w:r>
      <w:r>
        <w:rPr>
          <w:b w:val="false"/>
          <w:bCs w:val="false"/>
        </w:rPr>
        <w:t xml:space="preserve">RAGAS (precision, recall, MAP) and ALCE (citation precision and recall) running over real traffic</w:t>
      </w:r>
    </w:p>
    <w:p>
      <w:pPr>
        <w:spacing w:after="200"/>
      </w:pPr>
      <w:r>
        <w:rPr>
          <w:b/>
          <w:bCs/>
        </w:rPr>
        <w:t xml:space="preserve">Azure-native deployment — </w:t>
      </w:r>
      <w:r>
        <w:rPr>
          <w:b w:val="false"/>
          <w:bCs w:val="false"/>
        </w:rPr>
        <w:t xml:space="preserve">clean integration with existing SSO (Azure AD) and audit logging for compliance</w:t>
      </w:r>
    </w:p>
    <w:p>
      <w:pPr>
        <w:spacing w:after="160"/>
      </w:pPr>
      <w:r>
        <w:t xml:space="preserve">What the design does not include: a reranker, a query router, multi-hop reasoning, or other retrieval enhancements. These are not excluded because they are wrong. They are excluded because they should be introduced in response to measured gaps, not in anticipation of them.</w:t>
      </w:r>
    </w:p>
    <w:p>
      <w:pPr>
        <w:pStyle w:val="Heading3"/>
      </w:pPr>
      <w:r>
        <w:t xml:space="preserve">The Role of the Evaluation Layer</w:t>
      </w:r>
    </w:p>
    <w:p>
      <w:pPr>
        <w:spacing w:after="160"/>
      </w:pPr>
      <w:r>
        <w:t xml:space="preserve">The evaluation layer — RAGAS and ALCE — is not optional decoration. It is the mechanism that makes iteration possible. Without it, any subsequent change (adding a reranker, adjusting chunking strategy, tuning the hybrid weight) is engineering by intuition. With it, every change has a before/after comparison grounded in real traffic and real queries.</w:t>
      </w:r>
    </w:p>
    <w:p>
      <w:pPr>
        <w:pStyle w:val="Heading3"/>
      </w:pPr>
      <w:r>
        <w:t xml:space="preserve">Design Philosophy</w:t>
      </w:r>
    </w:p>
    <w:p>
      <w:pPr>
        <w:spacing w:after="160"/>
      </w:pPr>
      <w:r>
        <w:t xml:space="preserve">Build the simplest system that meets the stated requirements. Instrument it properly. Let observed performance drive what gets added next.</w:t>
      </w:r>
    </w:p>
    <w:p>
      <w:pPr>
        <w:spacing w:after="400"/>
      </w:pPr>
      <w:r>
        <w:t xml:space="preserve">This is not a constraint on ambition. It is how you avoid building a system that is expensive to maintain, difficult to diagnose, and poorly matched to what users actually need — before you have the data to know what they actually need.</w:t>
      </w:r>
    </w:p>
    <w:p>
      <w:pPr>
        <w:pStyle w:val="Heading1"/>
      </w:pPr>
      <w:r>
        <w:t xml:space="preserve">Q2 — RAG Design Decisions</w:t>
      </w:r>
    </w:p>
    <w:p>
      <w:pPr>
        <w:spacing w:after="280"/>
      </w:pPr>
      <w:r>
        <w:t xml:space="preserve">Explain your key RAG design choices: chunking strategy, embedding model, retrieval strategy, hallucination control, and citation accuracy.</w:t>
      </w:r>
    </w:p>
    <w:p>
      <w:pPr>
        <w:pStyle w:val="Heading2"/>
      </w:pPr>
      <w:r>
        <w:t xml:space="preserve">A2 — Chunking Strategy</w:t>
      </w:r>
    </w:p>
    <w:p>
      <w:pPr>
        <w:spacing w:after="160"/>
      </w:pPr>
      <w:r>
        <w:t xml:space="preserve">The initial design uses fixed-size chunking. The choice is deliberate and follows the same logic as the overall architecture: start with the simplest strategy that is measurable, not the most sophisticated one available.</w:t>
      </w:r>
    </w:p>
    <w:p>
      <w:pPr>
        <w:spacing w:after="160"/>
      </w:pPr>
      <w:r>
        <w:t xml:space="preserve">Fixed chunking has well-understood behavior. Its parameters — chunk size and overlap — are easy to tune, and its effect on retrieval quality is directly observable through the evaluation layer. That predictability is valuable at the baseline stage: when RAGAS metrics show degradation, it is easier to isolate whether the problem is in the chunking, the retrieval weights, or the prompt, because fewer variables are in play.</w:t>
      </w:r>
    </w:p>
    <w:p>
      <w:pPr>
        <w:spacing w:after="160"/>
      </w:pPr>
      <w:r>
        <w:rPr>
          <w:b w:val="false"/>
          <w:bCs w:val="false"/>
        </w:rPr>
        <w:t xml:space="preserve">The plan is not to stay there. The first iterative step would be </w:t>
      </w:r>
      <w:r>
        <w:rPr>
          <w:b/>
          <w:bCs/>
        </w:rPr>
        <w:t xml:space="preserve">context-aware chunking</w:t>
      </w:r>
      <w:r>
        <w:rPr>
          <w:b w:val="false"/>
          <w:bCs w:val="false"/>
        </w:rPr>
        <w:t xml:space="preserve"> — using structural signals in the document (headings, section breaks, clause boundaries) to define chunk limits rather than token counts. Legal documents often have explicit structural markers, and respecting them tends to improve semantic coherence within chunks. That said, context-aware chunking does not always outperform fixed chunking for semantic retrieval; it depends heavily on the document corpus. The evaluation layer provides exactly the before/after comparison needed to validate whether the change is worth the added complexity.</w:t>
      </w:r>
    </w:p>
    <w:p>
      <w:pPr>
        <w:spacing w:after="400"/>
      </w:pPr>
      <w:r>
        <w:rPr>
          <w:b w:val="false"/>
          <w:bCs w:val="false"/>
        </w:rPr>
        <w:t xml:space="preserve">A later iteration would introduce </w:t>
      </w:r>
      <w:r>
        <w:rPr>
          <w:b/>
          <w:bCs/>
        </w:rPr>
        <w:t xml:space="preserve">recursive splitting</w:t>
      </w:r>
      <w:r>
        <w:rPr>
          <w:b w:val="false"/>
          <w:bCs w:val="false"/>
        </w:rPr>
        <w:t xml:space="preserve">, which is particularly well-suited to legal text. Legal writing is rhetorically structured: a thesis is stated, then supported by arguments, which are in turn grounded in specific claims aggregated within paragraphs. Recursive splitting can follow that hierarchy, producing chunks that carry more coherent legal reasoning rather than arbitrary text windows. Whether that improvement is significant enough to justify the added pipeline complexity is a question the data should answer, not the design team.</w:t>
      </w:r>
    </w:p>
    <w:p>
      <w:pPr>
        <w:pStyle w:val="Heading2"/>
      </w:pPr>
      <w:r>
        <w:t xml:space="preserve">A2 — Embedding Model Selection</w:t>
      </w:r>
    </w:p>
    <w:p>
      <w:pPr>
        <w:spacing w:after="160"/>
      </w:pPr>
      <w:r>
        <w:rPr>
          <w:b w:val="false"/>
          <w:bCs w:val="false"/>
        </w:rPr>
        <w:t xml:space="preserve">The baseline uses </w:t>
      </w:r>
      <w:r>
        <w:rPr>
          <w:b/>
          <w:bCs/>
        </w:rPr>
        <w:t xml:space="preserve">text-embedding-3-large</w:t>
      </w:r>
      <w:r>
        <w:rPr>
          <w:b w:val="false"/>
          <w:bCs w:val="false"/>
        </w:rPr>
        <w:t xml:space="preserve"> deployed via </w:t>
      </w:r>
      <w:r>
        <w:rPr>
          <w:b/>
          <w:bCs/>
        </w:rPr>
        <w:t xml:space="preserve">Azure OpenAI Service</w:t>
      </w:r>
      <w:r>
        <w:rPr>
          <w:b w:val="false"/>
          <w:bCs w:val="false"/>
        </w:rPr>
        <w:t xml:space="preserve">. The rationale is straightforward given the deployment constraints: the firm's infrastructure is Azure-native, and using a model available directly through Azure OpenAI eliminates a third-party dependency, keeps data within the existing governance boundary, and benefits from enterprise SLA and unified billing. It also requires no additional deployment or hosting work at the baseline stage.</w:t>
      </w:r>
    </w:p>
    <w:p>
      <w:pPr>
        <w:spacing w:after="160"/>
      </w:pPr>
      <w:r>
        <w:t xml:space="preserve">text-embedding-3-large performs well on general-purpose English retrieval benchmarks (MTEB) and is a proven choice for enterprise RAG pipelines operating in English. It supports dimensionality reduction without significant quality loss, which becomes relevant if vector storage costs need optimization at scale.</w:t>
      </w:r>
    </w:p>
    <w:p>
      <w:pPr>
        <w:spacing w:after="400"/>
      </w:pPr>
      <w:r>
        <w:t xml:space="preserve">The known limitation is that it is a general-purpose model. Research on legal-specific retrieval consistently shows that domain-tuned models outperform general ones — gains of 10–16% on specialized benchmarks have been documented. For a legal and compliance corpus with domain-specific terminology, cross-references, and regulatory language, a fine-tuned model would be the right direction in a later iteration once baseline retrieval quality is measured and gaps are identified. That fine-tuning decision should be grounded in observed retrieval failures on real queries, not assumed in advance.</w:t>
      </w:r>
    </w:p>
    <w:p>
      <w:pPr>
        <w:pStyle w:val="Heading2"/>
      </w:pPr>
      <w:r>
        <w:t xml:space="preserve">A2 — Retrieval Strategy</w:t>
      </w:r>
    </w:p>
    <w:p>
      <w:pPr>
        <w:spacing w:after="160"/>
      </w:pPr>
      <w:r>
        <w:rPr>
          <w:b w:val="false"/>
          <w:bCs w:val="false"/>
        </w:rPr>
        <w:t xml:space="preserve">The design uses hybrid retrieval combining </w:t>
      </w:r>
      <w:r>
        <w:rPr>
          <w:b/>
          <w:bCs/>
        </w:rPr>
        <w:t xml:space="preserve">semantic search (weight 0.7)</w:t>
      </w:r>
      <w:r>
        <w:rPr>
          <w:b w:val="false"/>
          <w:bCs w:val="false"/>
        </w:rPr>
        <w:t xml:space="preserve"> and </w:t>
      </w:r>
      <w:r>
        <w:rPr>
          <w:b/>
          <w:bCs/>
        </w:rPr>
        <w:t xml:space="preserve">keyword search via BM25 (weight 0.3)</w:t>
      </w:r>
      <w:r>
        <w:rPr>
          <w:b w:val="false"/>
          <w:bCs w:val="false"/>
        </w:rPr>
        <w:t xml:space="preserve">. The weighting reflects a deliberate prioritization, not an arbitrary default, and is one of the parameters the evaluation loop is designed to tune.</w:t>
      </w:r>
    </w:p>
    <w:p>
      <w:pPr>
        <w:spacing w:after="160"/>
      </w:pPr>
      <w:r>
        <w:t xml:space="preserve">Each component handles a distinct retrieval need:</w:t>
      </w:r>
    </w:p>
    <w:p>
      <w:pPr>
        <w:spacing w:after="160"/>
      </w:pPr>
      <w:r>
        <w:rPr>
          <w:b/>
          <w:bCs/>
        </w:rPr>
        <w:t xml:space="preserve">Keyword search (BM25)</w:t>
      </w:r>
      <w:r>
        <w:rPr>
          <w:b w:val="false"/>
          <w:bCs w:val="false"/>
        </w:rPr>
        <w:t xml:space="preserve"> is critical for legal document retrieval because legal text is full of exact-match requirements. Article numbers, regulatory references, clause identifiers, statute names — these are terms that semantic similarity cannot reliably surface because their meaning is definitional, not contextual. A query for "Article 15.3(b)" must match that string, not its semantic neighborhood.</w:t>
      </w:r>
    </w:p>
    <w:p>
      <w:pPr>
        <w:spacing w:after="160"/>
      </w:pPr>
      <w:r>
        <w:rPr>
          <w:b/>
          <w:bCs/>
        </w:rPr>
        <w:t xml:space="preserve">Semantic search</w:t>
      </w:r>
      <w:r>
        <w:rPr>
          <w:b w:val="false"/>
          <w:bCs w:val="false"/>
        </w:rPr>
        <w:t xml:space="preserve"> handles interpretive queries — the kind a legal team actually asks in practice. "What are the indemnification obligations in case of gross negligence?" is not a keyword lookup. It requires understanding the conceptual relationship between terms that may not co-occur literally in the source documents. Semantic search carries the higher weight because it covers the broader and more complex query space.</w:t>
      </w:r>
    </w:p>
    <w:p>
      <w:pPr>
        <w:spacing w:after="160"/>
      </w:pPr>
      <w:r>
        <w:rPr>
          <w:b/>
          <w:bCs/>
        </w:rPr>
        <w:t xml:space="preserve">Metadata filtering</w:t>
      </w:r>
      <w:r>
        <w:rPr>
          <w:b w:val="false"/>
          <w:bCs w:val="false"/>
        </w:rPr>
        <w:t xml:space="preserve"> adds a third dimension that neither retrieval method provides on its own: scope control. In a corpus of 200,000 documents spanning multiple practice areas, clients, and regulatory jurisdictions, filtering by document type, area of law, or client relationship before retrieval significantly improves precision without requiring the retrieval model to do that disambiguation on its own. The initial implementation uses simple categorical metadata; richer filter taxonomies are a natural candidate for future iteration.</w:t>
      </w:r>
    </w:p>
    <w:p>
      <w:pPr>
        <w:spacing w:after="400"/>
      </w:pPr>
      <w:r>
        <w:t xml:space="preserve">There is no reranker in the baseline. A reranker adds latency and a component to maintain, and its value depends on the quality of the initial retrieval pool. The right time to introduce a reranker is after the baseline retrieval quality is measured and the marginal gain of reranking is quantified against its cost.</w:t>
      </w:r>
    </w:p>
    <w:p>
      <w:pPr>
        <w:pStyle w:val="Heading2"/>
      </w:pPr>
      <w:r>
        <w:t xml:space="preserve">A2 — Hallucination Control</w:t>
      </w:r>
    </w:p>
    <w:p>
      <w:pPr>
        <w:spacing w:after="160"/>
      </w:pPr>
      <w:r>
        <w:t xml:space="preserve">There is no implementation that guarantees confident rejection with 100% reliability. Any design that claims otherwise is either overstating what is technically achievable or understating the complexity of the problem. The honest position is that hallucination control is not a feature you ship; it is a capability you develop over time.</w:t>
      </w:r>
    </w:p>
    <w:p>
      <w:pPr>
        <w:spacing w:after="160"/>
      </w:pPr>
      <w:r>
        <w:t xml:space="preserve">The baseline approach relies on three mechanisms working together:</w:t>
      </w:r>
    </w:p>
    <w:p>
      <w:pPr>
        <w:spacing w:after="160"/>
      </w:pPr>
      <w:r>
        <w:rPr>
          <w:b/>
          <w:bCs/>
        </w:rPr>
        <w:t xml:space="preserve">First, </w:t>
      </w:r>
      <w:r>
        <w:rPr>
          <w:b w:val="false"/>
          <w:bCs w:val="false"/>
        </w:rPr>
        <w:t xml:space="preserve">the prompt instructs the LLM to ground every statement in the retrieved documents and to decline to answer when retrieved context is insufficient.</w:t>
      </w:r>
    </w:p>
    <w:p>
      <w:pPr>
        <w:spacing w:after="160"/>
      </w:pPr>
      <w:r>
        <w:rPr>
          <w:b/>
          <w:bCs/>
        </w:rPr>
        <w:t xml:space="preserve">Second, </w:t>
      </w:r>
      <w:r>
        <w:rPr>
          <w:b w:val="false"/>
          <w:bCs w:val="false"/>
        </w:rPr>
        <w:t xml:space="preserve">RAGAS runs continuously over live traffic, measuring faithfulness and context relevance — the metrics most directly tied to hallucination risk.</w:t>
      </w:r>
    </w:p>
    <w:p>
      <w:pPr>
        <w:spacing w:after="160"/>
      </w:pPr>
      <w:r>
        <w:rPr>
          <w:b/>
          <w:bCs/>
        </w:rPr>
        <w:t xml:space="preserve">Third, </w:t>
      </w:r>
      <w:r>
        <w:rPr>
          <w:b w:val="false"/>
          <w:bCs w:val="false"/>
        </w:rPr>
        <w:t xml:space="preserve">citation evaluation via ALCE provides a complementary signal: if a cited passage does not support the claim it is attached to, that is a hallucination indicator regardless of how fluent the answer sounds.</w:t>
      </w:r>
    </w:p>
    <w:p>
      <w:pPr>
        <w:spacing w:after="160"/>
      </w:pPr>
      <w:r>
        <w:t xml:space="preserve">These mechanisms create the feedback signal. But acting on that signal requires something the system cannot do on its own: qualitative engagement with the team using the tool. Legal professionals have a precise sense of what a correct answer looks like. A false-but-plausible response in a legal context is not just a quality problem — it is a risk event. That domain knowledge needs to be captured, structured into evaluation cases, and fed back into the system. Building a ground-truth dataset from real queries and real expert validations is what eventually allows the rejection threshold to be calibrated with confidence rather than set by intuition.</w:t>
      </w:r>
    </w:p>
    <w:p>
      <w:pPr>
        <w:spacing w:after="400"/>
      </w:pPr>
      <w:r>
        <w:t xml:space="preserve">The system as designed makes that process possible. It does not complete it on its own, and the timeline to meaningful reliability depends on the volume and diversity of real queries, the engagement of the legal team in validation, and the iteration cadence. That is not a weakness of the design — it is an accurate description of what responsible deployment of this kind of system looks like.</w:t>
      </w:r>
    </w:p>
    <w:p>
      <w:pPr>
        <w:pStyle w:val="Heading2"/>
      </w:pPr>
      <w:r>
        <w:t xml:space="preserve">A2 — Citation Accuracy</w:t>
      </w:r>
    </w:p>
    <w:p>
      <w:pPr>
        <w:spacing w:after="160"/>
      </w:pPr>
      <w:r>
        <w:rPr>
          <w:b w:val="false"/>
          <w:bCs w:val="false"/>
        </w:rPr>
        <w:t xml:space="preserve">The design uses </w:t>
      </w:r>
      <w:r>
        <w:rPr>
          <w:b/>
          <w:bCs/>
        </w:rPr>
        <w:t xml:space="preserve">ALCE (Attributed to Latent Corpus Evaluation)</w:t>
      </w:r>
      <w:r>
        <w:rPr>
          <w:b w:val="false"/>
          <w:bCs w:val="false"/>
        </w:rPr>
        <w:t xml:space="preserve"> for citation evaluation. This is the most technically rigorous choice available for this use case, and in the context of an enterprise legal assistant, it is worth explaining why.</w:t>
      </w:r>
    </w:p>
    <w:p>
      <w:pPr>
        <w:spacing w:after="160"/>
      </w:pPr>
      <w:r>
        <w:rPr>
          <w:b w:val="false"/>
          <w:bCs w:val="false"/>
        </w:rPr>
        <w:t xml:space="preserve">Most RAG evaluation focuses on whether the retrieved documents are relevant (RAGAS handles this well). ALCE evaluates a different and harder question: whether each specific claim in the generated response is actually supported by the passage it cites. It measures </w:t>
      </w:r>
      <w:r>
        <w:rPr>
          <w:b/>
          <w:bCs/>
        </w:rPr>
        <w:t xml:space="preserve">citation precision</w:t>
      </w:r>
      <w:r>
        <w:rPr>
          <w:b w:val="false"/>
          <w:bCs w:val="false"/>
        </w:rPr>
        <w:t xml:space="preserve"> (are the cited sources supporting the claims?) and </w:t>
      </w:r>
      <w:r>
        <w:rPr>
          <w:b/>
          <w:bCs/>
        </w:rPr>
        <w:t xml:space="preserve">citation recall</w:t>
      </w:r>
      <w:r>
        <w:rPr>
          <w:b w:val="false"/>
          <w:bCs w:val="false"/>
        </w:rPr>
        <w:t xml:space="preserve"> (are all claims that require a source actually cited?). These two metrics together capture the failure modes that matter most in a legal context — citing the wrong passage for a correct claim, or making an unsupported claim without a citation.</w:t>
      </w:r>
    </w:p>
    <w:p>
      <w:pPr>
        <w:spacing w:after="160"/>
      </w:pPr>
      <w:r>
        <w:t xml:space="preserve">What makes ALCE relevant beyond its technical merits is its fit for the adversarial context of legal work. Lawyers verify citations. When a response cites page 47 of a contract, a lawyer will open page 47. If the cited passage does not say what the response claims it says, the system's credibility is gone — not just for that query, but structurally. ALCE running continuously over live traffic creates a persistent signal on exactly that failure mode.</w:t>
      </w:r>
    </w:p>
    <w:p>
      <w:pPr>
        <w:spacing w:after="400"/>
      </w:pPr>
      <w:r>
        <w:t xml:space="preserve">The reason this is a relatively novel choice in enterprise RAG is that most deployments stop at retrieval evaluation. Citation-level evaluation requires generating attribution labels at inference time and running a separate evaluation model to verify them, which adds overhead. In a legal context, that overhead is justified. The cost of a misattributed citation is not a metric degradation — it is a professional liability risk for the firm using the system.</w:t>
      </w:r>
    </w:p>
    <w:p>
      <w:pPr>
        <w:pStyle w:val="Heading1"/>
      </w:pPr>
      <w:r>
        <w:t xml:space="preserve">Q3 — Latency &amp; Scale</w:t>
      </w:r>
    </w:p>
    <w:p>
      <w:pPr>
        <w:spacing w:after="280"/>
      </w:pPr>
      <w:r>
        <w:t xml:space="preserve">The p95 latency requirement is 3 seconds under 500 concurrent users. Walk through how you would design for this — inference infrastructure, caching, autoscaling strategy, and any trade-offs.</w:t>
      </w:r>
    </w:p>
    <w:p>
      <w:pPr>
        <w:pStyle w:val="Heading2"/>
      </w:pPr>
      <w:r>
        <w:t xml:space="preserve">A3 — The Honest Starting Point</w:t>
      </w:r>
    </w:p>
    <w:p>
      <w:pPr>
        <w:spacing w:after="160"/>
      </w:pPr>
      <w:r>
        <w:t xml:space="preserve">The vanilla architecture can meet the stated requirement — p95 under 3 seconds at 500 concurrent users — but it does not guarantee it from day one, and that distinction matters.</w:t>
      </w:r>
    </w:p>
    <w:p>
      <w:pPr>
        <w:spacing w:after="160"/>
      </w:pPr>
      <w:r>
        <w:t xml:space="preserve">A simpler pipeline has fewer latency contributors than a complex one. There is no reranker, no multi-hop retrieval, no query router, no agentic loop. The critical path is: receive query → embed → hybrid retrieval → metadata filter → prompt assembly → LLM inference → return response with citations. Each of those steps has a measurable cost, and the sum of those costs is what the system needs to stay under. With Azure OpenAI for inference and Azure AI Search for retrieval, both running in the same region, the baseline is achievable under normal load conditions.</w:t>
      </w:r>
    </w:p>
    <w:p>
      <w:pPr>
        <w:spacing w:after="160"/>
      </w:pPr>
      <w:r>
        <w:t xml:space="preserve">The cases where it may not hold are worth naming explicitly, because they are not hypothetical edge cases — they are the direction the system naturally evolves toward.</w:t>
      </w:r>
    </w:p>
    <w:p>
      <w:pPr>
        <w:pStyle w:val="Heading2"/>
      </w:pPr>
      <w:r>
        <w:t xml:space="preserve">A3 — When the Threshold Becomes Harder to Meet</w:t>
      </w:r>
    </w:p>
    <w:p>
      <w:pPr>
        <w:spacing w:after="160"/>
      </w:pPr>
      <w:r>
        <w:t xml:space="preserve">As the system matures and usage patterns become understood, improvements get added. Some of those improvements add latency:</w:t>
      </w:r>
    </w:p>
    <w:p>
      <w:pPr>
        <w:spacing w:after="160"/>
      </w:pPr>
      <w:r>
        <w:rPr>
          <w:b/>
          <w:bCs/>
        </w:rPr>
        <w:t xml:space="preserve">Agentic routing. </w:t>
      </w:r>
      <w:r>
        <w:rPr>
          <w:b w:val="false"/>
          <w:bCs w:val="false"/>
        </w:rPr>
        <w:t xml:space="preserve">A natural evolution is a router that classifies incoming queries: questions that do not require retrieval can bypass the knowledge base entirely and be handled directly by the LLM. That routing step adds a classification call to every request. When it works well, it reduces average latency significantly. When it is miscalibrated, it adds overhead without benefit. The decision to implement it should come from observed query distributions, not from architectural ambition.</w:t>
      </w:r>
    </w:p>
    <w:p>
      <w:pPr>
        <w:spacing w:after="160"/>
      </w:pPr>
      <w:r>
        <w:rPr>
          <w:b/>
          <w:bCs/>
        </w:rPr>
        <w:t xml:space="preserve">Retrieval enhancements. </w:t>
      </w:r>
      <w:r>
        <w:rPr>
          <w:b w:val="false"/>
          <w:bCs w:val="false"/>
        </w:rPr>
        <w:t xml:space="preserve">A reranker, a larger top-k retrieval pool, or multi-stage retrieval all improve precision and add latency. The tradeoff is not hypothetical — semantic search already involves a precision-latency tension. Embedding-based retrieval is computationally more expensive than keyword search, and it produces results that are harder to verify deterministically. Every component added to the retrieval stage pushes the latency budget further. The system needs to earn those additions through demonstrated retrieval failures, not assume them in advance.</w:t>
      </w:r>
    </w:p>
    <w:p>
      <w:pPr>
        <w:spacing w:after="160"/>
      </w:pPr>
      <w:r>
        <w:rPr>
          <w:b/>
          <w:bCs/>
        </w:rPr>
        <w:t xml:space="preserve">Response caching. </w:t>
      </w:r>
      <w:r>
        <w:rPr>
          <w:b w:val="false"/>
          <w:bCs w:val="false"/>
        </w:rPr>
        <w:t xml:space="preserve">Legal and compliance teams tend to ask structurally similar questions repeatedly — around specific regulations, recurring contract clauses, or standard compliance checks. A Pareto analysis of real query traffic will likely show that a meaningful fraction of requests map to a small set of semantic clusters. Caching responses to high-frequency, stable queries is a high-leverage intervention: it reduces LLM inference calls, cuts latency for the most common use cases, and reduces cost. But it requires enough real traffic to identify those clusters reliably. Caching based on assumed patterns rather than observed ones risks serving stale or mismatched responses in a context where accuracy is non-negotiable.</w:t>
      </w:r>
    </w:p>
    <w:p>
      <w:pPr>
        <w:pStyle w:val="Heading2"/>
      </w:pPr>
      <w:r>
        <w:t xml:space="preserve">A3 — Autoscaling Strategy</w:t>
      </w:r>
    </w:p>
    <w:p>
      <w:pPr>
        <w:spacing w:after="160"/>
      </w:pPr>
      <w:r>
        <w:t xml:space="preserve">The baseline relies on Azure-native scaling: Azure Container Apps or AKS for the orchestration layer, Azure OpenAI's provisioned throughput units (PTUs) for inference, and Azure AI Search's tier-based scaling for retrieval. The principle is to scale the stateless components horizontally and avoid bottlenecks at the inference layer, which is typically the most latency-sensitive.</w:t>
      </w:r>
    </w:p>
    <w:p>
      <w:pPr>
        <w:spacing w:after="160"/>
      </w:pPr>
      <w:r>
        <w:t xml:space="preserve">For a legal team with usage concentrated around regulatory cycles and business hours, autoscaling based on concurrent request count is more appropriate than time-based scaling. The usage profile is unlikely to be uniform — internal tools of this kind tend to have structured peak periods rather than sustained high load. That is relevant to the infrastructure sizing decision: provisioning for sustained 500-user concurrency as a baseline is likely overprovisioning for the actual usage pattern.</w:t>
      </w:r>
    </w:p>
    <w:p>
      <w:pPr>
        <w:pStyle w:val="Heading2"/>
      </w:pPr>
      <w:r>
        <w:t xml:space="preserve">A3 — The Stack Evolution Question</w:t>
      </w:r>
    </w:p>
    <w:p>
      <w:pPr>
        <w:spacing w:after="160"/>
      </w:pPr>
      <w:r>
        <w:t xml:space="preserve">There is a category of latency problem that infrastructure tuning cannot solve: the architectural constraints of the underlying technology stack. Python is the natural choice for a system built on LangChain, FastAPI, and the Azure AI ecosystem. It is fast to develop on and has the deepest integration support for AI tooling. It is not the fastest runtime for high-throughput, latency-critical workloads.</w:t>
      </w:r>
    </w:p>
    <w:p>
      <w:pPr>
        <w:spacing w:after="160"/>
      </w:pPr>
      <w:r>
        <w:t xml:space="preserve">If the system evolves to the point where Python's concurrency model becomes the bottleneck — under genuinely high sustained load, with complex orchestration logic — a partial or full migration to Go or Rust for the serving layer is a legitimate option. That is not a decision to make speculatively. It is a decision that observed performance data makes obvious when the time comes. The signal to watch for is: latency degrades under load in a way that is not explained by inference or retrieval costs, but by the orchestration layer itself.</w:t>
      </w:r>
    </w:p>
    <w:p>
      <w:pPr>
        <w:pStyle w:val="Heading2"/>
      </w:pPr>
      <w:r>
        <w:t xml:space="preserve">A3 — The Trade-off the Client Needs to Understand</w:t>
      </w:r>
    </w:p>
    <w:p>
      <w:pPr>
        <w:spacing w:after="160"/>
      </w:pPr>
      <w:r>
        <w:rPr>
          <w:b w:val="false"/>
          <w:bCs w:val="false"/>
        </w:rPr>
        <w:t xml:space="preserve">There is a fundamental tension in semantic retrieval that is worth stating clearly: </w:t>
      </w:r>
      <w:r>
        <w:rPr>
          <w:b/>
          <w:bCs/>
        </w:rPr>
        <w:t xml:space="preserve">precision and latency move in opposite directions.</w:t>
      </w:r>
    </w:p>
    <w:p>
      <w:pPr>
        <w:spacing w:after="160"/>
      </w:pPr>
      <w:r>
        <w:t xml:space="preserve">More sophisticated retrieval — larger embedding models, deeper vector indexes, additional filtering stages, reranking — produces better results and takes more time. The same is true of inference: a larger model with a longer context window produces more nuanced, better-grounded responses and costs more per call. These are not engineering failures to be optimized away; they are structural properties of the technology.</w:t>
      </w:r>
    </w:p>
    <w:p>
      <w:pPr>
        <w:spacing w:after="160"/>
      </w:pPr>
      <w:r>
        <w:t xml:space="preserve">The design choices that move the system toward higher precision (better semantic understanding, more reliable citations, lower hallucination rates) are often the same choices that increase latency and cost. Managing that tradeoff is an ongoing calibration based on what the user population actually needs, not a problem to be solved once at design time.</w:t>
      </w:r>
    </w:p>
    <w:p>
      <w:pPr>
        <w:spacing w:after="400"/>
      </w:pPr>
      <w:r>
        <w:t xml:space="preserve">A p95 target of 3 seconds is achievable for a well-scoped vanilla system under realistic load. Whether it remains achievable as the system evolves depends on which improvements are added and why. The evaluation infrastructure in place from day one is what makes those decisions traceable — every change to the pipeline has a measurable effect on latency, and that effect should be part of the decision to make the change.</w:t>
      </w:r>
    </w:p>
    <w:p>
      <w:pPr>
        <w:pStyle w:val="Heading1"/>
      </w:pPr>
      <w:r>
        <w:t xml:space="preserve">Q4 — What Would You Do Differently With More Time?</w:t>
      </w:r>
    </w:p>
    <w:p>
      <w:pPr>
        <w:spacing w:after="280"/>
      </w:pPr>
      <w:r>
        <w:t xml:space="preserve">Name 2–3 architectural improvements or capabilities you would add if this were a 6-month engagement rather than a POC.</w:t>
      </w:r>
    </w:p>
    <w:p>
      <w:pPr>
        <w:pStyle w:val="Heading2"/>
      </w:pPr>
      <w:r>
        <w:t xml:space="preserve">A4 — Framing</w:t>
      </w:r>
    </w:p>
    <w:p>
      <w:pPr>
        <w:spacing w:after="400"/>
      </w:pPr>
      <w:r>
        <w:t xml:space="preserve">A six-month engagement changes the question from "does this work?" to "how well does it work, and for whom?" The vanilla architecture is designed to answer the first question. The three improvements below address the second — and each one is conditional on what the data and the users reveal in the first phase.</w:t>
      </w:r>
    </w:p>
    <w:p>
      <w:pPr>
        <w:pStyle w:val="Heading2"/>
      </w:pPr>
      <w:r>
        <w:t xml:space="preserve">A4.1 — A Robust Data Pipeline Upstream of the RAG</w:t>
      </w:r>
    </w:p>
    <w:p>
      <w:pPr>
        <w:spacing w:after="160"/>
      </w:pPr>
      <w:r>
        <w:t xml:space="preserve">This is the improvement with the highest potential impact and the least visibility in an architecture diagram — which is precisely why it tends to get deprioritized.</w:t>
      </w:r>
    </w:p>
    <w:p>
      <w:pPr>
        <w:spacing w:after="160"/>
      </w:pPr>
      <w:r>
        <w:t xml:space="preserve">The vanilla system ingests 200,000 documents as-is. That assumption is optimistic. Legal and compliance document corpora accumulated over years tend to have inconsistent structure, variable metadata quality, duplicate or near-duplicate content across versions, and documents that were never meant to be machine-readable. The RAG pipeline cannot compensate for those problems at retrieval time; it can only surface them as degraded output.</w:t>
      </w:r>
    </w:p>
    <w:p>
      <w:pPr>
        <w:spacing w:after="160"/>
      </w:pPr>
      <w:r>
        <w:t xml:space="preserve">A dedicated data pipeline would address this upstream: document classification by type and area, metadata enrichment and normalization, deduplication with version control logic, and quality filtering that identifies documents too fragmented or poorly structured to contribute meaningfully to retrieval. The practical effect is that every improvement made to chunking, embedding, or retrieval operates on a cleaner substrate — the gains compound.</w:t>
      </w:r>
    </w:p>
    <w:p>
      <w:pPr>
        <w:spacing w:after="400"/>
      </w:pPr>
      <w:r>
        <w:t xml:space="preserve">This improvement needs to be framed as conditional. If the existing document corpus is already well-structured and consistently tagged, the priority shifts elsewhere. If it is not — which is the more likely scenario in a large enterprise with documents accumulated across systems, teams, and years — this becomes the foundational investment that makes everything else more reliable.</w:t>
      </w:r>
    </w:p>
    <w:p>
      <w:pPr>
        <w:pStyle w:val="Heading2"/>
      </w:pPr>
      <w:r>
        <w:t xml:space="preserve">A4.2 — Retrieval Refinement: Reranking, Embedding Tuning, or Both</w:t>
      </w:r>
    </w:p>
    <w:p>
      <w:pPr>
        <w:spacing w:after="160"/>
      </w:pPr>
      <w:r>
        <w:t xml:space="preserve">The vanilla system uses text-embedding-3-large with fixed hybrid weights and no reranker. Over six months of real traffic, the evaluation layer (RAGAS + ALCE) will produce data on where retrieval fails. The response to that data depends on the failure pattern.</w:t>
      </w:r>
    </w:p>
    <w:p>
      <w:pPr>
        <w:spacing w:after="160"/>
      </w:pPr>
      <w:r>
        <w:rPr>
          <w:b/>
          <w:bCs/>
        </w:rPr>
        <w:t xml:space="preserve">Scenario A — Query type mismatch. </w:t>
      </w:r>
      <w:r>
        <w:rPr>
          <w:b w:val="false"/>
          <w:bCs w:val="false"/>
        </w:rPr>
        <w:t xml:space="preserve">If the legal team primarily asks interpretive, multi-document questions, the general-purpose embedding model will show semantic gaps on domain-specific legal terminology. The right intervention is fine-tuning the embedding model on the firm's own corpus — potentially with contrastive pairs generated from validated query-document matches accumulated during phase one. Research on legal-specific retrieval shows consistent gains of 10–20% over general models when fine-tuned on domain text.</w:t>
      </w:r>
    </w:p>
    <w:p>
      <w:pPr>
        <w:spacing w:after="160"/>
      </w:pPr>
      <w:r>
        <w:rPr>
          <w:b/>
          <w:bCs/>
        </w:rPr>
        <w:t xml:space="preserve">Scenario B — Precision failure on known documents. </w:t>
      </w:r>
      <w:r>
        <w:rPr>
          <w:b w:val="false"/>
          <w:bCs w:val="false"/>
        </w:rPr>
        <w:t xml:space="preserve">If users are asking reference-style questions and the system is returning plausible but wrong chunks, the embedding model is likely not the bottleneck — the ranking is. A cross-encoder reranker operating on the top-k pool from the hybrid retriever would re-score candidates with full query-document attention, significantly improving the quality of what reaches the LLM. The latency cost is real and measurable; whether it fits within the 3-second budget depends on what the baseline measurements show.</w:t>
      </w:r>
    </w:p>
    <w:p>
      <w:pPr>
        <w:spacing w:after="400"/>
      </w:pPr>
      <w:r>
        <w:rPr>
          <w:b/>
          <w:bCs/>
        </w:rPr>
        <w:t xml:space="preserve">Scenario C — Both. </w:t>
      </w:r>
      <w:r>
        <w:rPr>
          <w:b w:val="false"/>
          <w:bCs w:val="false"/>
        </w:rPr>
        <w:t xml:space="preserve">Embedding quality determines retrieval recall. Reranking determines retrieval precision. In a mature six-month system, both interventions applied sequentially — embedding fine-tuning first, reranking second — represent the clearest path to measurably higher output quality. The sequencing matters: fine-tuning the embedding model on a poor-quality corpus (see A4.1) produces marginal gains. The improvements are interdependent.</w:t>
      </w:r>
    </w:p>
    <w:p>
      <w:pPr>
        <w:pStyle w:val="Heading2"/>
      </w:pPr>
      <w:r>
        <w:t xml:space="preserve">A4.3 — Structured Adoption: The Capability That Doesn't Live in Code</w:t>
      </w:r>
    </w:p>
    <w:p>
      <w:pPr>
        <w:spacing w:after="160"/>
      </w:pPr>
      <w:r>
        <w:t xml:space="preserve">The third improvement is not a component. It does not appear in the architecture diagram and it cannot be measured in milliseconds or F1 scores. It is also the one most likely to determine whether the system gets used.</w:t>
      </w:r>
    </w:p>
    <w:p>
      <w:pPr>
        <w:spacing w:after="160"/>
      </w:pPr>
      <w:r>
        <w:t xml:space="preserve">A legal and compliance team in a Fortune 500 firm has established workflows, professional standards, and a precise understanding of what "correct" looks like in their domain. Introducing an AI assistant into that environment is not primarily a technical problem — it is a change management problem. How lawyers formulate queries, what they trust, how they interpret a cited response, what they do when the system declines to answer — none of that is self-evident, and none of it can be assumed.</w:t>
      </w:r>
    </w:p>
    <w:p>
      <w:pPr>
        <w:spacing w:after="160"/>
      </w:pPr>
      <w:r>
        <w:t xml:space="preserve">Over six months, the parallel investment would be in structured adoption work: identifying power users who can help build the ground-truth evaluation dataset from real validated queries, creating feedback mechanisms that capture expert corrections and route them back into system improvement, and developing a shared vocabulary between the technical team and the legal team for talking about system quality. That last point is underrated — a lawyer and an engineer do not naturally have the same definition of "the system got this wrong."</w:t>
      </w:r>
    </w:p>
    <w:p>
      <w:pPr>
        <w:spacing w:after="160"/>
      </w:pPr>
      <w:r>
        <w:t xml:space="preserve">This is the dimension of the engagement that transforms a technically functional RAG into a system the organization actually relies on. Digital transformation efforts fail more often at adoption than at architecture. Designing for that from month one — not as an afterthought once the system is "ready" — is what makes the six-month investment durable.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60"/>
      <w:outlineLvl w:val="0"/>
    </w:pPr>
    <w:rPr>
      <w:rFonts w:ascii="Arial" w:cs="Arial" w:eastAsia="Arial" w:hAnsi="Arial"/>
      <w:b/>
      <w:bCs/>
      <w:color w:val="000000"/>
      <w:sz w:val="40"/>
      <w:szCs w:val="40"/>
    </w:rPr>
  </w:style>
  <w:style w:type="paragraph" w:styleId="Heading2">
    <w:name w:val="Heading 2"/>
    <w:basedOn w:val="Normal"/>
    <w:next w:val="Normal"/>
    <w:qFormat/>
    <w:pPr>
      <w:spacing w:after="160" w:before="400"/>
      <w:outlineLvl w:val="1"/>
    </w:pPr>
    <w:rPr>
      <w:rFonts w:ascii="Arial" w:cs="Arial" w:eastAsia="Arial" w:hAnsi="Arial"/>
      <w:b/>
      <w:bCs/>
      <w:color w:val="000000"/>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2026-05-29T11:29:45.041Z</dcterms:created>
  <dcterms:modified xsi:type="dcterms:W3CDTF">2026-05-29T11:29:45.042Z</dcterms:modified>
</cp:coreProperties>
</file>

<file path=docProps/custom.xml><?xml version="1.0" encoding="utf-8"?>
<Properties xmlns="http://schemas.openxmlformats.org/officeDocument/2006/custom-properties" xmlns:vt="http://schemas.openxmlformats.org/officeDocument/2006/docPropsVTypes"/>
</file>