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1B894"/>
          <w:sz w:val="20"/>
        </w:rPr>
        <w:t>解題方向｜AI 與資料應用｜AWS 架構｜Live Demo</w:t>
      </w:r>
    </w:p>
    <w:p>
      <w:pPr>
        <w:pStyle w:val="Title"/>
        <w:jc w:val="center"/>
      </w:pPr>
      <w:r>
        <w:t>TrustForge Hermes 提案報告</w:t>
      </w:r>
    </w:p>
    <w:p>
      <w:pPr>
        <w:jc w:val="center"/>
      </w:pPr>
      <w:r>
        <w:rPr>
          <w:b/>
          <w:color w:val="12A8C7"/>
          <w:sz w:val="28"/>
        </w:rPr>
        <w:t>加密市場多源資訊的信任提煉 AI Agent</w:t>
      </w:r>
    </w:p>
    <w:p>
      <w:pPr>
        <w:jc w:val="center"/>
      </w:pPr>
      <w:r>
        <w:rPr>
          <w:sz w:val="18"/>
        </w:rPr>
        <w:t>中再參與｜HurricaneSoft｜2026-07-31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EF6FF"/>
            <w:vAlign w:val="center"/>
          </w:tcPr>
          <w:p>
            <w:pPr>
              <w:spacing w:after="160" w:before="160"/>
            </w:pPr>
            <w:r/>
            <w:r>
              <w:rPr>
                <w:rFonts w:ascii="Microsoft JhengHei" w:hAnsi="Microsoft JhengHei"/>
                <w:b/>
                <w:color w:val="3157C8"/>
                <w:sz w:val="22"/>
              </w:rPr>
              <w:t>一句話提案：在生成式 AI 寫出市場分析之前，先把每一條主張做來源評估、交叉佐證、時效檢查與反方保留，讓結論可回到原始證據。</w:t>
            </w:r>
          </w:p>
        </w:tc>
      </w:tr>
    </w:tbl>
    <w:p/>
    <w:p>
      <w:pPr>
        <w:pStyle w:val="Heading1"/>
      </w:pPr>
      <w:r>
        <w:t>團隊基本資料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232"/>
            <w:shd w:fill="3157C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7560"/>
            <w:shd w:fill="3157C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開發環境組別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Team 11</w:t>
            </w:r>
          </w:p>
        </w:tc>
      </w:tr>
      <w:tr>
        <w:tc>
          <w:tcPr>
            <w:tcW w:type="dxa" w:w="2232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團隊名稱</w:t>
            </w:r>
          </w:p>
        </w:tc>
        <w:tc>
          <w:tcPr>
            <w:tcW w:type="dxa" w:w="7560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中再參與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團隊／品牌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HurricaneSoft</w:t>
            </w:r>
          </w:p>
        </w:tc>
      </w:tr>
      <w:tr>
        <w:tc>
          <w:tcPr>
            <w:tcW w:type="dxa" w:w="2232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隊長</w:t>
            </w:r>
          </w:p>
        </w:tc>
        <w:tc>
          <w:tcPr>
            <w:tcW w:type="dxa" w:w="7560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王英豪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成員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嵋婕、林子彤、王榆翔（Nicholas）</w:t>
            </w:r>
          </w:p>
        </w:tc>
      </w:tr>
      <w:tr>
        <w:tc>
          <w:tcPr>
            <w:tcW w:type="dxa" w:w="2232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命題類別</w:t>
            </w:r>
          </w:p>
        </w:tc>
        <w:tc>
          <w:tcPr>
            <w:tcW w:type="dxa" w:w="7560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智慧交易｜HOYA BIT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作品名稱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TrustForge Hermes（信源熔爐）</w:t>
            </w:r>
          </w:p>
        </w:tc>
      </w:tr>
    </w:tbl>
    <w:p/>
    <w:p>
      <w:pPr>
        <w:pStyle w:val="Heading1"/>
      </w:pPr>
      <w:r>
        <w:t>提案摘要</w:t>
      </w:r>
    </w:p>
    <w:p>
      <w:r>
        <w:t>TrustForge Hermes 是面向加密市場研究的多源資訊信任提煉 AI Agent。系統整合行情、新聞、社群與可回溯資料，先將內容拆成可驗證主張，再由 Trust Layer 計算來源聲譽、獨立佐證、時效與風險訊號，保留支持及反方證據，最後交由 Amazon Bedrock 產生附引用的分析報告。產品不預測價格、不提供投資建議；核心價值是讓研究者知道每個結論『憑什麼相信、何時應改變判斷』。現場可在 15 分鐘內由題目與指定幣種產出 Final Report、Evidence List、Execution Log、Source／Config 四項交付物。</w:t>
      </w:r>
    </w:p>
    <w:p>
      <w:pPr>
        <w:sectPr>
          <w:headerReference w:type="default" r:id="rId9"/>
          <w:footerReference w:type="default" r:id="rId10"/>
          <w:pgSz w:w="12240" w:h="15840"/>
          <w:pgMar w:top="1037" w:right="1181" w:bottom="979" w:left="1181" w:header="720" w:footer="720" w:gutter="0"/>
          <w:cols w:space="720"/>
          <w:docGrid w:linePitch="360"/>
        </w:sectPr>
      </w:pPr>
    </w:p>
    <w:p>
      <w:pPr>
        <w:pStyle w:val="Heading1"/>
      </w:pPr>
      <w:r>
        <w:t>一、問題與命題連結</w:t>
      </w:r>
    </w:p>
    <w:p>
      <w:r>
        <w:t>加密市場資訊高速、碎片化且易受轉載、同溫層與情緒操作影響。一般生成式 AI 能整理文字，卻可能把重複來源當成多方共識，或生成無法查證的引用。HOYA BIT 命題要求多源資訊分析、證據可回溯及完整執行紀錄；TrustForge 將『信任判斷』做成獨立、可稽核的中介層。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232"/>
            <w:shd w:fill="3157C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color w:val="FFFFFF"/>
                <w:sz w:val="18"/>
              </w:rPr>
              <w:t>痛點</w:t>
            </w:r>
          </w:p>
        </w:tc>
        <w:tc>
          <w:tcPr>
            <w:tcW w:type="dxa" w:w="4032"/>
            <w:shd w:fill="3157C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color w:val="FFFFFF"/>
                <w:sz w:val="18"/>
              </w:rPr>
              <w:t>TrustForge 回應</w:t>
            </w:r>
          </w:p>
        </w:tc>
        <w:tc>
          <w:tcPr>
            <w:tcW w:type="dxa" w:w="3528"/>
            <w:shd w:fill="3157C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color w:val="FFFFFF"/>
                <w:sz w:val="18"/>
              </w:rPr>
              <w:t>可驗證輸出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來源多但不等於獨立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辨識來源與主張，計算獨立佐證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支持／矛盾證據計數</w:t>
            </w:r>
          </w:p>
        </w:tc>
      </w:tr>
      <w:tr>
        <w:tc>
          <w:tcPr>
            <w:tcW w:type="dxa" w:w="2232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LLM 引用可能失真</w:t>
            </w:r>
          </w:p>
        </w:tc>
        <w:tc>
          <w:tcPr>
            <w:tcW w:type="dxa" w:w="4032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先建立 Evidence contract，再限制生成</w:t>
            </w:r>
          </w:p>
        </w:tc>
        <w:tc>
          <w:tcPr>
            <w:tcW w:type="dxa" w:w="3528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URL、時間、引用片段、claim_id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結論缺少限制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保留反方證據與 could_flip 條件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信心、限制、翻轉條件</w:t>
            </w:r>
          </w:p>
        </w:tc>
      </w:tr>
      <w:tr>
        <w:tc>
          <w:tcPr>
            <w:tcW w:type="dxa" w:w="2232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Demo 時間短</w:t>
            </w:r>
          </w:p>
        </w:tc>
        <w:tc>
          <w:tcPr>
            <w:tcW w:type="dxa" w:w="4032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固定執行預算與四件式輸出</w:t>
            </w:r>
          </w:p>
        </w:tc>
        <w:tc>
          <w:tcPr>
            <w:tcW w:type="dxa" w:w="3528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Report／Evidence／Log／Config</w:t>
            </w:r>
          </w:p>
        </w:tc>
      </w:tr>
    </w:tbl>
    <w:p/>
    <w:p>
      <w:pPr>
        <w:pStyle w:val="Heading2"/>
      </w:pPr>
      <w:r>
        <w:t>使用情境</w:t>
      </w:r>
    </w:p>
    <w:p>
      <w:pPr>
        <w:pStyle w:val="ListBullet"/>
        <w:spacing w:after="80"/>
      </w:pPr>
      <w:r>
        <w:t>交易所研究與客服：快速生成可追溯的市場事件摘要。</w:t>
      </w:r>
    </w:p>
    <w:p>
      <w:pPr>
        <w:pStyle w:val="ListBullet"/>
        <w:spacing w:after="80"/>
      </w:pPr>
      <w:r>
        <w:t>風險與合規：抽查引用是否存在、來源是否一致、結論是否過度延伸。</w:t>
      </w:r>
    </w:p>
    <w:p>
      <w:pPr>
        <w:pStyle w:val="ListBullet"/>
        <w:spacing w:after="80"/>
      </w:pPr>
      <w:r>
        <w:t>一般使用者：在做決策前看見支持證據、反方證據與資訊缺口。</w:t>
      </w:r>
    </w:p>
    <w:p>
      <w:pPr>
        <w:pStyle w:val="Heading2"/>
      </w:pPr>
      <w:r>
        <w:t>以官方評分標準設計產品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088"/>
            <w:shd w:fill="3157C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color w:val="FFFFFF"/>
                <w:sz w:val="18"/>
              </w:rPr>
              <w:t>評分項</w:t>
            </w:r>
          </w:p>
        </w:tc>
        <w:tc>
          <w:tcPr>
            <w:tcW w:type="dxa" w:w="1008"/>
            <w:shd w:fill="3157C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color w:val="FFFFFF"/>
                <w:sz w:val="18"/>
              </w:rPr>
              <w:t>權重</w:t>
            </w:r>
          </w:p>
        </w:tc>
        <w:tc>
          <w:tcPr>
            <w:tcW w:type="dxa" w:w="6696"/>
            <w:shd w:fill="3157C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color w:val="FFFFFF"/>
                <w:sz w:val="18"/>
              </w:rPr>
              <w:t>TrustForge 的可驗證特色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主題切合度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30%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多源整合、證據回溯、矛盾訊號、雙軸信心與限制說明</w:t>
            </w:r>
          </w:p>
        </w:tc>
      </w:tr>
      <w:tr>
        <w:tc>
          <w:tcPr>
            <w:tcW w:type="dxa" w:w="2088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商業應用性</w:t>
            </w:r>
          </w:p>
        </w:tc>
        <w:tc>
          <w:tcPr>
            <w:tcW w:type="dxa" w:w="1008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25%</w:t>
            </w:r>
          </w:p>
        </w:tc>
        <w:tc>
          <w:tcPr>
            <w:tcW w:type="dxa" w:w="6696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降低研究與查核成本；可嵌入 HOYA BIT 市場資訊頁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技術可行性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20%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Trust Kernel、Bedrock 責任分離、獨立降級與執行紀錄</w:t>
            </w:r>
          </w:p>
        </w:tc>
      </w:tr>
      <w:tr>
        <w:tc>
          <w:tcPr>
            <w:tcW w:type="dxa" w:w="2088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創意度</w:t>
            </w:r>
          </w:p>
        </w:tc>
        <w:tc>
          <w:tcPr>
            <w:tcW w:type="dxa" w:w="1008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15%</w:t>
            </w:r>
          </w:p>
        </w:tc>
        <w:tc>
          <w:tcPr>
            <w:tcW w:type="dxa" w:w="6696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來源獨立性、矛盾帳本、雙軸信心、負空間情報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完成度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10%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15 分鐘內產出 Report、Evidence、Log 與 Source/Config</w:t>
            </w:r>
          </w:p>
        </w:tc>
      </w:tr>
      <w:tr>
        <w:tc>
          <w:tcPr>
            <w:tcW w:type="dxa" w:w="2088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AWS Kiro</w:t>
            </w:r>
          </w:p>
        </w:tc>
        <w:tc>
          <w:tcPr>
            <w:tcW w:type="dxa" w:w="1008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+10%</w:t>
            </w:r>
          </w:p>
        </w:tc>
        <w:tc>
          <w:tcPr>
            <w:tcW w:type="dxa" w:w="6696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Spec 驅動需求、驗收、設計與實作追溯</w:t>
            </w:r>
          </w:p>
        </w:tc>
      </w:tr>
    </w:tbl>
    <w:p/>
    <w:p>
      <w:pPr>
        <w:sectPr>
          <w:pgSz w:w="12240" w:h="15840"/>
          <w:pgMar w:top="1037" w:right="1181" w:bottom="979" w:left="1181" w:header="720" w:footer="720" w:gutter="0"/>
          <w:cols w:space="720"/>
          <w:docGrid w:linePitch="360"/>
        </w:sectPr>
      </w:pPr>
    </w:p>
    <w:p>
      <w:pPr>
        <w:pStyle w:val="Heading1"/>
      </w:pPr>
      <w:r>
        <w:t>二、解決方案與資料流程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EF6FF"/>
            <w:vAlign w:val="center"/>
          </w:tcPr>
          <w:p>
            <w:pPr>
              <w:spacing w:after="160" w:before="160"/>
            </w:pPr>
            <w:r/>
            <w:r>
              <w:rPr>
                <w:rFonts w:ascii="Microsoft JhengHei" w:hAnsi="Microsoft JhengHei"/>
                <w:b/>
                <w:color w:val="3157C8"/>
                <w:sz w:val="22"/>
              </w:rPr>
              <w:t>輸入題目＋指定幣種 → 蒐集資料 → 主張抽取 → TrustScore／交叉佐證 → Bedrock 敘事化 → 四份可稽核交付物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00"/>
            <w:shd w:fill="3157C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color w:val="FFFFFF"/>
                <w:sz w:val="18"/>
              </w:rPr>
              <w:t>層級</w:t>
            </w:r>
          </w:p>
        </w:tc>
        <w:tc>
          <w:tcPr>
            <w:tcW w:type="dxa" w:w="5256"/>
            <w:shd w:fill="3157C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color w:val="FFFFFF"/>
                <w:sz w:val="18"/>
              </w:rPr>
              <w:t>主要工作</w:t>
            </w:r>
          </w:p>
        </w:tc>
        <w:tc>
          <w:tcPr>
            <w:tcW w:type="dxa" w:w="2736"/>
            <w:shd w:fill="3157C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color w:val="FFFFFF"/>
                <w:sz w:val="18"/>
              </w:rPr>
              <w:t>輸出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1. Ingestion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取得 OHLCV、新聞、社群與文件；記錄來源、取得時間、查詢條件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標準化 Document</w:t>
            </w:r>
          </w:p>
        </w:tc>
      </w:tr>
      <w:tr>
        <w:tc>
          <w:tcPr>
            <w:tcW w:type="dxa" w:w="1800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2. Trust Kernel</w:t>
            </w:r>
          </w:p>
        </w:tc>
        <w:tc>
          <w:tcPr>
            <w:tcW w:type="dxa" w:w="5256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拆解 Claim；計算來源聲譽、獨立佐證、時效、風險標記；保存反方</w:t>
            </w:r>
          </w:p>
        </w:tc>
        <w:tc>
          <w:tcPr>
            <w:tcW w:type="dxa" w:w="2736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ScoredClaim／TrustedBrief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3. Agent &amp; Delivery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Amazon Bedrock 依 TrustedBrief 組織文字，強制以 claim_id 對應證據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Final Report 等四件</w:t>
            </w:r>
          </w:p>
        </w:tc>
      </w:tr>
    </w:tbl>
    <w:p/>
    <w:p>
      <w:pPr>
        <w:pStyle w:val="Heading2"/>
      </w:pPr>
      <w:r>
        <w:t>TrustScore 的定位</w:t>
      </w:r>
    </w:p>
    <w:p>
      <w:r>
        <w:t>TrustScore 是『資訊完整度與可溯源性』指標，不是幣價上漲機率。內部預測驗證 AUC 約 0.49，接近隨機，因此本團隊不宣稱預測能力；這項限制反而確立產品聚焦：提升判斷品質，而非製造報酬保證。</w:t>
      </w:r>
    </w:p>
    <w:p>
      <w:pPr>
        <w:pStyle w:val="Heading2"/>
      </w:pPr>
      <w:r>
        <w:t>Evidence 最小契約</w:t>
      </w:r>
    </w:p>
    <w:p>
      <w:pPr>
        <w:pStyle w:val="ListBullet"/>
        <w:spacing w:after="80"/>
      </w:pPr>
      <w:r>
        <w:t>source：來源名稱或資料提供者。</w:t>
      </w:r>
    </w:p>
    <w:p>
      <w:pPr>
        <w:pStyle w:val="ListBullet"/>
        <w:spacing w:after="80"/>
      </w:pPr>
      <w:r>
        <w:t>fetched_at：取得時間。</w:t>
      </w:r>
    </w:p>
    <w:p>
      <w:pPr>
        <w:pStyle w:val="ListBullet"/>
        <w:spacing w:after="80"/>
      </w:pPr>
      <w:r>
        <w:t>content_reference：引用片段、檔名、查詢或資料範圍。</w:t>
      </w:r>
    </w:p>
    <w:p>
      <w:pPr>
        <w:pStyle w:val="ListBullet"/>
        <w:spacing w:after="80"/>
      </w:pPr>
      <w:r>
        <w:t>related_claim：該證據支持或反駁的主張。</w:t>
      </w:r>
    </w:p>
    <w:p>
      <w:pPr>
        <w:pStyle w:val="ListBullet"/>
        <w:spacing w:after="80"/>
      </w:pPr>
      <w:r>
        <w:t>網頁附 source_url；API／CSV 附 endpoint、參數、交易對、時間範圍或檔名。</w:t>
      </w:r>
    </w:p>
    <w:p>
      <w:pPr>
        <w:sectPr>
          <w:pgSz w:w="12240" w:h="15840"/>
          <w:pgMar w:top="1037" w:right="1181" w:bottom="979" w:left="1181" w:header="720" w:footer="720" w:gutter="0"/>
          <w:cols w:space="720"/>
          <w:docGrid w:linePitch="360"/>
        </w:sectPr>
      </w:pPr>
    </w:p>
    <w:p>
      <w:pPr>
        <w:pStyle w:val="Heading1"/>
      </w:pPr>
      <w:r>
        <w:t>三、AWS 與生成式 AI 技術架構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160"/>
            <w:shd w:fill="3157C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color w:val="FFFFFF"/>
                <w:sz w:val="18"/>
              </w:rPr>
              <w:t>服務</w:t>
            </w:r>
          </w:p>
        </w:tc>
        <w:tc>
          <w:tcPr>
            <w:tcW w:type="dxa" w:w="4536"/>
            <w:shd w:fill="3157C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096"/>
            <w:shd w:fill="3157C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color w:val="FFFFFF"/>
                <w:sz w:val="18"/>
              </w:rPr>
              <w:t>控制措施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Amazon Bedrock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唯一基礎模型入口；抽取、立場分類與報告敘事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模型 ID／用量留痕、成本護欄、離線降級</w:t>
            </w:r>
          </w:p>
        </w:tc>
      </w:tr>
      <w:tr>
        <w:tc>
          <w:tcPr>
            <w:tcW w:type="dxa" w:w="2160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Amazon EC2＋nginx</w:t>
            </w:r>
          </w:p>
        </w:tc>
        <w:tc>
          <w:tcPr>
            <w:tcW w:type="dxa" w:w="4536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React Live Demo 與 Python API</w:t>
            </w:r>
          </w:p>
        </w:tc>
        <w:tc>
          <w:tcPr>
            <w:tcW w:type="dxa" w:w="3096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HTTPS、服務程序管理、健康檢查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Amazon DynamoDB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執行狀態、冪等及協調資料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租約與重試控制</w:t>
            </w:r>
          </w:p>
        </w:tc>
      </w:tr>
      <w:tr>
        <w:tc>
          <w:tcPr>
            <w:tcW w:type="dxa" w:w="2160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Amazon S3</w:t>
            </w:r>
          </w:p>
        </w:tc>
        <w:tc>
          <w:tcPr>
            <w:tcW w:type="dxa" w:w="4536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交付物與版本 manifest</w:t>
            </w:r>
          </w:p>
        </w:tc>
        <w:tc>
          <w:tcPr>
            <w:tcW w:type="dxa" w:w="3096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SHA-256、candidate／active／previous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IAM＋SSM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最小權限及維運存取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不在 Repo 儲存長效憑證</w:t>
            </w:r>
          </w:p>
        </w:tc>
      </w:tr>
      <w:tr>
        <w:tc>
          <w:tcPr>
            <w:tcW w:type="dxa" w:w="2160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CloudWatch</w:t>
            </w:r>
          </w:p>
        </w:tc>
        <w:tc>
          <w:tcPr>
            <w:tcW w:type="dxa" w:w="4536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日誌、健康及錯誤觀測</w:t>
            </w:r>
          </w:p>
        </w:tc>
        <w:tc>
          <w:tcPr>
            <w:tcW w:type="dxa" w:w="3096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run_id 串接執行紀錄</w:t>
            </w:r>
          </w:p>
        </w:tc>
      </w:tr>
    </w:tbl>
    <w:p/>
    <w:p>
      <w:pPr>
        <w:pStyle w:val="Heading2"/>
      </w:pPr>
      <w:r>
        <w:t>生成式 AI 的責任邊界</w:t>
      </w:r>
    </w:p>
    <w:p>
      <w:pPr>
        <w:pStyle w:val="ListBullet"/>
        <w:spacing w:after="80"/>
      </w:pPr>
      <w:r>
        <w:t>Bedrock 負責語意抽取、有限立場分類與可讀敘事；不可捏造證據。</w:t>
      </w:r>
    </w:p>
    <w:p>
      <w:pPr>
        <w:pStyle w:val="ListBullet"/>
        <w:spacing w:after="80"/>
      </w:pPr>
      <w:r>
        <w:t>信任分數、證據關聯、限制與輸出契約由 TrustForge pipeline 管理。</w:t>
      </w:r>
    </w:p>
    <w:p>
      <w:pPr>
        <w:pStyle w:val="ListBullet"/>
        <w:spacing w:after="80"/>
      </w:pPr>
      <w:r>
        <w:t>任一模型呼叫失敗時，以可說明的離線結果降級，不以假資料冒充成功。</w:t>
      </w:r>
    </w:p>
    <w:p>
      <w:pPr>
        <w:pStyle w:val="ListBullet"/>
        <w:spacing w:after="80"/>
      </w:pPr>
      <w:r>
        <w:t>競賽執行環境只使用主辦允許的 AWS 服務與基礎模型。</w:t>
      </w:r>
    </w:p>
    <w:p>
      <w:pPr>
        <w:pStyle w:val="Heading2"/>
      </w:pPr>
      <w:r>
        <w:t>現況揭露</w:t>
      </w:r>
    </w:p>
    <w:p>
      <w:r>
        <w:t>HOYA BIT 特定即時 API 只有在現場取得正式契約並完成連線驗證後才宣稱已串接；Three-track learning 與 AGOS 已有設計／實作痕跡，但未啟用的能力不列為正式 Demo 成果。歷史訓練 JSONL 為 2,005 筆，並非持續線上學習。</w:t>
      </w:r>
    </w:p>
    <w:p>
      <w:pPr>
        <w:sectPr>
          <w:pgSz w:w="12240" w:h="15840"/>
          <w:pgMar w:top="1037" w:right="1181" w:bottom="979" w:left="1181" w:header="720" w:footer="720" w:gutter="0"/>
          <w:cols w:space="720"/>
          <w:docGrid w:linePitch="360"/>
        </w:sectPr>
      </w:pPr>
    </w:p>
    <w:p>
      <w:pPr>
        <w:pStyle w:val="Heading1"/>
      </w:pPr>
      <w:r>
        <w:t>四、Live Demo 與競賽交付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728"/>
            <w:shd w:fill="3157C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4032"/>
            <w:shd w:fill="3157C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4032"/>
            <w:shd w:fill="3157C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color w:val="FFFFFF"/>
                <w:sz w:val="18"/>
              </w:rPr>
              <w:t>評審可見證據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0:00–1:00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輸入題目與指定幣種，建立 run_id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任務與資料模式</w:t>
            </w:r>
          </w:p>
        </w:tc>
      </w:tr>
      <w:tr>
        <w:tc>
          <w:tcPr>
            <w:tcW w:type="dxa" w:w="1728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1:00–4:00</w:t>
            </w:r>
          </w:p>
        </w:tc>
        <w:tc>
          <w:tcPr>
            <w:tcW w:type="dxa" w:w="4032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蒐集與標準化多源資料</w:t>
            </w:r>
          </w:p>
        </w:tc>
        <w:tc>
          <w:tcPr>
            <w:tcW w:type="dxa" w:w="4032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來源、時間、查詢條件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4:00–7:00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主張抽取、TrustScore、支持／矛盾歸類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Evidence Trail</w:t>
            </w:r>
          </w:p>
        </w:tc>
      </w:tr>
      <w:tr>
        <w:tc>
          <w:tcPr>
            <w:tcW w:type="dxa" w:w="1728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7:00–10:00</w:t>
            </w:r>
          </w:p>
        </w:tc>
        <w:tc>
          <w:tcPr>
            <w:tcW w:type="dxa" w:w="4032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Bedrock 生成附 claim_id 的報告</w:t>
            </w:r>
          </w:p>
        </w:tc>
        <w:tc>
          <w:tcPr>
            <w:tcW w:type="dxa" w:w="4032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結論、信心、限制、could_flip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10:00–13:00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檢查四份輸出及引用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Report／Evidence／Log／Config</w:t>
            </w:r>
          </w:p>
        </w:tc>
      </w:tr>
      <w:tr>
        <w:tc>
          <w:tcPr>
            <w:tcW w:type="dxa" w:w="1728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13:00–15:00</w:t>
            </w:r>
          </w:p>
        </w:tc>
        <w:tc>
          <w:tcPr>
            <w:tcW w:type="dxa" w:w="4032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打包與上傳、保留緩衝</w:t>
            </w:r>
          </w:p>
        </w:tc>
        <w:tc>
          <w:tcPr>
            <w:tcW w:type="dxa" w:w="4032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檔名、hash、完成狀態</w:t>
            </w:r>
          </w:p>
        </w:tc>
      </w:tr>
    </w:tbl>
    <w:p/>
    <w:p>
      <w:pPr>
        <w:pStyle w:val="Heading2"/>
      </w:pPr>
      <w:r>
        <w:t>四份正式交付物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304"/>
            <w:shd w:fill="3157C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7488"/>
            <w:shd w:fill="3157C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① Final Report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結論／市場判斷、關鍵依據、信心、已知限制、可能推翻條件</w:t>
            </w:r>
          </w:p>
        </w:tc>
      </w:tr>
      <w:tr>
        <w:tc>
          <w:tcPr>
            <w:tcW w:type="dxa" w:w="2304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② Evidence List</w:t>
            </w:r>
          </w:p>
        </w:tc>
        <w:tc>
          <w:tcPr>
            <w:tcW w:type="dxa" w:w="7488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每筆證據含 source、fetched_at、content_reference、related_claim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③ Execution Log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run_id、階段時間、狀態、模型／成本資訊、錯誤與降級</w:t>
            </w:r>
          </w:p>
        </w:tc>
      </w:tr>
      <w:tr>
        <w:tc>
          <w:tcPr>
            <w:tcW w:type="dxa" w:w="2304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④ Source／Config</w:t>
            </w:r>
          </w:p>
        </w:tc>
        <w:tc>
          <w:tcPr>
            <w:tcW w:type="dxa" w:w="7488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可重現程式碼、設定與版本；排除所有機密憑證</w:t>
            </w:r>
          </w:p>
        </w:tc>
      </w:tr>
    </w:tbl>
    <w:p/>
    <w:p>
      <w:pPr>
        <w:sectPr>
          <w:pgSz w:w="12240" w:h="15840"/>
          <w:pgMar w:top="1037" w:right="1181" w:bottom="979" w:left="1181" w:header="720" w:footer="720" w:gutter="0"/>
          <w:cols w:space="720"/>
          <w:docGrid w:linePitch="360"/>
        </w:sectPr>
      </w:pPr>
    </w:p>
    <w:p>
      <w:pPr>
        <w:pStyle w:val="Heading1"/>
      </w:pPr>
      <w:r>
        <w:t>五、價值、差異化與成功指標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EF6FF"/>
            <w:vAlign w:val="center"/>
          </w:tcPr>
          <w:p>
            <w:pPr>
              <w:spacing w:after="160" w:before="160"/>
            </w:pPr>
            <w:r/>
            <w:r>
              <w:rPr>
                <w:rFonts w:ascii="Microsoft JhengHei" w:hAnsi="Microsoft JhengHei"/>
                <w:b/>
                <w:color w:val="3157C8"/>
                <w:sz w:val="22"/>
              </w:rPr>
              <w:t>別人給 HOYA BIT 一個答案；TrustForge 讓 HOYA BIT 知道，這個答案值不值得相信。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392"/>
            <w:shd w:fill="3157C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color w:val="FFFFFF"/>
                <w:sz w:val="18"/>
              </w:rPr>
              <w:t>一般分析 Agent</w:t>
            </w:r>
          </w:p>
        </w:tc>
        <w:tc>
          <w:tcPr>
            <w:tcW w:type="dxa" w:w="5400"/>
            <w:shd w:fill="3157C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color w:val="FFFFFF"/>
                <w:sz w:val="18"/>
              </w:rPr>
              <w:t>TrustForge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直接生成答案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先建構證據與主張關係，再生成答案</w:t>
            </w:r>
          </w:p>
        </w:tc>
      </w:tr>
      <w:tr>
        <w:tc>
          <w:tcPr>
            <w:tcW w:type="dxa" w:w="4392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重複轉載可能被視為共識</w:t>
            </w:r>
          </w:p>
        </w:tc>
        <w:tc>
          <w:tcPr>
            <w:tcW w:type="dxa" w:w="5400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計算來源獨立性與交叉佐證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只顯示信心分數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同時顯示支持、矛盾、限制與翻轉條件</w:t>
            </w:r>
          </w:p>
        </w:tc>
      </w:tr>
      <w:tr>
        <w:tc>
          <w:tcPr>
            <w:tcW w:type="dxa" w:w="4392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錯誤難追查</w:t>
            </w:r>
          </w:p>
        </w:tc>
        <w:tc>
          <w:tcPr>
            <w:tcW w:type="dxa" w:w="5400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每個 claim 可回到來源、時間與引用片段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成功只看文字流暢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成功看可回溯率、完整率、執行成功率與耗時</w:t>
            </w:r>
          </w:p>
        </w:tc>
      </w:tr>
    </w:tbl>
    <w:p/>
    <w:p>
      <w:pPr>
        <w:pStyle w:val="Heading2"/>
      </w:pPr>
      <w:r>
        <w:t>預期效益</w:t>
      </w:r>
    </w:p>
    <w:p>
      <w:pPr>
        <w:pStyle w:val="ListBullet"/>
        <w:spacing w:after="80"/>
      </w:pPr>
      <w:r>
        <w:t>降低研究者逐條查核與整理多源資料的時間。</w:t>
      </w:r>
    </w:p>
    <w:p>
      <w:pPr>
        <w:pStyle w:val="ListBullet"/>
        <w:spacing w:after="80"/>
      </w:pPr>
      <w:r>
        <w:t>讓 HOYA BIT 的 AI 服務從『會回答』升級為『可採信、可抽查、可交代』。</w:t>
      </w:r>
    </w:p>
    <w:p>
      <w:pPr>
        <w:pStyle w:val="ListBullet"/>
        <w:spacing w:after="80"/>
      </w:pPr>
      <w:r>
        <w:t>將 Trust Layer 封裝為可整合 API，延伸至研究、客服、風控與內容治理。</w:t>
      </w:r>
    </w:p>
    <w:p>
      <w:pPr>
        <w:pStyle w:val="Heading2"/>
      </w:pPr>
      <w:r>
        <w:t>建議 KPI</w:t>
      </w:r>
    </w:p>
    <w:p>
      <w:pPr>
        <w:pStyle w:val="ListBullet"/>
        <w:spacing w:after="80"/>
      </w:pPr>
      <w:r>
        <w:t>Evidence 必填欄位完整率與來源可回溯率。</w:t>
      </w:r>
    </w:p>
    <w:p>
      <w:pPr>
        <w:pStyle w:val="ListBullet"/>
        <w:spacing w:after="80"/>
      </w:pPr>
      <w:r>
        <w:t>報告 claim 與 evidence 對應率。</w:t>
      </w:r>
    </w:p>
    <w:p>
      <w:pPr>
        <w:pStyle w:val="ListBullet"/>
        <w:spacing w:after="80"/>
      </w:pPr>
      <w:r>
        <w:t>15 分鐘內完成四項輸出的成功率與 P95 時間。</w:t>
      </w:r>
    </w:p>
    <w:p>
      <w:pPr>
        <w:pStyle w:val="ListBullet"/>
        <w:spacing w:after="80"/>
      </w:pPr>
      <w:r>
        <w:t>失敗時的降級成功率、錯誤可診斷率與單次 Bedrock 成本。</w:t>
      </w:r>
    </w:p>
    <w:p>
      <w:pPr>
        <w:sectPr>
          <w:pgSz w:w="12240" w:h="15840"/>
          <w:pgMar w:top="1037" w:right="1181" w:bottom="979" w:left="1181" w:header="720" w:footer="720" w:gutter="0"/>
          <w:cols w:space="720"/>
          <w:docGrid w:linePitch="360"/>
        </w:sectPr>
      </w:pPr>
    </w:p>
    <w:p>
      <w:pPr>
        <w:pStyle w:val="Heading1"/>
      </w:pPr>
      <w:r>
        <w:t>六、提案繳交資訊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880"/>
            <w:shd w:fill="3157C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color w:val="FFFFFF"/>
                <w:sz w:val="18"/>
              </w:rPr>
              <w:t>繳交項目</w:t>
            </w:r>
          </w:p>
        </w:tc>
        <w:tc>
          <w:tcPr>
            <w:tcW w:type="dxa" w:w="6912"/>
            <w:shd w:fill="3157C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團隊基本資料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參見本文件「團隊基本資料」</w:t>
            </w:r>
          </w:p>
        </w:tc>
      </w:tr>
      <w:tr>
        <w:tc>
          <w:tcPr>
            <w:tcW w:type="dxa" w:w="2880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提案摘要</w:t>
            </w:r>
          </w:p>
        </w:tc>
        <w:tc>
          <w:tcPr>
            <w:tcW w:type="dxa" w:w="6912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參見本文件「提案摘要」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完整提案簡報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TrustForge_決賽6分鐘簡報.pptx</w:t>
            </w:r>
          </w:p>
        </w:tc>
      </w:tr>
      <w:tr>
        <w:tc>
          <w:tcPr>
            <w:tcW w:type="dxa" w:w="2880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Live Demo 部署網址</w:t>
            </w:r>
          </w:p>
        </w:tc>
        <w:tc>
          <w:tcPr>
            <w:tcW w:type="dxa" w:w="6912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https://trustforge.hurricanesoft.com.tw/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Live Demo 錄製影片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尚待提供正式影片連結</w:t>
            </w:r>
          </w:p>
        </w:tc>
      </w:tr>
      <w:tr>
        <w:tc>
          <w:tcPr>
            <w:tcW w:type="dxa" w:w="2880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GitHub（完整原始碼）</w:t>
            </w:r>
          </w:p>
        </w:tc>
        <w:tc>
          <w:tcPr>
            <w:tcW w:type="dxa" w:w="6912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https://github.com/cancleeric/trustforge</w:t>
            </w:r>
          </w:p>
        </w:tc>
      </w:tr>
    </w:tbl>
    <w:p/>
    <w:p>
      <w:pPr>
        <w:pStyle w:val="Heading2"/>
      </w:pPr>
      <w:r>
        <w:t>提交前資安與完整性檢查</w:t>
      </w:r>
    </w:p>
    <w:p>
      <w:pPr>
        <w:pStyle w:val="ListBullet"/>
        <w:spacing w:after="80"/>
      </w:pPr>
      <w:r>
        <w:t>不得提交 AWS Access Key、API Token、資料庫密碼、Workshop Access Code 或任何私密連結。</w:t>
      </w:r>
    </w:p>
    <w:p>
      <w:pPr>
        <w:pStyle w:val="ListBullet"/>
        <w:spacing w:after="80"/>
      </w:pPr>
      <w:r>
        <w:t>機密一律由環境變數、IAM Instance Role 或 SSM 管理；提交前執行 secret scan。</w:t>
      </w:r>
    </w:p>
    <w:p>
      <w:pPr>
        <w:pStyle w:val="ListBullet"/>
        <w:spacing w:after="80"/>
      </w:pPr>
      <w:r>
        <w:t>保留專案根目錄 .kiro 與其 specs、hooks、steering；不得整包加入 .gitignore。</w:t>
      </w:r>
    </w:p>
    <w:p>
      <w:pPr>
        <w:pStyle w:val="ListBullet"/>
        <w:spacing w:after="80"/>
      </w:pPr>
      <w:r>
        <w:t>確認 README 含環境設定、執行範例、benchmark 重現及資料／模型／索引版本。</w:t>
      </w:r>
    </w:p>
    <w:p>
      <w:pPr>
        <w:pStyle w:val="ListBullet"/>
        <w:spacing w:after="80"/>
      </w:pPr>
      <w:r>
        <w:t>確認依賴鎖定檔、架構與資料流程文件、Demo 網址、影片網址及 Repo 權限。</w:t>
      </w:r>
    </w:p>
    <w:p>
      <w:pPr>
        <w:pStyle w:val="Heading2"/>
      </w:pPr>
      <w:r>
        <w:t>風險與應變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096"/>
            <w:shd w:fill="3157C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color w:val="FFFFFF"/>
                <w:sz w:val="18"/>
              </w:rPr>
              <w:t>風險</w:t>
            </w:r>
          </w:p>
        </w:tc>
        <w:tc>
          <w:tcPr>
            <w:tcW w:type="dxa" w:w="6696"/>
            <w:shd w:fill="3157C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/>
                <w:color w:val="FFFFFF"/>
                <w:sz w:val="18"/>
              </w:rPr>
              <w:t>應變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Bedrock 延遲或權限問題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先做連線煙霧測試；提供離線降級並在 Log 明示</w:t>
            </w:r>
          </w:p>
        </w:tc>
      </w:tr>
      <w:tr>
        <w:tc>
          <w:tcPr>
            <w:tcW w:type="dxa" w:w="3096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外部資料源失效</w:t>
            </w:r>
          </w:p>
        </w:tc>
        <w:tc>
          <w:tcPr>
            <w:tcW w:type="dxa" w:w="6696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使用有時間戳的快取／fixture，標示 data mode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15 分鐘逾時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設定分階段時間預算，13 分鐘開始打包</w:t>
            </w:r>
          </w:p>
        </w:tc>
      </w:tr>
      <w:tr>
        <w:tc>
          <w:tcPr>
            <w:tcW w:type="dxa" w:w="3096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引用不可回溯</w:t>
            </w:r>
          </w:p>
        </w:tc>
        <w:tc>
          <w:tcPr>
            <w:tcW w:type="dxa" w:w="6696"/>
            <w:shd w:fill="F6F8FC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/>
                <w:b w:val="0"/>
                <w:color w:val="172033"/>
                <w:sz w:val="18"/>
              </w:rPr>
              <w:t>提交前抽查 URL、引用片段與 claim_id</w:t>
            </w:r>
          </w:p>
        </w:tc>
      </w:tr>
    </w:tbl>
    <w:p/>
    <w:sectPr w:rsidR="00FC693F" w:rsidRPr="0006063C" w:rsidSect="00034616"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D"/>
        <w:sz w:val="16"/>
      </w:rPr>
      <w:t>2026 雲湧智生生成式 AI 黑客松｜智慧交易・HOYA BIT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3157C8"/>
        <w:sz w:val="16"/>
      </w:rPr>
      <w:t>TRUSTFORGE  /  TEAM 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3157C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12A8C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/>
      <w:b/>
      <w:bCs/>
      <w:color w:val="1720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b/>
      <w:color w:val="3157C8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