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 w:eastAsia="Microsoft JhengHei"/>
          <w:b/>
          <w:i w:val="0"/>
          <w:color w:val="5B6573"/>
          <w:sz w:val="24"/>
        </w:rPr>
        <w:t>HURRICANESOFT 颶風軟體</w:t>
      </w:r>
    </w:p>
    <w:p>
      <w:pPr>
        <w:spacing w:after="80"/>
        <w:jc w:val="center"/>
      </w:pPr>
      <w:r>
        <w:rPr>
          <w:rFonts w:ascii="Calibri" w:hAnsi="Calibri" w:eastAsia="Microsoft JhengHei"/>
          <w:b/>
          <w:i w:val="0"/>
          <w:color w:val="0B2545"/>
          <w:sz w:val="56"/>
        </w:rPr>
        <w:t>TrustForge Hermes</w:t>
      </w:r>
    </w:p>
    <w:p>
      <w:pPr>
        <w:spacing w:after="160"/>
        <w:jc w:val="center"/>
      </w:pPr>
      <w:r>
        <w:rPr>
          <w:rFonts w:ascii="Calibri" w:hAnsi="Calibri" w:eastAsia="Microsoft JhengHei"/>
          <w:b w:val="0"/>
          <w:i w:val="0"/>
          <w:color w:val="5B6573"/>
          <w:sz w:val="30"/>
        </w:rPr>
        <w:t>Evidence-native Decision Intelligence Agent</w:t>
      </w:r>
    </w:p>
    <w:p>
      <w:pPr>
        <w:spacing w:after="440"/>
        <w:jc w:val="center"/>
      </w:pPr>
      <w:r>
        <w:rPr>
          <w:rFonts w:ascii="Calibri" w:hAnsi="Calibri" w:eastAsia="Microsoft JhengHei"/>
          <w:b/>
          <w:i w:val="0"/>
          <w:color w:val="5B6573"/>
          <w:sz w:val="22"/>
        </w:rPr>
        <w:t>商業化產品提案報告｜加密市場資訊的可治理信任層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文件資訊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內容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文件資訊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內容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產品團隊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中再參與｜HurricaneSoft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提案角色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商業化產品與技術方案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命題場域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智慧交易／金融資訊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版本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2026-08-01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文件用途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完整書面提案；非 6 分鐘上台講稿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讀者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金融企業、產品、工程與治理團隊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8FB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0B5261"/>
                <w:sz w:val="22"/>
              </w:rPr>
              <w:t xml:space="preserve">核心主張  </w:t>
            </w:r>
            <w:r>
              <w:rPr>
                <w:rFonts w:ascii="Calibri" w:hAnsi="Calibri" w:eastAsia="Microsoft JhengHei"/>
                <w:b w:val="0"/>
                <w:i w:val="0"/>
                <w:color w:val="0B5261"/>
                <w:sz w:val="22"/>
              </w:rPr>
              <w:t>TrustForge 不把 AI 當成會回答問題的黑箱，而是把多源資料、確定性信任推理、模型協作、治理與稽核串成可部署、可觀測、可回復的 AI Agent 產品。</w:t>
            </w:r>
          </w:p>
        </w:tc>
      </w:tr>
    </w:tbl>
    <w:p>
      <w:pPr>
        <w:spacing w:after="40"/>
      </w:pPr>
    </w:p>
    <w:p>
      <w:r>
        <w:br w:type="page"/>
      </w:r>
    </w:p>
    <w:p>
      <w:pPr/>
      <w:r>
        <w:t>一般 RAG 找得到資料，但通常不先評估來源可信度；一般 Crypto AI 能給答案，但難以追溯；BI Dashboard 有數字卻沒有推理鏈；人工研究可信但慢且難重現。TrustForge 的差異是先建立 Claim → Evidence → Trust → Report 的可治理鏈。</w:t>
      </w:r>
    </w:p>
    <w:p>
      <w:pPr>
        <w:pStyle w:val="Heading2"/>
      </w:pPr>
      <w:r>
        <w:t>競品與替代方案</w:t>
      </w:r>
    </w:p>
    <w:p>
      <w:pPr/>
      <w:r>
        <w:t>商業風險邊界：不提供投資建議、不承諾價格預測；live、cache、fixture 明確標示；第三方 API 依授權使用；Evidence、Log 與 artifact 不輸出秘密。</w:t>
      </w:r>
    </w:p>
    <w:p>
      <w:pPr/>
      <w:r>
        <w:t>KPI：查核時間下降、Evidence 可溯源率、報告完成時間、人工改稿率、失敗後恢復時間與每次 run 成本。收費採 API usage、seat 與 enterprise integration 的組合，實際價格於 PoC 後依資料量與部署模式報價。</w:t>
      </w:r>
    </w:p>
    <w:p>
      <w:pPr/>
      <w:r>
        <w:t>導入方案：第一階段以 4 週 PoC 接入 5 幣與 4 類外部來源，交付 Evidence Trail 與人工抽查報告；第二階段以 8–12 週 Pilot 接入研究流程與角色權限；第三階段再進入 3–6 個月 Production，導入 SLA、audit、budget、tenant 與 dashboard。</w:t>
      </w:r>
    </w:p>
    <w:p>
      <w:pPr/>
      <w:r>
        <w:t>目標客戶：交易所、券商研究部、虛擬資產資訊平台，以及需要可稽核市場資料的風控與合規團隊。第一個產品切入點是 HOYA BIT 市場資訊頁的 Trust Layer 外掛。</w:t>
      </w:r>
    </w:p>
    <w:p>
      <w:pPr>
        <w:pStyle w:val="Heading1"/>
      </w:pPr>
      <w:r>
        <w:t>Executive Summary｜商業化摘要</w:t>
      </w:r>
    </w:p>
    <w:p>
      <w:pPr>
        <w:pStyle w:val="Heading1"/>
      </w:pPr>
      <w:r>
        <w:t>摘要與產品定位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TrustForge Hermes 是面向金融資訊與高風險研究場景的 evidence-native decision intelligence agent。產品將行情、新聞、社群、監管、鏈上與企業資料導入同一個 evidence contract，先將內容拆解為可驗證 Claims，再透過 deterministic trust reasoning 計算來源信譽、獨立佐證、時效衰減、重複與異常訊號，最後才讓 Amazon Bedrock 將受控的 TrustedBrief 組織為可讀報告。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產品交付的不是單一分數或一句預測，而是可回溯的 decision record：結論、信心、限制、反方證據、來源、時間戳、模型版本、執行紀錄與產物雜湊都能被重播與抽查。這使 TrustForge 能從競賽原型升級為可嵌入研究、風控、客服、合規與營運流程的 Trust Layer。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7A5A00"/>
                <w:sz w:val="22"/>
              </w:rPr>
              <w:t xml:space="preserve">產品邊界  </w:t>
            </w:r>
            <w:r>
              <w:rPr>
                <w:rFonts w:ascii="Calibri" w:hAnsi="Calibri" w:eastAsia="Microsoft JhengHei"/>
                <w:b w:val="0"/>
                <w:i w:val="0"/>
                <w:color w:val="7A5A00"/>
                <w:sz w:val="22"/>
              </w:rPr>
              <w:t>TrustForge 衡量資訊的可信度、完整度與可稽核性，不把輸出包裝成投資建議，也不把 Trust Score 宣稱為漲跌勝率。</w:t>
            </w:r>
          </w:p>
        </w:tc>
      </w:tr>
    </w:tbl>
    <w:p>
      <w:pPr>
        <w:spacing w:after="40"/>
      </w:pPr>
    </w:p>
    <w:p>
      <w:pPr>
        <w:pStyle w:val="Heading2"/>
      </w:pPr>
      <w:r>
        <w:t>商業化價值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降低研究人員逐條核對來源與重複轉載的時間成本。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讓風控與合規團隊能抽查 claim-to-source、模型版本與批准紀錄。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以 API、artifact 與 telemetry 接入既有交易、客服、研究與稽核系統。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以可替換 provider、memory、policy、calibrator 與 backend 降低單一模型或單一雲服務的鎖定風險。</w:t>
      </w:r>
    </w:p>
    <w:p>
      <w:pPr>
        <w:pStyle w:val="Heading1"/>
      </w:pPr>
      <w:r>
        <w:t>一、問題定義與企業場景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加密市場的資料量不是唯一問題，真正的風險是資料的權重、時效與關聯不透明。鏈上事實、價格資料、監管公告、新聞敘事與匿名社群不應被視為同等證據；同一篇內容被多站轉載也不能被誤算成多個獨立來源。傳統 RAG 或摘要器可以快速生成流暢文字，卻不一定能回答「這個主張來自哪裡、何時取得、是否被獨立來源支持、什麼情況會推翻它」。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200"/>
        <w:gridCol w:w="2860"/>
      </w:tblGrid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企業問題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產品回應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可驗證產物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研究效率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以 ingestion、claim extraction、deduplication 與 evidence grouping 整理多源訊號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Analysis Journey、Final Report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風險溝通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並列支持與反方證據，揭露 uncertainty、limits 與 could-flip 條件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Evidence List、Trust breakdown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治理與稽核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以 run_id、Execution Log、model version 與 manifest 串接決策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Execution Log、SHA-256 manifest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持續改善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以 learning event 與延遲 outcome 建立校準候選，通過 gate 後才進入審核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Training contract、candidate、approval receipt</w:t>
            </w:r>
          </w:p>
        </w:tc>
      </w:tr>
    </w:tbl>
    <w:p>
      <w:pPr>
        <w:spacing w:after="40"/>
      </w:pPr>
    </w:p>
    <w:p>
      <w:pPr>
        <w:pStyle w:val="Heading1"/>
      </w:pPr>
      <w:r>
        <w:t>二、產品總體架構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TrustForge 由資料平面、推理平面、控制平面與產品介面組成。每個平面都有明確責任與可替換邊界，避免將所有決策責任集中在單一 LLM prompt。</w:t>
      </w:r>
    </w:p>
    <w:p>
      <w:pPr>
        <w:pStyle w:val="Heading2"/>
      </w:pPr>
      <w:r>
        <w:t>2.1 三層執行管線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層級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責任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核心模組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Ingestion Layer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接收、清理、標準化與標記外部資料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prices、HOYA BIT、news、social、regulatory、on-chain、whale trades、CoinGecko、CMC、DefiLlama、Etherscan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Reasoning Layer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主張抽取、立場分類、去重、交叉佐證、信任分數與 uncertainty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pipeline、Trust Kernel、corroboration、evidence grouper、freshness、direction resolution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Agent / Delivery Layer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受界限的工具調度、報告組裝、產物交付與 API 回應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Hermes orchestrator、Bedrock、report delivery、Final Report、Evidence List、Execution Log、Snapshot</w:t>
            </w:r>
          </w:p>
        </w:tc>
      </w:tr>
    </w:tbl>
    <w:p>
      <w:pPr>
        <w:spacing w:after="40"/>
      </w:pPr>
    </w:p>
    <w:p>
      <w:pPr>
        <w:pStyle w:val="Heading2"/>
      </w:pPr>
      <w:r>
        <w:t>2.2 前後端產品面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Frontend 以 React/Vite 與 Hermes Workspace 呈現產品能力；Backend 以 Python API、analysis flow 與 formal run runtime 執行任務。兩者透過結構化 API 與同一個 run_id 連接。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產品面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主要能力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Research Workspace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Analyze、Compare、History、Source Status、Whale Activity、Evidence Trail、信心與證據分解、facts/inferences ladder、反方證據與 report download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Operations Console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Training Status、Upgrade Queue、Module Telemetry、Budget、Carbon、Health、成本與執行狀態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Governance Console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Admin、AGOS、policy、memory、prompt version、approval、rollback、audit record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Integration Surface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API response、snapshot、artifact、manifest、Final Report、Evidence List、Execution Log、Source/Config</w:t>
            </w:r>
          </w:p>
        </w:tc>
      </w:tr>
    </w:tbl>
    <w:p>
      <w:pPr>
        <w:spacing w:after="40"/>
      </w:pPr>
    </w:p>
    <w:p>
      <w:pPr>
        <w:pStyle w:val="Heading2"/>
      </w:pPr>
      <w:r>
        <w:t>2.3 AWS 目前部署拓樸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現行公開拓樸以 EC2 t3.micro + nginx 為基礎：nginx 對外提供 HTTPS 與 frontend，Python API 收斂在 127.0.0.1:8080；Amazon Bedrock 是唯一 LLM 入口，S3 保存資料與產物，IAM Instance Role、SSM Session Manager 與 CloudWatch 支援最小權限與運維觀測。App Runner 是未採用的舊構想，不列為目前已部署能力。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元件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目前責任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治理重點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EC2 + nginx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承載 React/Vite frontend 與 Python API reverse proxy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網路邊界、TLS、127.0.0.1 API binding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Amazon Bedrock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claim extraction、stance classification、report assembly 等語言任務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只做語言工作，不直接決定 Trust Score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S3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訓練資料、模型 artifact、部署與 manifest 保存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IAM、雜湊、保留與版本化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IAM / SSM / CloudWatch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無長期 SSH key 的維運、權限與指標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最小權限、審計、健康檢查</w:t>
            </w:r>
          </w:p>
        </w:tc>
      </w:tr>
    </w:tbl>
    <w:p>
      <w:pPr>
        <w:spacing w:after="40"/>
      </w:pPr>
    </w:p>
    <w:p>
      <w:pPr>
        <w:pStyle w:val="Heading1"/>
      </w:pPr>
      <w:r>
        <w:t>三、核心功能與獨立系統</w:t>
      </w:r>
    </w:p>
    <w:p>
      <w:pPr>
        <w:pStyle w:val="Heading2"/>
      </w:pPr>
      <w:r>
        <w:t>3.1 Data Ingestion 與資料契約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Ingestion 將外部資料轉成統一的 source、fetched_at、content_reference、asset、data_mode 與 freshness 欄位，並保留失敗原因與覆蓋缺口。連接器各自獨立，單一來源故障不應讓整體分析假裝完整。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行情與企業資料：HOYA BIT 及價格 OHLCV，作為方向基準與 delayed outcome ground truth。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新聞與社群：RSS／API、X／Reddit 等，用於事件與情緒訊號，但不與官方資料等權。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鏈上與巨鯨：Etherscan、Whale Alert、Arkham、CoinMarketCap 等，辨識大額轉帳、錢包歸因與流動性背景。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監管與官方公告：保留正式發布時間與原文範圍，支援高風險事件追溯。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資料品質：cache、safe fetch、connector reliability、freshness、data integrity 與 SHA-256 manifest。</w:t>
      </w:r>
    </w:p>
    <w:p>
      <w:pPr>
        <w:pStyle w:val="Heading2"/>
      </w:pPr>
      <w:r>
        <w:t>3.2 Trust Kernel 與信任推理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Trust Kernel 是產品的 deterministic trust reasoning 核心。它在 LLM 行文之前處理可重現的規則與計算：來源先驗、交叉佐證、時效衰減、重複計數、矛盾、操縱風險、confidence 與 uncertainty。相同輸入、規則與版本應得到相同結果，便於測試、回放與稽核。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8FB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0B5261"/>
                <w:sz w:val="22"/>
              </w:rPr>
              <w:t xml:space="preserve">重要邊界  </w:t>
            </w:r>
            <w:r>
              <w:rPr>
                <w:rFonts w:ascii="Calibri" w:hAnsi="Calibri" w:eastAsia="Microsoft JhengHei"/>
                <w:b w:val="0"/>
                <w:i w:val="0"/>
                <w:color w:val="0B5261"/>
                <w:sz w:val="22"/>
              </w:rPr>
              <w:t>Trust Kernel 的分數是資訊信任與完整度訊號，不是交易勝率；Bedrock 不被授權單獨產生市場方向。</w:t>
            </w:r>
          </w:p>
        </w:tc>
      </w:tr>
    </w:tbl>
    <w:p>
      <w:pPr>
        <w:spacing w:after="40"/>
      </w:pPr>
    </w:p>
    <w:p>
      <w:pPr>
        <w:pStyle w:val="Heading2"/>
      </w:pPr>
      <w:r>
        <w:t>3.3 Formal Run、計分與交付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formal_run_coordinator、budget reservation、idempotency 與 lease 防止重複執行。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analysis flow 將 claim extraction、stance、deduplication、corroboration、Trust Kernel 與 uncertainty 串成可觀測步驟。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每次 run 以 run_id 串接 Final Report、Evidence List、Execution Log、Snapshot、Source/Config 與 API response。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遇到 timeout、資料不足、權限錯誤或模型異常，系統進入 degraded、abstain 或 fail-closed，不硬湊答案。</w:t>
      </w:r>
    </w:p>
    <w:p>
      <w:pPr>
        <w:pStyle w:val="Heading2"/>
      </w:pPr>
      <w:r>
        <w:t>3.4 Agent Runtime、Memory 與 Policy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Hermes orchestrator、AgentCore adapter/runtime、tool registry、memory OS 與 policy compiler/executor 共同形成受界限的 Agent Runtime。Memory plane 保存 run、artifact、evidence、learning event 與 replay history；policy plane 記錄 source、analysis、report、evaluation 與 improvement 的實際消費者與允許行為。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AgentCore 在產品中是可替換的執行整合層，而不是把所有 TrustForge domain logic 外包給第三方。工具呼叫、預算、權限、錯誤與狀態仍由 TrustForge 的 contract、guards 與 audit 控制。</w:t>
      </w:r>
    </w:p>
    <w:p>
      <w:pPr>
        <w:pStyle w:val="Heading2"/>
      </w:pPr>
      <w:r>
        <w:t>3.5 Upgrade Control 與自動升級治理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Improvement、upgrade control、canary、activation lock、deployment evidence 與 rollback record 形成升級控制平面。自主循環可以 refresh_sources、measure_quality、replay_history、diagnose_improvement 並提出 candidate，但 candidate 必須通過 benchmark、安全、成本、相容性與人工批准，才可進入 activation。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狀態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系統行為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不可省略的證據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Candidate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建立新模型、規則或模組候選，不影響 production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metrics、artifact hash、training contract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Review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進行 quality、security、cost、compatibility 與 adversarial review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reviewer attestation、decision record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Activate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經人工批准後才切換，保留 canary 與 activation lock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approval、deployment evidence、receipt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Rollback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發現異常時回到已知穩定版本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rollback decision record、health check、audit trail</w:t>
            </w:r>
          </w:p>
        </w:tc>
      </w:tr>
    </w:tbl>
    <w:p>
      <w:pPr>
        <w:spacing w:after="40"/>
      </w:pPr>
    </w:p>
    <w:p>
      <w:pPr>
        <w:pStyle w:val="Heading2"/>
      </w:pPr>
      <w:r>
        <w:t>3.6 可觀測性、成本與碳管理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Module Telemetry：記錄模組執行次數、耗時、成功率、錯誤與版本。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Budget Guard：限制 token、Bedrock 呼叫、Agent 次數與每日 USD 使用量，超限時停止或降級。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Carbon：記錄 input/output token 與推理消耗，透過 Trust Kernel 本地計算、快取與必要時才呼叫 LLM，降低不必要算力。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Audit：以 hermes audit、execution events、artifact registry 與 authenticated ledger 支援追責與重播。</w:t>
      </w:r>
    </w:p>
    <w:p>
      <w:pPr>
        <w:pStyle w:val="Heading1"/>
      </w:pPr>
      <w:r>
        <w:t>四、模型策略：Bedrock、校準模型與訓練閉環</w:t>
      </w:r>
    </w:p>
    <w:p>
      <w:pPr>
        <w:pStyle w:val="Heading2"/>
      </w:pPr>
      <w:r>
        <w:t>4.1 為什麼不只使用現成生成模型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Bedrock foundation model 擅長語言理解、資訊抽取與報告組裝，但它不應直接承擔企業對信任分數、校準、資料權重與升級批准的責任。生成模型的輸出具有機率性，且會受到 prompt、上下文與資料品質影響；金融資訊產品需要的是在固定資料、規則與版本下可重現、可比較、可稽核的信任訊號。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以本地 deterministic feature 與校準器保留可測試性，避免把治理責任藏在 prompt。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以自身資料與 delayed outcome 了解本產品的 confidence 是否過度自信，而不是只看通用模型 benchmark。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以 ModelHub governance 與 SageMaker execution backend 保持模型版本、artifact、指標與批准流程。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生成式 foundation model 仍只使用 Amazon Bedrock；自行訓練的是 TrustForge 的 task-specific calibrator，不是繞過競賽規則另訓第三方 foundation model。</w:t>
      </w:r>
    </w:p>
    <w:p>
      <w:pPr>
        <w:pStyle w:val="Heading2"/>
      </w:pPr>
      <w:r>
        <w:t>4.2 Learning Event 與延遲標籤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每次資料抓取、分析、評分與報告完成後，系統會沉澱 learning event：包含來源、Claims、Trust Score、raw confidence、模型版本、run_id、Execution Log 與後續可對照的決策狀態。這是建立訓練資料的第一步，不代表當下立即重訓。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市場結果必須等待 outcome 成熟：T+1、T+7、T+14 分別代表分析時間點後第 1、7、14 天的實際結果。延遲標籤可以用來檢查信心是否合理、是否過度自信與校準是否需要修正，並避免把未來資訊洩漏回訓練資料。</w:t>
      </w:r>
    </w:p>
    <w:p>
      <w:pPr>
        <w:pStyle w:val="Heading2"/>
      </w:pPr>
      <w:r>
        <w:t>4.3 訓練流程與 backend 邊界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Run 完成後寫入 learning event 與 immutable evidence／execution metadata。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T+1/T+7/T+14 outcome label 成熟後，建立 training row，執行資料契約、版本與 label leakage 檢查。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以 Isotonic Regression 等校準方法產生 candidate，評估 ECE、Brier、holdout 與資料覆蓋範圍。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由 SageMaker backend 執行 AWS 訓練任務，S3 保存輸入與 artifact；ModelHub 登記版本、指標、來源與狀態。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candidate 進入 review、canary、人工批准與 activation；不合格則退回或淘汰，production 版本不自動被取代。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7A5A00"/>
                <w:sz w:val="22"/>
              </w:rPr>
              <w:t xml:space="preserve">實作現況  </w:t>
            </w:r>
            <w:r>
              <w:rPr>
                <w:rFonts w:ascii="Calibri" w:hAnsi="Calibri" w:eastAsia="Microsoft JhengHei"/>
                <w:b w:val="0"/>
                <w:i w:val="0"/>
                <w:color w:val="7A5A00"/>
                <w:sz w:val="22"/>
              </w:rPr>
              <w:t>目前 training trigger 是顯式 CLI／受控流程；程式與報告尚未宣稱存在無人值守 scheduler、每次 run 立即自動重訓或自動 activation。自動排程是後續 enhancement，人工否決權永久保留。</w:t>
            </w:r>
          </w:p>
        </w:tc>
      </w:tr>
    </w:tbl>
    <w:p>
      <w:pPr>
        <w:spacing w:after="40"/>
      </w:pPr>
    </w:p>
    <w:p>
      <w:pPr>
        <w:pStyle w:val="Heading2"/>
      </w:pPr>
      <w:r>
        <w:t>4.4 ModelHub 與 SageMaker 的責任分工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400"/>
        <w:gridCol w:w="5060"/>
      </w:tblGrid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元件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角色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保存／執行內容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ModelHub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Governance surface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model version、training request、metrics、artifact provenance、candidate status、approval lifecycle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SageMaker AI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Training execution backend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從 S3 讀取資料、建立 Training Job、產生模型 artifact、回傳訓練指標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S3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Artifact storage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training dataset、calibrator artifact、manifest、版本與完整性雜湊</w:t>
            </w:r>
          </w:p>
        </w:tc>
      </w:tr>
    </w:tbl>
    <w:p>
      <w:pPr>
        <w:spacing w:after="40"/>
      </w:pPr>
    </w:p>
    <w:p>
      <w:pPr>
        <w:pStyle w:val="Heading1"/>
      </w:pPr>
      <w:r>
        <w:t>五、資料與證據治理</w:t>
      </w:r>
    </w:p>
    <w:p>
      <w:pPr>
        <w:pStyle w:val="Heading2"/>
      </w:pPr>
      <w:r>
        <w:t>5.1 六類資料來源與用途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資料類型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範例來源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信號用途與治理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價格／OHLCV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HOYA BIT、prices、CoinGecko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趨勢基準、T+ outcome、時間與覆蓋範圍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新聞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RSS／API、news connector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事件主張、發布時間、原文回溯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社群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X／Reddit、social connector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情緒與異常訊號；權重低於官方資料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鏈上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Etherscan、Solscan、on-chain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交易明細、合約互動、巨鯨動態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監管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官方公告、Taiwan regulatory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政策與合規風險，保留正式來源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市場基本面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CMC、CoinGecko、DefiLlama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市值、流動性、排名與協議背景</w:t>
            </w:r>
          </w:p>
        </w:tc>
      </w:tr>
    </w:tbl>
    <w:p>
      <w:pPr>
        <w:spacing w:after="40"/>
      </w:pPr>
    </w:p>
    <w:p>
      <w:pPr>
        <w:pStyle w:val="Heading2"/>
      </w:pPr>
      <w:r>
        <w:t>5.2 Evidence Contract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每個 Claim 都應能連回 source、fetched_at、content_reference、asset、data_mode 與 related_claim。Evidence List 不只是網址清單，而是把結論與原始證據、時間、來源家族、相互關係與限制綁定在一起。對矛盾訊號，系統保留支持與反方兩邊，不用簡單多數決掩蓋少數證據。</w:t>
      </w:r>
    </w:p>
    <w:p>
      <w:pPr>
        <w:pStyle w:val="Heading2"/>
      </w:pPr>
      <w:r>
        <w:t>5.3 四項可交付物與企業交付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交付物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內容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企業用途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Final Report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結論、Trust Score、confidence、limits、could-flip、反方證據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研究決策與管理層閱讀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Evidence List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claim_id、來源、網址、時間、引用片段與關聯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風控、客服與合規抽查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Execution Log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工具、步驟、時間、成本、錯誤與狀態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重播、事故調查與責任追溯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Source / Config + Snapshot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程式、配置、資料／模型版本、manifest 與快照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可重現執行與部署驗證</w:t>
            </w:r>
          </w:p>
        </w:tc>
      </w:tr>
    </w:tbl>
    <w:p>
      <w:pPr>
        <w:spacing w:after="40"/>
      </w:pPr>
    </w:p>
    <w:p>
      <w:pPr>
        <w:pStyle w:val="Heading1"/>
      </w:pPr>
      <w:r>
        <w:t>六、安全、治理與營運控制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秘密管理：API key、AWS credentials、資料庫密碼不進 GitHub；使用環境變數、IAM Instance Role、SSM 與 secret boundary。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權限控制：tool registry 與 policy guards 限定工具、資料來源、模型與管理操作的 scope。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Fail-closed：權限錯誤、資料不足、模型異常或預算超限時停止高風險輸出，改以 degraded 或 abstain 說明限制。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版本與稽核：每次分析與升級有 run_id、model version、artifact hash、approval receipt、deployment evidence 與 rollback record。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安全審查：升級 candidate 需通過 adversarial review、dependency／secret 檢查與 production gate；不以自動化速度取代人類批准。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8FB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0B5261"/>
                <w:sz w:val="22"/>
              </w:rPr>
              <w:t xml:space="preserve">治理定位  </w:t>
            </w:r>
            <w:r>
              <w:rPr>
                <w:rFonts w:ascii="Calibri" w:hAnsi="Calibri" w:eastAsia="Microsoft JhengHei"/>
                <w:b w:val="0"/>
                <w:i w:val="0"/>
                <w:color w:val="0B5261"/>
                <w:sz w:val="22"/>
              </w:rPr>
              <w:t>TrustForge 的設計精神與 ISO/IEC 42001 的風險、可追溯性、人工監督與持續監控方向一致；本提案不宣稱已取得 ISO 42001 認證或符合性證書。</w:t>
            </w:r>
          </w:p>
        </w:tc>
      </w:tr>
    </w:tbl>
    <w:p>
      <w:pPr>
        <w:spacing w:after="40"/>
      </w:pPr>
    </w:p>
    <w:p>
      <w:pPr>
        <w:pStyle w:val="Heading1"/>
      </w:pPr>
      <w:r>
        <w:t>七、商業化產品路線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700"/>
        <w:gridCol w:w="2560"/>
      </w:tblGrid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階段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產品化目標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衡量方式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Phase 1：Research Trust Layer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把研究／市場資訊頁接入 Trust Layer API，提供 report、evidence、execution 與 snapshot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可溯源率、來源覆蓋、分析完成時間、人工核對節省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Phase 2：Governed Decision Services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提供白標 API、比較快照、peer metrics、asset context 與審核工作流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API adoption、review turnaround、錯誤與回滾時間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Phase 3：Continuous Calibration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以成熟 outcome label 驅動校準 candidate、ModelHub／SageMaker 與 canary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ECE／Brier、candidate 通過率、人工批准與 rollback 指標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Phase 4：Enterprise Control Plane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整合 IAM、audit、budget、carbon、telemetry 與多租戶 policy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成本可預測性、合規抽查成功率、服務可用性</w:t>
            </w:r>
          </w:p>
        </w:tc>
      </w:tr>
    </w:tbl>
    <w:p>
      <w:pPr>
        <w:spacing w:after="40"/>
      </w:pPr>
    </w:p>
    <w:p>
      <w:pPr>
        <w:pStyle w:val="Heading2"/>
      </w:pPr>
      <w:r>
        <w:t>產品護城河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Evidence contract 與 claim-to-source lineage，而不是單一 prompt。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可測試的 Trust Kernel 與可替換模型／資料／儲存 backend。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Bounded autonomous agent：能量測、診斷、提案，但不能越過人類批准。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Calibration、replay、artifact provenance 與 rollback 形成持續改善閉環。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同一組產物同時服務前端使用者、工程團隊、金融風控與稽核人員。</w:t>
      </w:r>
    </w:p>
    <w:p>
      <w:pPr>
        <w:pStyle w:val="Heading1"/>
      </w:pPr>
      <w:r>
        <w:t>八、驗收與限制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本產品以可驗證的工程契約作為驗收基礎，而非只以畫面是否能產生文字判斷成功。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驗收面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最低驗收條件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資料真實性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每個來源標示 data_mode、取得時間、覆蓋範圍；fixture、cache、live 不混淆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推理可重現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固定輸入、規則與版本可得到一致 Trust／Evidence 結果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交付完整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Final Report、Evidence List、Execution Log、Source/Config 與 manifest 可由同一 run_id 串接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訓練治理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training row 有成熟 outcome label；candidate 有 metrics、artifact hash 與人工批准狀態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失敗安全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逾時、資料不足、權限錯誤與模型異常會 degraded、abstain 或 fail-closed</w:t>
            </w:r>
          </w:p>
        </w:tc>
      </w:tr>
    </w:tbl>
    <w:p>
      <w:pPr>
        <w:spacing w:after="40"/>
      </w:pPr>
    </w:p>
    <w:p>
      <w:pPr>
        <w:pStyle w:val="Heading2"/>
      </w:pPr>
      <w:r>
        <w:t>誠實限制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TrustForge 不承諾市場方向預測或投資報酬。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部分 provider／AgentCore／DynamoDB backend 是可替換介面或支援路徑，不等於全部都是目前公開部署元件。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目前沒有宣稱每次 run 後立即自動訓練、無人值守 scheduler 或自動 activation。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操縱偵測與模型品質仍需以更多標籤、回放與實際營運資料持續驗證。</w:t>
      </w:r>
    </w:p>
    <w:p>
      <w:pPr>
        <w:pStyle w:val="Heading1"/>
      </w:pPr>
      <w:r>
        <w:t>結語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TrustForge Hermes 的商業價值，不是再做一個會摘要市場新聞的聊天介面，而是把企業真正需要的信任、證據、成本、權限、版本與回復能力，做成可部署的 AI Agent control plane。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8FB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0B5261"/>
                <w:sz w:val="22"/>
              </w:rPr>
              <w:t xml:space="preserve">結論  </w:t>
            </w:r>
            <w:r>
              <w:rPr>
                <w:rFonts w:ascii="Calibri" w:hAnsi="Calibri" w:eastAsia="Microsoft JhengHei"/>
                <w:b w:val="0"/>
                <w:i w:val="0"/>
                <w:color w:val="0B5261"/>
                <w:sz w:val="22"/>
              </w:rPr>
              <w:t>從會回答的 AI，走向值得託付、能被抽查、能被回復的 AI Agent。</w:t>
            </w:r>
          </w:p>
        </w:tc>
      </w:tr>
    </w:tbl>
    <w:p>
      <w:pPr>
        <w:spacing w:after="40"/>
      </w:pPr>
    </w:p>
    <w:p>
      <w:pPr>
        <w:pStyle w:val="Heading1"/>
      </w:pPr>
      <w:r>
        <w:t>附錄：關鍵術語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術語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定義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Evidence-native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從資料契約與證據鏈開始設計，每個結論都有可追溯依據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Deterministic trust reasoning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固定輸入、規則與版本下可重現的信任推理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Training backend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實際讀取訓練資料、建立訓練任務與產出 artifact 的後端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Candidate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已產生但尚未經人工批准的模型、規則或升級候選版本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Audit trail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可追溯誰在何時以何種資料與版本做了什麼決策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Fail-closed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遇到不確定或錯誤時停止高風險輸出，不用猜測填補缺口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i w:val="0"/>
        <w:color w:val="5B6573"/>
        <w:sz w:val="18"/>
      </w:rPr>
      <w:t>HurricaneSoft  |  Confidential proposal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JhengHei"/>
        <w:b w:val="0"/>
        <w:i w:val="0"/>
        <w:color w:val="5B6573"/>
        <w:sz w:val="18"/>
      </w:rPr>
      <w:t>TrustForge Hermes  |  Commercial Product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TrustForge Hermes｜完整商業化提案報告（升級版）</dc:title>
  <dc:subject>Evidence-native Decision Intelligence Agent 商業化提案</dc:subject>
  <dc:creator>HurricaneSoft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