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B894"/>
          <w:sz w:val="20"/>
        </w:rPr>
        <w:t>決賽口袋版｜每題先結論，再證據</w:t>
      </w:r>
    </w:p>
    <w:p>
      <w:pPr>
        <w:pStyle w:val="Title"/>
        <w:jc w:val="center"/>
      </w:pPr>
      <w:r>
        <w:t>TrustForge 決賽 4 分鐘備詢手冊</w:t>
      </w:r>
    </w:p>
    <w:p>
      <w:pPr>
        <w:jc w:val="center"/>
      </w:pPr>
      <w:r>
        <w:rPr>
          <w:b/>
          <w:color w:val="12A8C7"/>
          <w:sz w:val="28"/>
        </w:rPr>
        <w:t>統問統答｜短答、證據、界線</w:t>
      </w:r>
    </w:p>
    <w:p>
      <w:pPr>
        <w:jc w:val="center"/>
      </w:pPr>
      <w:r>
        <w:rPr>
          <w:sz w:val="18"/>
        </w:rPr>
        <w:t>中再參與｜HurricaneSoft｜2026-07-31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6FF"/>
            <w:vAlign w:val="center"/>
          </w:tcPr>
          <w:p>
            <w:pPr>
              <w:spacing w:after="160" w:before="160"/>
            </w:pPr>
            <w:r/>
            <w:r>
              <w:rPr>
                <w:rFonts w:ascii="Microsoft JhengHei" w:hAnsi="Microsoft JhengHei"/>
                <w:b/>
                <w:color w:val="3157C8"/>
                <w:sz w:val="22"/>
              </w:rPr>
              <w:t>答題公式：先用 10 秒講結論，再用 15 秒指出畫面／檔案證據，最後用 5 秒說限制或下一步。不要把未驗證能力講成已上線。</w:t>
            </w:r>
          </w:p>
        </w:tc>
      </w:tr>
    </w:tbl>
    <w:p/>
    <w:p>
      <w:pPr>
        <w:pStyle w:val="Heading1"/>
      </w:pPr>
      <w:r>
        <w:t>四分鐘節奏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3384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任務</w:t>
            </w:r>
          </w:p>
        </w:tc>
        <w:tc>
          <w:tcPr>
            <w:tcW w:type="dxa" w:w="4536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原則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0:00–0:20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主答者重述問題並直接回答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先結論，不重講整份簡報</w:t>
            </w:r>
          </w:p>
        </w:tc>
      </w:tr>
      <w:tr>
        <w:tc>
          <w:tcPr>
            <w:tcW w:type="dxa" w:w="187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0:20–3:30</w:t>
            </w:r>
          </w:p>
        </w:tc>
        <w:tc>
          <w:tcPr>
            <w:tcW w:type="dxa" w:w="3384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依序回答所有問題</w:t>
            </w:r>
          </w:p>
        </w:tc>
        <w:tc>
          <w:tcPr>
            <w:tcW w:type="dxa" w:w="453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每題 25–35 秒；指向實證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3:30–4:00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補充關鍵限制與價值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收斂到可回溯、可抽查</w:t>
            </w:r>
          </w:p>
        </w:tc>
      </w:tr>
    </w:tbl>
    <w:p/>
    <w:p>
      <w:pPr>
        <w:pStyle w:val="Heading2"/>
      </w:pPr>
      <w:r>
        <w:t>開場備用句</w:t>
      </w:r>
    </w:p>
    <w:p>
      <w:r>
        <w:t>謝謝評審。TrustForge 的核心不是預測漲跌，而是在生成內容前建立可稽核的信任層；以下我們會直接回答，並以 Live Demo、Evidence List 或 Execution Log 作證。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高機率題庫</w:t>
      </w:r>
    </w:p>
    <w:p>
      <w:pPr>
        <w:pStyle w:val="Heading2"/>
      </w:pPr>
      <w:r>
        <w:t>1. TrustScore 準嗎？</w:t>
      </w:r>
    </w:p>
    <w:p>
      <w:r>
        <w:rPr>
          <w:b/>
          <w:color w:val="3157C8"/>
        </w:rPr>
        <w:t>回答｜</w:t>
      </w:r>
      <w:r>
        <w:t>它衡量資訊完整度與可溯源性，不是漲跌機率。內部預測 AUC 約 0.49，因此我們不把它包裝成投資預測；評審可在 Evidence Trail 查看分項來源。</w:t>
      </w:r>
    </w:p>
    <w:p>
      <w:r>
        <w:rPr>
          <w:b/>
          <w:color w:val="21B894"/>
        </w:rPr>
        <w:t>指證｜</w:t>
      </w:r>
      <w:r>
        <w:t>Evidence Trail／限制欄</w:t>
      </w:r>
    </w:p>
    <w:p>
      <w:pPr>
        <w:pStyle w:val="Heading2"/>
      </w:pPr>
      <w:r>
        <w:t>2. 和一般 RAG 有何不同？</w:t>
      </w:r>
    </w:p>
    <w:p>
      <w:r>
        <w:rPr>
          <w:b/>
          <w:color w:val="3157C8"/>
        </w:rPr>
        <w:t>回答｜</w:t>
      </w:r>
      <w:r>
        <w:t>一般 RAG 找到文字就交給模型；TrustForge 先拆 Claim、辨識獨立來源、保留支持與矛盾，再限制 Bedrock 只能依 claim_id 敘事。</w:t>
      </w:r>
    </w:p>
    <w:p>
      <w:r>
        <w:rPr>
          <w:b/>
          <w:color w:val="21B894"/>
        </w:rPr>
        <w:t>指證｜</w:t>
      </w:r>
      <w:r>
        <w:t>claim_id → Evidence</w:t>
      </w:r>
    </w:p>
    <w:p>
      <w:pPr>
        <w:pStyle w:val="Heading2"/>
      </w:pPr>
      <w:r>
        <w:t>3. 如何避免 AI 幻覺？</w:t>
      </w:r>
    </w:p>
    <w:p>
      <w:r>
        <w:rPr>
          <w:b/>
          <w:color w:val="3157C8"/>
        </w:rPr>
        <w:t>回答｜</w:t>
      </w:r>
      <w:r>
        <w:t>我們不只靠提示詞。報告中的重要主張必須對應 Evidence contract；沒有來源就降級或標示資料不足，不以假引用補洞。</w:t>
      </w:r>
    </w:p>
    <w:p>
      <w:r>
        <w:rPr>
          <w:b/>
          <w:color w:val="21B894"/>
        </w:rPr>
        <w:t>指證｜</w:t>
      </w:r>
      <w:r>
        <w:t>source_url／引用片段</w:t>
      </w:r>
    </w:p>
    <w:p>
      <w:pPr>
        <w:pStyle w:val="Heading2"/>
      </w:pPr>
      <w:r>
        <w:t>4. 如果來源互相矛盾？</w:t>
      </w:r>
    </w:p>
    <w:p>
      <w:r>
        <w:rPr>
          <w:b/>
          <w:color w:val="3157C8"/>
        </w:rPr>
        <w:t>回答｜</w:t>
      </w:r>
      <w:r>
        <w:t>不強行平均或刪除反方。系統保留 contrarian evidence，降低信心，並列出 could_flip，讓使用者知道哪個新證據會改變判斷。</w:t>
      </w:r>
    </w:p>
    <w:p>
      <w:r>
        <w:rPr>
          <w:b/>
          <w:color w:val="21B894"/>
        </w:rPr>
        <w:t>指證｜</w:t>
      </w:r>
      <w:r>
        <w:t>支持／矛盾計數</w:t>
      </w:r>
    </w:p>
    <w:p>
      <w:pPr>
        <w:sectPr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2"/>
      </w:pPr>
      <w:r>
        <w:t>5. 為什麼一定要 AWS？</w:t>
      </w:r>
    </w:p>
    <w:p>
      <w:r>
        <w:rPr>
          <w:b/>
          <w:color w:val="3157C8"/>
        </w:rPr>
        <w:t>回答｜</w:t>
      </w:r>
      <w:r>
        <w:t>競賽合規且架構可治理：Bedrock 是唯一模型入口；EC2、DynamoDB、S3、IAM／SSM、CloudWatch 分別負責服務、狀態、交付、權限與觀測。</w:t>
      </w:r>
    </w:p>
    <w:p>
      <w:r>
        <w:rPr>
          <w:b/>
          <w:color w:val="21B894"/>
        </w:rPr>
        <w:t>指證｜</w:t>
      </w:r>
      <w:r>
        <w:t>AWS 架構頁</w:t>
      </w:r>
    </w:p>
    <w:p>
      <w:pPr>
        <w:pStyle w:val="Heading2"/>
      </w:pPr>
      <w:r>
        <w:t>6. Bedrock 失敗怎麼辦？</w:t>
      </w:r>
    </w:p>
    <w:p>
      <w:r>
        <w:rPr>
          <w:b/>
          <w:color w:val="3157C8"/>
        </w:rPr>
        <w:t>回答｜</w:t>
      </w:r>
      <w:r>
        <w:t>執行會留下錯誤與模型使用狀態，並以明確標示的離線結果降級。系統不會把 fallback 冒充真實 Bedrock 成功。</w:t>
      </w:r>
    </w:p>
    <w:p>
      <w:r>
        <w:rPr>
          <w:b/>
          <w:color w:val="21B894"/>
        </w:rPr>
        <w:t>指證｜</w:t>
      </w:r>
      <w:r>
        <w:t>Execution Log／ledger</w:t>
      </w:r>
    </w:p>
    <w:p>
      <w:pPr>
        <w:pStyle w:val="Heading2"/>
      </w:pPr>
      <w:r>
        <w:t>7. 15 分鐘怎麼保證完成？</w:t>
      </w:r>
    </w:p>
    <w:p>
      <w:r>
        <w:rPr>
          <w:b/>
          <w:color w:val="3157C8"/>
        </w:rPr>
        <w:t>回答｜</w:t>
      </w:r>
      <w:r>
        <w:t>流程有階段預算：前 10 分鐘完成分析，10–13 分鐘驗證四份輸出，13 分鐘開始打包；外部來源逾時可切換有時間戳的快取。</w:t>
      </w:r>
    </w:p>
    <w:p>
      <w:r>
        <w:rPr>
          <w:b/>
          <w:color w:val="21B894"/>
        </w:rPr>
        <w:t>指證｜</w:t>
      </w:r>
      <w:r>
        <w:t>階段時間戳</w:t>
      </w:r>
    </w:p>
    <w:p>
      <w:pPr>
        <w:pStyle w:val="Heading2"/>
      </w:pPr>
      <w:r>
        <w:t>8. 資料真的來自 HOYA BIT 嗎？</w:t>
      </w:r>
    </w:p>
    <w:p>
      <w:r>
        <w:rPr>
          <w:b/>
          <w:color w:val="3157C8"/>
        </w:rPr>
        <w:t>回答｜</w:t>
      </w:r>
      <w:r>
        <w:t>只有在取得正式 API 契約並成功連線後才會這樣宣稱；否則畫面明確顯示資料模式與來源，不以 stub 冒充企業資料。</w:t>
      </w:r>
    </w:p>
    <w:p>
      <w:r>
        <w:rPr>
          <w:b/>
          <w:color w:val="21B894"/>
        </w:rPr>
        <w:t>指證｜</w:t>
      </w:r>
      <w:r>
        <w:t>data mode／source</w:t>
      </w:r>
    </w:p>
    <w:p>
      <w:pPr>
        <w:sectPr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2"/>
      </w:pPr>
      <w:r>
        <w:t>9. 你們的創新是什麼？</w:t>
      </w:r>
    </w:p>
    <w:p>
      <w:r>
        <w:rPr>
          <w:b/>
          <w:color w:val="3157C8"/>
        </w:rPr>
        <w:t>回答｜</w:t>
      </w:r>
      <w:r>
        <w:t>不是多一個聊天框，而是把『信任』做成可計算、可追溯、可反駁的中介層，讓每一段生成內容都有證據路徑。</w:t>
      </w:r>
    </w:p>
    <w:p>
      <w:r>
        <w:rPr>
          <w:b/>
          <w:color w:val="21B894"/>
        </w:rPr>
        <w:t>指證｜</w:t>
      </w:r>
      <w:r>
        <w:t>Trust Layer 流程</w:t>
      </w:r>
    </w:p>
    <w:p>
      <w:pPr>
        <w:pStyle w:val="Heading2"/>
      </w:pPr>
      <w:r>
        <w:t>10. 商業價值在哪裡？</w:t>
      </w:r>
    </w:p>
    <w:p>
      <w:r>
        <w:rPr>
          <w:b/>
          <w:color w:val="3157C8"/>
        </w:rPr>
        <w:t>回答｜</w:t>
      </w:r>
      <w:r>
        <w:t>HOYA BIT 可把它整合到研究、客服與風控：縮短人工查核時間，也降低不可解釋內容帶來的品牌與合規風險。</w:t>
      </w:r>
    </w:p>
    <w:p>
      <w:r>
        <w:rPr>
          <w:b/>
          <w:color w:val="21B894"/>
        </w:rPr>
        <w:t>指證｜</w:t>
      </w:r>
      <w:r>
        <w:t>KPI／整合路線</w:t>
      </w:r>
    </w:p>
    <w:p>
      <w:pPr>
        <w:pStyle w:val="Heading2"/>
      </w:pPr>
      <w:r>
        <w:t>11. 系統會自我學習嗎？</w:t>
      </w:r>
    </w:p>
    <w:p>
      <w:r>
        <w:rPr>
          <w:b/>
          <w:color w:val="3157C8"/>
        </w:rPr>
        <w:t>回答｜</w:t>
      </w:r>
      <w:r>
        <w:t>歷史 JSONL 有 2,005 筆；Three-track 與 AGOS 尚未啟用的部分不列為正式成果。所有升級需經測試、審查與版本控制，不允許自行上線。</w:t>
      </w:r>
    </w:p>
    <w:p>
      <w:r>
        <w:rPr>
          <w:b/>
          <w:color w:val="21B894"/>
        </w:rPr>
        <w:t>指證｜</w:t>
      </w:r>
      <w:r>
        <w:t>版本／審查紀錄</w:t>
      </w:r>
    </w:p>
    <w:p>
      <w:pPr>
        <w:pStyle w:val="Heading2"/>
      </w:pPr>
      <w:r>
        <w:t>12. 目前最大的限制？</w:t>
      </w:r>
    </w:p>
    <w:p>
      <w:r>
        <w:rPr>
          <w:b/>
          <w:color w:val="3157C8"/>
        </w:rPr>
        <w:t>回答｜</w:t>
      </w:r>
      <w:r>
        <w:t>預測能力不是產品主張、即時外部 API 受現場契約與網路影響。優先確保四份交付可回溯、Demo 可降級、未驗證能力不誇大。</w:t>
      </w:r>
    </w:p>
    <w:p>
      <w:r>
        <w:rPr>
          <w:b/>
          <w:color w:val="21B894"/>
        </w:rPr>
        <w:t>指證｜</w:t>
      </w:r>
      <w:r>
        <w:t>limitations／could_flip</w:t>
      </w:r>
    </w:p>
    <w:p>
      <w:pPr>
        <w:sectPr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備詢作戰表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6912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處理方式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不知道確切答案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明說目前未觀測／未驗證，再說可如何用 Log 或測試確認</w:t>
            </w:r>
          </w:p>
        </w:tc>
      </w:tr>
      <w:tr>
        <w:tc>
          <w:tcPr>
            <w:tcW w:type="dxa" w:w="288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評審質疑準確率</w:t>
            </w:r>
          </w:p>
        </w:tc>
        <w:tc>
          <w:tcPr>
            <w:tcW w:type="dxa" w:w="691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重申 TrustScore 非預測分數；展示可回溯與限制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Demo 當下失敗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打開 Execution Log，說明失敗節點並展示降級輸出</w:t>
            </w:r>
          </w:p>
        </w:tc>
      </w:tr>
      <w:tr>
        <w:tc>
          <w:tcPr>
            <w:tcW w:type="dxa" w:w="288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追問資料真實性</w:t>
            </w:r>
          </w:p>
        </w:tc>
        <w:tc>
          <w:tcPr>
            <w:tcW w:type="dxa" w:w="691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直接開 Evidence List，抽查 URL、時間與引用片段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追問資安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說明無憑證入庫、IAM／SSM、secret scan 與 .kiro 保留政策</w:t>
            </w:r>
          </w:p>
        </w:tc>
      </w:tr>
    </w:tbl>
    <w:p/>
    <w:p>
      <w:pPr>
        <w:pStyle w:val="Heading1"/>
      </w:pPr>
      <w:r>
        <w:t>禁止誇大的說法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888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不要說</w:t>
            </w:r>
          </w:p>
        </w:tc>
        <w:tc>
          <w:tcPr>
            <w:tcW w:type="dxa" w:w="5904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改成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TrustScore 能預測漲跌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TrustScore 衡量完整度、可溯源性與佐證品質</w:t>
            </w:r>
          </w:p>
        </w:tc>
      </w:tr>
      <w:tr>
        <w:tc>
          <w:tcPr>
            <w:tcW w:type="dxa" w:w="388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每次都使用 Bedrock</w:t>
            </w:r>
          </w:p>
        </w:tc>
        <w:tc>
          <w:tcPr>
            <w:tcW w:type="dxa" w:w="5904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該次是否使用由 run ledger 證明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HOYA BIT API 已串好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僅在正式契約與連線驗證完成後宣稱</w:t>
            </w:r>
          </w:p>
        </w:tc>
      </w:tr>
      <w:tr>
        <w:tc>
          <w:tcPr>
            <w:tcW w:type="dxa" w:w="388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系統持續自我進化</w:t>
            </w:r>
          </w:p>
        </w:tc>
        <w:tc>
          <w:tcPr>
            <w:tcW w:type="dxa" w:w="5904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升級候選需測試、審查、核准才可啟用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所有資料都是真實即時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畫面明示 live／cache／fixture data mode</w:t>
            </w:r>
          </w:p>
        </w:tc>
      </w:tr>
    </w:tbl>
    <w:p/>
    <w:p>
      <w:pPr>
        <w:pStyle w:val="Heading1"/>
      </w:pPr>
      <w:r>
        <w:t>最後 20 秒收尾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6FF"/>
            <w:vAlign w:val="center"/>
          </w:tcPr>
          <w:p>
            <w:pPr>
              <w:spacing w:after="160" w:before="160"/>
            </w:pPr>
            <w:r/>
            <w:r>
              <w:rPr>
                <w:rFonts w:ascii="Microsoft JhengHei" w:hAnsi="Microsoft JhengHei"/>
                <w:b/>
                <w:color w:val="21B894"/>
                <w:sz w:val="22"/>
              </w:rPr>
              <w:t>TrustForge 不替使用者做投資決定；它讓使用者看得見每個結論的證據、矛盾與限制。對 HOYA BIT 而言，這是把生成式 AI 從『會回答』推進到『值得採信、可以稽核』。</w:t>
            </w:r>
          </w:p>
        </w:tc>
      </w:tr>
    </w:tbl>
    <w:p/>
    <w:sectPr w:rsidR="00FC693F" w:rsidRPr="0006063C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>2026 雲湧智生生成式 AI 黑客松｜智慧交易・HOYA BIT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3157C8"/>
        <w:sz w:val="16"/>
      </w:rPr>
      <w:t>TRUSTFORGE  /  TEAM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157C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12A8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b/>
      <w:color w:val="3157C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