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Calibri" w:hAnsi="Calibri" w:eastAsia="Microsoft JhengHei"/>
          <w:b/>
          <w:i w:val="0"/>
          <w:color w:val="5B6573"/>
          <w:sz w:val="24"/>
        </w:rPr>
        <w:t>HURRICANESOFT 颶風軟體</w:t>
      </w:r>
    </w:p>
    <w:p>
      <w:pPr>
        <w:spacing w:after="80"/>
        <w:jc w:val="center"/>
      </w:pPr>
      <w:r>
        <w:rPr>
          <w:rFonts w:ascii="Calibri" w:hAnsi="Calibri" w:eastAsia="Microsoft JhengHei"/>
          <w:b/>
          <w:i w:val="0"/>
          <w:color w:val="0B2545"/>
          <w:sz w:val="56"/>
        </w:rPr>
        <w:t>TrustForge Hermes</w:t>
      </w:r>
    </w:p>
    <w:p>
      <w:pPr>
        <w:spacing w:after="160"/>
        <w:jc w:val="center"/>
      </w:pPr>
      <w:r>
        <w:rPr>
          <w:rFonts w:ascii="Calibri" w:hAnsi="Calibri" w:eastAsia="Microsoft JhengHei"/>
          <w:b w:val="0"/>
          <w:i w:val="0"/>
          <w:color w:val="5B6573"/>
          <w:sz w:val="30"/>
        </w:rPr>
        <w:t>Evidence-native Decision Intelligence Agent</w:t>
      </w:r>
    </w:p>
    <w:p>
      <w:pPr>
        <w:spacing w:after="440"/>
        <w:jc w:val="center"/>
      </w:pPr>
      <w:r>
        <w:rPr>
          <w:rFonts w:ascii="Calibri" w:hAnsi="Calibri" w:eastAsia="Microsoft JhengHei"/>
          <w:b/>
          <w:i w:val="0"/>
          <w:color w:val="5B6573"/>
          <w:sz w:val="22"/>
        </w:rPr>
        <w:t>商業化產品提案報告｜加密市場資訊的可治理信任層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文件資訊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內容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文件資訊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產品團隊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中再參與｜HurricaneSoft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提案角色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商業化產品與技術方案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命題場域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智慧交易／金融資訊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版本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2026-08-01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文件用途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完整書面提案；非 6 分鐘上台講稿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讀者</w:t>
            </w:r>
          </w:p>
        </w:tc>
        <w:tc>
          <w:tcPr>
            <w:tcW w:type="dxa" w:w="28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金融企業、產品、工程與治理團隊</w:t>
            </w:r>
          </w:p>
        </w:tc>
      </w:tr>
    </w:tbl>
    <w:p>
      <w:pPr>
        <w:spacing w:after="4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核心主張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TrustForge 不把 AI 當成會回答問題的黑箱，而是把多源資料、確定性信任推理、模型協作、治理與稽核串成可部署、可觀測、可回復的 AI Agent 產品。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摘要與產品定位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Hermes 是面向金融資訊與高風險研究場景的 evidence-native decision intelligence agent。產品將行情、新聞、社群、監管、鏈上與企業資料導入同一個 evidence contract，先將內容拆解為可驗證 Claims，再透過 deterministic trust reasoning 計算來源信譽、獨立佐證、時效衰減、重複與異常訊號，最後才讓 Amazon Bedrock 將受控的 TrustedBrief 組織為可讀報告。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產品交付的不是單一分數或一句預測，而是可回溯的 decision record：結論、信心、限制、反方證據、來源、時間戳、模型版本、執行紀錄與產物雜湊都能被重播與抽查。這使 TrustForge 能從競賽原型升級為可嵌入研究、風控、客服、合規與營運流程的 Trust Layer。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 xml:space="preserve">產品邊界  </w:t>
            </w:r>
            <w:r>
              <w:rPr>
                <w:rFonts w:ascii="Calibri" w:hAnsi="Calibri" w:eastAsia="Microsoft JhengHei"/>
                <w:b w:val="0"/>
                <w:i w:val="0"/>
                <w:color w:val="7A5A00"/>
                <w:sz w:val="22"/>
              </w:rPr>
              <w:t>TrustForge 衡量資訊的可信度、完整度與可稽核性，不把輸出包裝成投資建議，也不把 Trust Score 宣稱為漲跌勝率。</w:t>
            </w:r>
          </w:p>
        </w:tc>
      </w:tr>
    </w:tbl>
    <w:p>
      <w:pPr>
        <w:spacing w:after="40"/>
      </w:pPr>
    </w:p>
    <w:p>
      <w:pPr>
        <w:pStyle w:val="Heading2"/>
      </w:pPr>
      <w:r>
        <w:t>商業化價值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降低研究人員逐條核對來源與重複轉載的時間成本。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讓風控與合規團隊能抽查 claim-to-source、模型版本與批准紀錄。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 API、artifact 與 telemetry 接入既有交易、客服、研究與稽核系統。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以可替換 provider、memory、policy、calibrator 與 backend 降低單一模型或單一雲服務的鎖定風險。</w:t>
      </w:r>
    </w:p>
    <w:p>
      <w:pPr>
        <w:pStyle w:val="Heading1"/>
      </w:pPr>
      <w:r>
        <w:t>一、問題定義與企業場景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加密市場的資料量不是唯一問題，真正的風險是資料的權重、時效與關聯不透明。鏈上事實、價格資料、監管公告、新聞敘事與匿名社群不應被視為同等證據；同一篇內容被多站轉載也不能被誤算成多個獨立來源。傳統 RAG 或摘要器可以快速生成流暢文字，卻不一定能回答「這個主張來自哪裡、何時取得、是否被獨立來源支持、什麼情況會推翻它」。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200"/>
        <w:gridCol w:w="2860"/>
      </w:tblGrid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企業問題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產品回應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可驗證產物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研究效率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 ingestion、claim extraction、deduplication 與 evidence grouping 整理多源訊號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Analysis Journey、Final Report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風險溝通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並列支持與反方證據，揭露 uncertainty、limits 與 could-flip 條件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Evidence List、Trust breakdown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治理與稽核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 run_id、Execution Log、model version 與 manifest 串接決策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Execution Log、SHA-256 manifest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持續改善</w:t>
            </w:r>
          </w:p>
        </w:tc>
        <w:tc>
          <w:tcPr>
            <w:tcW w:type="dxa" w:w="4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 learning event 與延遲 outcome 建立校準候選，通過 gate 後才進入審核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contract、candidate、approval receipt</w:t>
            </w:r>
          </w:p>
        </w:tc>
      </w:tr>
    </w:tbl>
    <w:p>
      <w:pPr>
        <w:spacing w:after="40"/>
      </w:pPr>
    </w:p>
    <w:p>
      <w:pPr>
        <w:pStyle w:val="Heading1"/>
      </w:pPr>
      <w:r>
        <w:t>二、產品總體架構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由資料平面、推理平面、控制平面與產品介面組成。每個平面都有明確責任與可替換邊界，避免將所有決策責任集中在單一 LLM prompt。</w:t>
      </w:r>
    </w:p>
    <w:p>
      <w:pPr>
        <w:pStyle w:val="Heading2"/>
      </w:pPr>
      <w:r>
        <w:t>2.1 三層執行管線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層級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責任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核心模組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Ingestion Layer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接收、清理、標準化與標記外部資料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prices、HOYA BIT、news、social、regulatory、on-chain、whale trades、CoinGecko、CMC、DefiLlama、Etherscan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Reasoning Layer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主張抽取、立場分類、去重、交叉佐證、信任分數與 uncertainty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pipeline、Trust Kernel、corroboration、evidence grouper、freshness、direction resolution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Agent / Delivery Layer</w:t>
            </w:r>
          </w:p>
        </w:tc>
        <w:tc>
          <w:tcPr>
            <w:tcW w:type="dxa" w:w="3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受界限的工具調度、報告組裝、產物交付與 API 回應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Hermes orchestrator、Bedrock、report delivery、Final Report、Evidence List、Execution Log、Snapshot</w:t>
            </w:r>
          </w:p>
        </w:tc>
      </w:tr>
    </w:tbl>
    <w:p>
      <w:pPr>
        <w:spacing w:after="40"/>
      </w:pPr>
    </w:p>
    <w:p>
      <w:pPr>
        <w:pStyle w:val="Heading2"/>
      </w:pPr>
      <w:r>
        <w:t>2.2 前後端產品面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Frontend 以 React/Vite 與 Hermes Workspace 呈現產品能力；Backend 以 Python API、analysis flow 與 formal run runtime 執行任務。兩者透過結構化 API 與同一個 run_id 連接。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產品面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主要能力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Research Workspace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Analyze、Compare、History、Source Status、Whale Activity、Evidence Trail、信心與證據分解、facts/inferences ladder、反方證據與 report download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Operations Console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Status、Upgrade Queue、Module Telemetry、Budget、Carbon、Health、成本與執行狀態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Governance Console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Admin、AGOS、policy、memory、prompt version、approval、rollback、audit record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Integration Surface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API response、snapshot、artifact、manifest、Final Report、Evidence List、Execution Log、Source/Config</w:t>
            </w:r>
          </w:p>
        </w:tc>
      </w:tr>
    </w:tbl>
    <w:p>
      <w:pPr>
        <w:spacing w:after="40"/>
      </w:pPr>
    </w:p>
    <w:p>
      <w:pPr>
        <w:pStyle w:val="Heading2"/>
      </w:pPr>
      <w:r>
        <w:t>2.3 AWS 目前部署拓樸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現行公開拓樸以 EC2 t3.micro + nginx 為基礎：nginx 對外提供 HTTPS 與 frontend，Python API 收斂在 127.0.0.1:8080；Amazon Bedrock 是唯一 LLM 入口，S3 保存資料與產物，IAM Instance Role、SSM Session Manager 與 CloudWatch 支援最小權限與運維觀測。App Runner 是未採用的舊構想，不列為目前已部署能力。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00"/>
        <w:gridCol w:w="296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元件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目前責任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治理重點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EC2 + nginx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承載 React/Vite frontend 與 Python API reverse proxy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網路邊界、TLS、127.0.0.1 API binding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Amazon Bedrock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claim extraction、stance classification、report assembly 等語言任務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只做語言工作，不直接決定 Trust Score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S3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訓練資料、模型 artifact、部署與 manifest 保存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IAM、雜湊、保留與版本化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IAM / SSM / CloudWatch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無長期 SSH key 的維運、權限與指標</w:t>
            </w:r>
          </w:p>
        </w:tc>
        <w:tc>
          <w:tcPr>
            <w:tcW w:type="dxa" w:w="2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最小權限、審計、健康檢查</w:t>
            </w:r>
          </w:p>
        </w:tc>
      </w:tr>
    </w:tbl>
    <w:p>
      <w:pPr>
        <w:spacing w:after="40"/>
      </w:pPr>
    </w:p>
    <w:p>
      <w:pPr>
        <w:pStyle w:val="Heading1"/>
      </w:pPr>
      <w:r>
        <w:t>三、核心功能與獨立系統</w:t>
      </w:r>
    </w:p>
    <w:p>
      <w:pPr>
        <w:pStyle w:val="Heading2"/>
      </w:pPr>
      <w:r>
        <w:t>3.1 Data Ingestion 與資料契約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Ingestion 將外部資料轉成統一的 source、fetched_at、content_reference、asset、data_mode 與 freshness 欄位，並保留失敗原因與覆蓋缺口。連接器各自獨立，單一來源故障不應讓整體分析假裝完整。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行情與企業資料：HOYA BIT 及價格 OHLCV，作為方向基準與 delayed outcome ground truth。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新聞與社群：RSS／API、X／Reddit 等，用於事件與情緒訊號，但不與官方資料等權。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鏈上與巨鯨：Etherscan、Whale Alert、Arkham、CoinMarketCap 等，辨識大額轉帳、錢包歸因與流動性背景。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監管與官方公告：保留正式發布時間與原文範圍，支援高風險事件追溯。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資料品質：cache、safe fetch、connector reliability、freshness、data integrity 與 SHA-256 manifest。</w:t>
      </w:r>
    </w:p>
    <w:p>
      <w:pPr>
        <w:pStyle w:val="Heading2"/>
      </w:pPr>
      <w:r>
        <w:t>3.2 Trust Kernel 與信任推理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 Kernel 是產品的 deterministic trust reasoning 核心。它在 LLM 行文之前處理可重現的規則與計算：來源先驗、交叉佐證、時效衰減、重複計數、矛盾、操縱風險、confidence 與 uncertainty。相同輸入、規則與版本應得到相同結果，便於測試、回放與稽核。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重要邊界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Trust Kernel 的分數是資訊信任與完整度訊號，不是交易勝率；Bedrock 不被授權單獨產生市場方向。</w:t>
            </w:r>
          </w:p>
        </w:tc>
      </w:tr>
    </w:tbl>
    <w:p>
      <w:pPr>
        <w:spacing w:after="40"/>
      </w:pPr>
    </w:p>
    <w:p>
      <w:pPr>
        <w:pStyle w:val="Heading2"/>
      </w:pPr>
      <w:r>
        <w:t>3.3 Formal Run、計分與交付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formal_run_coordinator、budget reservation、idempotency 與 lease 防止重複執行。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analysis flow 將 claim extraction、stance、deduplication、corroboration、Trust Kernel 與 uncertainty 串成可觀測步驟。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每次 run 以 run_id 串接 Final Report、Evidence List、Execution Log、Snapshot、Source/Config 與 API response。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遇到 timeout、資料不足、權限錯誤或模型異常，系統進入 degraded、abstain 或 fail-closed，不硬湊答案。</w:t>
      </w:r>
    </w:p>
    <w:p>
      <w:pPr>
        <w:pStyle w:val="Heading2"/>
      </w:pPr>
      <w:r>
        <w:t>3.4 Agent Runtime、Memory 與 Policy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Hermes orchestrator、AgentCore adapter/runtime、tool registry、memory OS 與 policy compiler/executor 共同形成受界限的 Agent Runtime。Memory plane 保存 run、artifact、evidence、learning event 與 replay history；policy plane 記錄 source、analysis、report、evaluation 與 improvement 的實際消費者與允許行為。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AgentCore 在產品中是可替換的執行整合層，而不是把所有 TrustForge domain logic 外包給第三方。工具呼叫、預算、權限、錯誤與狀態仍由 TrustForge 的 contract、guards 與 audit 控制。</w:t>
      </w:r>
    </w:p>
    <w:p>
      <w:pPr>
        <w:pStyle w:val="Heading2"/>
      </w:pPr>
      <w:r>
        <w:t>3.5 Upgrade Control 與自動升級治理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Improvement、upgrade control、canary、activation lock、deployment evidence 與 rollback record 形成升級控制平面。自主循環可以 refresh_sources、measure_quality、replay_history、diagnose_improvement 並提出 candidate，但 candidate 必須通過 benchmark、安全、成本、相容性與人工批准，才可進入 activation。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狀態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系統行為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不可省略的證據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Candidate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建立新模型、規則或模組候選，不影響 production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metrics、artifact hash、training contract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Review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進行 quality、security、cost、compatibility 與 adversarial review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reviewer attestation、decision record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Activate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經人工批准後才切換，保留 canary 與 activation lock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approval、deployment evidence、receipt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Rollback</w:t>
            </w:r>
          </w:p>
        </w:tc>
        <w:tc>
          <w:tcPr>
            <w:tcW w:type="dxa" w:w="4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發現異常時回到已知穩定版本</w:t>
            </w:r>
          </w:p>
        </w:tc>
        <w:tc>
          <w:tcPr>
            <w:tcW w:type="dxa" w:w="32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rollback decision record、health check、audit trail</w:t>
            </w:r>
          </w:p>
        </w:tc>
      </w:tr>
    </w:tbl>
    <w:p>
      <w:pPr>
        <w:spacing w:after="40"/>
      </w:pPr>
    </w:p>
    <w:p>
      <w:pPr>
        <w:pStyle w:val="Heading2"/>
      </w:pPr>
      <w:r>
        <w:t>3.6 可觀測性、成本與碳管理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Module Telemetry：記錄模組執行次數、耗時、成功率、錯誤與版本。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Budget Guard：限制 token、Bedrock 呼叫、Agent 次數與每日 USD 使用量，超限時停止或降級。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Carbon：記錄 input/output token 與推理消耗，透過 Trust Kernel 本地計算、快取與必要時才呼叫 LLM，降低不必要算力。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Audit：以 hermes audit、execution events、artifact registry 與 authenticated ledger 支援追責與重播。</w:t>
      </w:r>
    </w:p>
    <w:p>
      <w:pPr>
        <w:pStyle w:val="Heading1"/>
      </w:pPr>
      <w:r>
        <w:t>四、模型策略：Bedrock、校準模型與訓練閉環</w:t>
      </w:r>
    </w:p>
    <w:p>
      <w:pPr>
        <w:pStyle w:val="Heading2"/>
      </w:pPr>
      <w:r>
        <w:t>4.1 為什麼不只使用現成生成模型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Bedrock foundation model 擅長語言理解、資訊抽取與報告組裝，但它不應直接承擔企業對信任分數、校準、資料權重與升級批准的責任。生成模型的輸出具有機率性，且會受到 prompt、上下文與資料品質影響；金融資訊產品需要的是在固定資料、規則與版本下可重現、可比較、可稽核的信任訊號。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以本地 deterministic feature 與校準器保留可測試性，避免把治理責任藏在 prompt。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以自身資料與 delayed outcome 了解本產品的 confidence 是否過度自信，而不是只看通用模型 benchmark。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以可替換的 ModelHub 或 SageMaker TrainingBackend 執行訓練，兩者都產出 artifact 與指標；候選版本仍由 TrustForge upgrade control 管理批准流程。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生成式 foundation model 仍只使用 Amazon Bedrock；自行訓練的是 TrustForge 的 task-specific calibrator，不是繞過競賽規則另訓第三方 foundation model。</w:t>
      </w:r>
    </w:p>
    <w:p>
      <w:pPr>
        <w:pStyle w:val="Heading2"/>
      </w:pPr>
      <w:r>
        <w:t>4.2 Learning Event 與延遲標籤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每次資料抓取、分析、評分與報告完成後，系統會沉澱 learning event：包含來源、Claims、Trust Score、raw confidence、模型版本、run_id、Execution Log 與後續可對照的決策狀態。這是建立訓練資料的第一步，不代表當下立即重訓。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市場結果必須等待 outcome 成熟：T+1、T+7、T+14 分別代表分析時間點後第 1、7、14 天的實際結果。延遲標籤可以用來檢查信心是否合理、是否過度自信與校準是否需要修正，並避免把未來資訊洩漏回訓練資料。</w:t>
      </w:r>
    </w:p>
    <w:p>
      <w:pPr>
        <w:pStyle w:val="Heading2"/>
      </w:pPr>
      <w:r>
        <w:t>4.3 訓練流程與 backend 邊界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Run 完成後寫入 learning event 與 immutable evidence／execution metadata。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T+1/T+7/T+14 outcome label 成熟後，建立 training row，執行資料契約、版本與 label leakage 檢查。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以 Isotonic Regression 等校準方法產生 candidate，評估 ECE、Brier、holdout 與資料覆蓋範圍。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依 TRAINING_BACKEND 選擇 ModelHub 或 SageMaker 執行訓練；兩者皆產生 artifact 與指標，並將候選交回 TrustForge upgrade control 進行治理。</w:t>
      </w:r>
    </w:p>
    <w:p>
      <w:pPr>
        <w:pStyle w:val="ListNumber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candidate 進入 review、canary、人工批准與 activation；不合格則退回或淘汰，production 版本不自動被取代。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7A5A00"/>
                <w:sz w:val="22"/>
              </w:rPr>
              <w:t xml:space="preserve">實作現況  </w:t>
            </w:r>
            <w:r>
              <w:rPr>
                <w:rFonts w:ascii="Calibri" w:hAnsi="Calibri" w:eastAsia="Microsoft JhengHei"/>
                <w:b w:val="0"/>
                <w:i w:val="0"/>
                <w:color w:val="7A5A00"/>
                <w:sz w:val="22"/>
              </w:rPr>
              <w:t>目前 training trigger 是顯式 CLI／受控流程；程式與報告尚未宣稱存在無人值守 scheduler、每次 run 立即自動重訓或自動 activation。自動排程是後續 enhancement，人工否決權永久保留。</w:t>
            </w:r>
          </w:p>
        </w:tc>
      </w:tr>
    </w:tbl>
    <w:p>
      <w:pPr>
        <w:spacing w:after="40"/>
      </w:pPr>
    </w:p>
    <w:p>
      <w:pPr>
        <w:pStyle w:val="Heading2"/>
      </w:pPr>
      <w:r>
        <w:t>4.4 ModelHub 與 SageMaker 的平行後端邊界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5060"/>
      </w:tblGrid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元件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角色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保存／執行內容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ModelHub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TrainingBackend 選項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執行 fit、產生 model artifact 與 metrics，回傳候選結果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SageMaker AI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TrainingBackend 選項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從 S3 讀取資料、建立 Training Job、產生 model artifact 與 metrics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TrustForge upgrade control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共同治理平面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記錄 provenance、candidate status、review、approval、activation 與 rollback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S3</w:t>
            </w:r>
          </w:p>
        </w:tc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Artifact storage</w:t>
            </w:r>
          </w:p>
        </w:tc>
        <w:tc>
          <w:tcPr>
            <w:tcW w:type="dxa" w:w="5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dataset、calibrator artifact、manifest、版本與完整性雜湊</w:t>
            </w:r>
          </w:p>
        </w:tc>
      </w:tr>
    </w:tbl>
    <w:p>
      <w:pPr>
        <w:spacing w:after="40"/>
      </w:pPr>
    </w:p>
    <w:p>
      <w:pPr>
        <w:pStyle w:val="Heading1"/>
      </w:pPr>
      <w:r>
        <w:t>五、資料與證據治理</w:t>
      </w:r>
    </w:p>
    <w:p>
      <w:pPr>
        <w:pStyle w:val="Heading2"/>
      </w:pPr>
      <w:r>
        <w:t>5.1 六類資料來源與用途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00"/>
        <w:gridCol w:w="4860"/>
      </w:tblGrid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資料類型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範例來源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信號用途與治理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價格／OHLCV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HOYA BIT、prices、CoinGecko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趨勢基準、T+ outcome、時間與覆蓋範圍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新聞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RSS／API、news connector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事件主張、發布時間、原文回溯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社群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X／Reddit、social connector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情緒與異常訊號；權重低於官方資料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鏈上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Etherscan、Solscan、on-chain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交易明細、合約互動、巨鯨動態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監管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官方公告、Taiwan regulatory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政策與合規風險，保留正式來源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市場基本面</w:t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CMC、CoinGecko、DefiLlama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市值、流動性、排名與協議背景</w:t>
            </w:r>
          </w:p>
        </w:tc>
      </w:tr>
    </w:tbl>
    <w:p>
      <w:pPr>
        <w:spacing w:after="40"/>
      </w:pPr>
    </w:p>
    <w:p>
      <w:pPr>
        <w:pStyle w:val="Heading2"/>
      </w:pPr>
      <w:r>
        <w:t>5.2 Evidence Contract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每個 Claim 都應能連回 source、fetched_at、content_reference、asset、data_mode 與 related_claim。Evidence List 不只是網址清單，而是把結論與原始證據、時間、來源家族、相互關係與限制綁定在一起。對矛盾訊號，系統保留支持與反方兩邊，不用簡單多數決掩蓋少數證據。</w:t>
      </w:r>
    </w:p>
    <w:p>
      <w:pPr>
        <w:pStyle w:val="Heading2"/>
      </w:pPr>
      <w:r>
        <w:t>5.3 四項可交付物與企業交付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交付物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內容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企業用途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Final Report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結論、Trust Score、confidence、limits、could-flip、反方證據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研究決策與管理層閱讀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Evidence List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claim_id、來源、網址、時間、引用片段與關聯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風控、客服與合規抽查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Execution Log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工具、步驟、時間、成本、錯誤與狀態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重播、事故調查與責任追溯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Source / Config + Snapshot</w:t>
            </w:r>
          </w:p>
        </w:tc>
        <w:tc>
          <w:tcPr>
            <w:tcW w:type="dxa" w:w="4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程式、配置、資料／模型版本、manifest 與快照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可重現執行與部署驗證</w:t>
            </w:r>
          </w:p>
        </w:tc>
      </w:tr>
    </w:tbl>
    <w:p>
      <w:pPr>
        <w:spacing w:after="40"/>
      </w:pPr>
    </w:p>
    <w:p>
      <w:pPr>
        <w:pStyle w:val="Heading1"/>
      </w:pPr>
      <w:r>
        <w:t>六、安全、治理與營運控制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秘密管理：API key、AWS credentials、資料庫密碼不進 GitHub；使用環境變數、IAM Instance Role、SSM 與 secret boundary。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權限控制：tool registry 與 policy guards 限定工具、資料來源、模型與管理操作的 scope。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Fail-closed：權限錯誤、資料不足、模型異常或預算超限時停止高風險輸出，改以 degraded 或 abstain 說明限制。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版本與稽核：每次分析與升級有 run_id、model version、artifact hash、approval receipt、deployment evidence 與 rollback record。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安全審查：升級 candidate 需通過 adversarial review、dependency／secret 檢查與 production gate；不以自動化速度取代人類批准。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治理定位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TrustForge 的設計精神與 ISO/IEC 42001 的風險、可追溯性、人工監督與持續監控方向一致；本提案不宣稱已取得 ISO 42001 認證或符合性證書。</w:t>
            </w:r>
          </w:p>
        </w:tc>
      </w:tr>
    </w:tbl>
    <w:p>
      <w:pPr>
        <w:spacing w:after="40"/>
      </w:pPr>
    </w:p>
    <w:p>
      <w:pPr>
        <w:pStyle w:val="Heading1"/>
      </w:pPr>
      <w:r>
        <w:t>七、商業化產品路線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700"/>
        <w:gridCol w:w="2560"/>
      </w:tblGrid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階段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產品化目標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衡量方式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1：Research Trust Layer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把研究／市場資訊頁接入 Trust Layer API，提供 report、evidence、execution 與 snapshot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可溯源率、來源覆蓋、分析完成時間、人工核對節省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2：Governed Decision Services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提供白標 API、比較快照、peer metrics、asset context 與審核工作流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API adoption、review turnaround、錯誤與回滾時間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3：Continuous Calibration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以成熟 outcome label 驅動校準 candidate、ModelHub／SageMaker 與 canary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ECE／Brier、candidate 通過率、人工批准與 rollback 指標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Phase 4：Enterprise Control Plane</w:t>
            </w:r>
          </w:p>
        </w:tc>
        <w:tc>
          <w:tcPr>
            <w:tcW w:type="dxa" w:w="4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整合 IAM、audit、budget、carbon、telemetry 與多租戶 policy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成本可預測性、合規抽查成功率、服務可用性</w:t>
            </w:r>
          </w:p>
        </w:tc>
      </w:tr>
    </w:tbl>
    <w:p>
      <w:pPr>
        <w:spacing w:after="40"/>
      </w:pPr>
    </w:p>
    <w:p>
      <w:pPr>
        <w:pStyle w:val="Heading2"/>
      </w:pPr>
      <w:r>
        <w:t>產品護城河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Evidence contract 與 claim-to-source lineage，而不是單一 prompt。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可測試的 Trust Kernel 與可替換模型／資料／儲存 backend。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Bounded autonomous agent：能量測、診斷、提案，但不能越過人類批准。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Calibration、replay、artifact provenance 與 rollback 形成持續改善閉環。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同一組產物同時服務前端使用者、工程團隊、金融風控與稽核人員。</w:t>
      </w:r>
    </w:p>
    <w:p>
      <w:pPr>
        <w:pStyle w:val="Heading1"/>
      </w:pPr>
      <w:r>
        <w:t>八、驗收與限制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本產品以可驗證的工程契約作為驗收基礎，而非只以畫面是否能產生文字判斷成功。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驗收面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最低驗收條件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資料真實性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每個來源標示 data_mode、取得時間、覆蓋範圍；fixture、cache、live 不混淆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推理可重現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固定輸入、規則與版本可得到一致 Trust／Evidence 結果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交付完整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Final Report、Evidence List、Execution Log、Source/Config 與 manifest 可由同一 run_id 串接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訓練治理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row 有成熟 outcome label；candidate 有 metrics、artifact hash 與人工批准狀態</w:t>
            </w:r>
          </w:p>
        </w:tc>
      </w:tr>
      <w:tr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失敗安全</w:t>
            </w:r>
          </w:p>
        </w:tc>
        <w:tc>
          <w:tcPr>
            <w:tcW w:type="dxa" w:w="7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逾時、資料不足、權限錯誤與模型異常會 degraded、abstain 或 fail-closed</w:t>
            </w:r>
          </w:p>
        </w:tc>
      </w:tr>
    </w:tbl>
    <w:p>
      <w:pPr>
        <w:spacing w:after="40"/>
      </w:pPr>
    </w:p>
    <w:p>
      <w:pPr>
        <w:pStyle w:val="Heading2"/>
      </w:pPr>
      <w:r>
        <w:t>誠實限制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不承諾市場方向預測或投資報酬。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部分 provider／AgentCore／DynamoDB backend 是可替換介面或支援路徑，不等於全部都是目前公開部署元件。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目前沒有宣稱每次 run 後立即自動訓練、無人值守 scheduler 或自動 activation。</w:t>
      </w:r>
    </w:p>
    <w:p>
      <w:pPr>
        <w:pStyle w:val="ListBullet"/>
        <w:spacing w:after="80" w:line="290" w:lineRule="auto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操縱偵測與模型品質仍需以更多標籤、回放與實際營運資料持續驗證。</w:t>
      </w:r>
    </w:p>
    <w:p>
      <w:pPr>
        <w:pStyle w:val="Heading1"/>
      </w:pPr>
      <w:r>
        <w:t>結語</w:t>
      </w:r>
    </w:p>
    <w:p>
      <w:pPr>
        <w:spacing w:after="160"/>
      </w:pPr>
      <w:r>
        <w:rPr>
          <w:rFonts w:ascii="Calibri" w:hAnsi="Calibri" w:eastAsia="Microsoft JhengHei"/>
          <w:b w:val="0"/>
          <w:i w:val="0"/>
          <w:color w:val="000000"/>
          <w:sz w:val="22"/>
        </w:rPr>
        <w:t>TrustForge Hermes 的商業價值，不是再做一個會摘要市場新聞的聊天介面，而是把企業真正需要的信任、證據、成本、權限、版本與回復能力，做成可部署的 AI Agent control plane。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F8FB"/>
          </w:tcPr>
          <w:p>
            <w:pPr>
              <w:spacing w:after="0"/>
            </w:pPr>
            <w:r>
              <w:rPr>
                <w:rFonts w:ascii="Calibri" w:hAnsi="Calibri" w:eastAsia="Microsoft JhengHei"/>
                <w:b/>
                <w:i w:val="0"/>
                <w:color w:val="0B5261"/>
                <w:sz w:val="22"/>
              </w:rPr>
              <w:t xml:space="preserve">結論  </w:t>
            </w:r>
            <w:r>
              <w:rPr>
                <w:rFonts w:ascii="Calibri" w:hAnsi="Calibri" w:eastAsia="Microsoft JhengHei"/>
                <w:b w:val="0"/>
                <w:i w:val="0"/>
                <w:color w:val="0B5261"/>
                <w:sz w:val="22"/>
              </w:rPr>
              <w:t>從會回答的 AI，走向值得託付、能被抽查、能被回復的 AI Agent。</w:t>
            </w:r>
          </w:p>
        </w:tc>
      </w:tr>
    </w:tbl>
    <w:p>
      <w:pPr>
        <w:spacing w:after="40"/>
      </w:pPr>
    </w:p>
    <w:p>
      <w:pPr>
        <w:pStyle w:val="Heading1"/>
      </w:pPr>
      <w:r>
        <w:t>附錄：關鍵術語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術語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i w:val="0"/>
                <w:color w:val="0B2545"/>
                <w:sz w:val="22"/>
              </w:rPr>
              <w:t>定義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Evidence-native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從資料契約與證據鏈開始設計，每個結論都有可追溯依據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Deterministic trust reasoning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固定輸入、規則與版本下可重現的信任推理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Training backend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實際讀取訓練資料、建立訓練任務與產出 artifact 的後端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Candidate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已產生但尚未經人工批准的模型、規則或升級候選版本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Audit trail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可追溯誰在何時以何種資料與版本做了什麼決策</w:t>
            </w:r>
          </w:p>
        </w:tc>
      </w:tr>
      <w:tr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Fail-closed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Microsoft JhengHei"/>
                <w:b w:val="0"/>
                <w:i w:val="0"/>
                <w:color w:val="000000"/>
                <w:sz w:val="22"/>
              </w:rPr>
              <w:t>遇到不確定或錯誤時停止高風險輸出，不用猜測填補缺口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i w:val="0"/>
        <w:color w:val="5B6573"/>
        <w:sz w:val="18"/>
      </w:rPr>
      <w:t>HurricaneSoft  |  Confidential proposal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JhengHei"/>
        <w:b w:val="0"/>
        <w:i w:val="0"/>
        <w:color w:val="5B6573"/>
        <w:sz w:val="18"/>
      </w:rPr>
      <w:t>TrustForge Hermes  |  Commercial Product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hAnsi="Calibr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