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jc w:val="center"/>
      </w:pPr>
      <w:r>
        <w:rPr>
          <w:rFonts w:ascii="Calibri" w:hAnsi="Calibri"/>
          <w:b/>
          <w:color w:val="1F5F8B"/>
          <w:sz w:val="64"/>
        </w:rPr>
        <w:t>BOMBAY DYEING &amp; MANUFACTURING COMPANY LTD</w:t>
      </w:r>
    </w:p>
    <w:p>
      <w:pPr>
        <w:jc w:val="center"/>
      </w:pPr>
      <w:r>
        <w:rPr>
          <w:color w:val="1F5F8B"/>
          <w:sz w:val="16"/>
        </w:rPr>
        <w:t>____________________________________________________________</w:t>
      </w:r>
    </w:p>
    <w:p>
      <w:pPr>
        <w:spacing w:before="480"/>
        <w:jc w:val="center"/>
      </w:pPr>
      <w:r>
        <w:rPr>
          <w:rFonts w:ascii="Calibri" w:hAnsi="Calibri"/>
          <w:color w:val="1F5F8B"/>
          <w:sz w:val="44"/>
        </w:rPr>
        <w:t>Comprehensive Company Analysis</w:t>
      </w:r>
    </w:p>
    <w:p>
      <w:pPr>
        <w:spacing w:before="160"/>
        <w:jc w:val="center"/>
      </w:pPr>
      <w:r>
        <w:rPr>
          <w:rFonts w:ascii="Calibri" w:hAnsi="Calibri"/>
          <w:color w:val="666666"/>
          <w:sz w:val="28"/>
        </w:rPr>
        <w:t>Investment Research Note</w:t>
      </w:r>
    </w:p>
    <w:p>
      <w:pPr>
        <w:spacing w:before="960"/>
        <w:jc w:val="center"/>
      </w:pPr>
      <w:r>
        <w:rPr>
          <w:rFonts w:ascii="Calibri" w:hAnsi="Calibri"/>
          <w:color w:val="666666"/>
          <w:sz w:val="24"/>
        </w:rPr>
        <w:t>Date: April 20, 2026</w:t>
      </w:r>
    </w:p>
    <w:p>
      <w:r>
        <w:br w:type="page"/>
      </w:r>
    </w:p>
    <w:p>
      <w:pPr>
        <w:pStyle w:val="Heading1"/>
      </w:pPr>
      <w:r>
        <w:rPr>
          <w:rFonts w:ascii="Calibri" w:hAnsi="Calibri"/>
          <w:color w:val="1F5F8B"/>
          <w:sz w:val="32"/>
        </w:rPr>
        <w:t>1. Executive Summary</w:t>
      </w:r>
    </w:p>
    <w:p>
      <w:pPr>
        <w:spacing w:before="0" w:after="120"/>
      </w:pPr>
    </w:p>
    <w:p>
      <w:pPr>
        <w:spacing w:after="80"/>
      </w:pPr>
      <w:r>
        <w:rPr>
          <w:rFonts w:ascii="Calibri" w:hAnsi="Calibri"/>
          <w:color w:val="333333"/>
          <w:sz w:val="20"/>
        </w:rPr>
        <w:t>Bombay Dyeing &amp; Manufacturing Company Ltd. (BDMC) is a diversified conglomerate with a significant presence in Real Estate Development, Polyester Staple Fibre (PSF) manufacturing, and Retail. Historically known for its textile operations, the company has undergone a substantial transformation in recent years, pivoting towards its more profitable and growth-oriented segments, particularly real estate. The company's strategic focus has shifted towards unlocking the value of its prime land holdings in Mumbai and optimizing its polyester and retail businesses.</w:t>
      </w:r>
    </w:p>
    <w:p>
      <w:pPr>
        <w:spacing w:after="80"/>
      </w:pPr>
      <w:r>
        <w:rPr>
          <w:rFonts w:ascii="Calibri" w:hAnsi="Calibri"/>
          <w:color w:val="333333"/>
          <w:sz w:val="20"/>
        </w:rPr>
        <w:t>The past 1-2 years have been marked by transformative events, most notably the successful monetization of its significant land assets, which has substantially deleveraged the balance sheet and provided a strong financial foundation. This strategic move has enabled the company to focus on its core growth drivers. Post-transformation, BDMC is operating with a significantly reduced debt profile, aiming for robust growth in its real estate vertical, supported by ongoing project execution and potential new developments. The polyester segment continues to focus on operational efficiency and profitability, while the retail division aims for sustained growth through product mix enhancement and market penetration.</w:t>
      </w:r>
    </w:p>
    <w:p>
      <w:pPr>
        <w:spacing w:after="80"/>
      </w:pPr>
      <w:r>
        <w:rPr>
          <w:rFonts w:ascii="Calibri" w:hAnsi="Calibri"/>
          <w:color w:val="333333"/>
          <w:sz w:val="20"/>
        </w:rPr>
        <w:t>Key growth catalysts for BDMC include the continued execution of its real estate projects, leveraging its prime land bank in Mumbai, and capitalizing on the growth potential in the Indian real estate market. The company's polyester business is expected to benefit from industry tailwinds such as increased demand for virgin PSF and operational efficiency improvements. Furthermore, the company's strong brand legacy and strategic repositioning position it well to capitalize on emerging opportunities in its chosen sectors.</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1F5F8B"/>
          </w:tcPr>
          <w:p>
            <w:pPr>
              <w:spacing w:before="40" w:after="40"/>
            </w:pPr>
            <w:r>
              <w:rPr>
                <w:rFonts w:ascii="Calibri" w:hAnsi="Calibri"/>
                <w:b/>
                <w:color w:val="FFFFFF"/>
                <w:sz w:val="18"/>
              </w:rPr>
              <w:t>Metric</w:t>
            </w:r>
          </w:p>
        </w:tc>
        <w:tc>
          <w:tcPr>
            <w:tcW w:type="dxa" w:w="4320"/>
            <w:shd w:fill="1F5F8B"/>
          </w:tcPr>
          <w:p>
            <w:pPr>
              <w:spacing w:before="40" w:after="40"/>
            </w:pPr>
            <w:r>
              <w:rPr>
                <w:rFonts w:ascii="Calibri" w:hAnsi="Calibri"/>
                <w:b/>
                <w:color w:val="FFFFFF"/>
                <w:sz w:val="18"/>
              </w:rPr>
              <w:t>Value</w:t>
            </w:r>
          </w:p>
        </w:tc>
      </w:tr>
      <w:tr>
        <w:tc>
          <w:tcPr>
            <w:tcW w:type="dxa" w:w="4320"/>
          </w:tcPr>
          <w:p>
            <w:pPr>
              <w:spacing w:before="40" w:after="40"/>
            </w:pPr>
            <w:r>
              <w:rPr>
                <w:rFonts w:ascii="Calibri" w:hAnsi="Calibri"/>
                <w:b/>
                <w:sz w:val="18"/>
              </w:rPr>
              <w:t>CMP</w:t>
            </w:r>
          </w:p>
        </w:tc>
        <w:tc>
          <w:tcPr>
            <w:tcW w:type="dxa" w:w="4320"/>
          </w:tcPr>
          <w:p>
            <w:pPr>
              <w:spacing w:before="40" w:after="40"/>
            </w:pPr>
            <w:r>
              <w:rPr>
                <w:rFonts w:ascii="Calibri" w:hAnsi="Calibri"/>
                <w:sz w:val="18"/>
              </w:rPr>
              <w:t>175.00</w:t>
            </w:r>
          </w:p>
        </w:tc>
      </w:tr>
      <w:tr>
        <w:tc>
          <w:tcPr>
            <w:tcW w:type="dxa" w:w="4320"/>
            <w:shd w:fill="E8F0FE"/>
          </w:tcPr>
          <w:p>
            <w:pPr>
              <w:spacing w:before="40" w:after="40"/>
            </w:pPr>
            <w:r>
              <w:rPr>
                <w:rFonts w:ascii="Calibri" w:hAnsi="Calibri"/>
                <w:b/>
                <w:sz w:val="18"/>
              </w:rPr>
              <w:t>Market Cap</w:t>
            </w:r>
          </w:p>
        </w:tc>
        <w:tc>
          <w:tcPr>
            <w:tcW w:type="dxa" w:w="4320"/>
            <w:shd w:fill="E8F0FE"/>
          </w:tcPr>
          <w:p>
            <w:pPr>
              <w:spacing w:before="40" w:after="40"/>
            </w:pPr>
            <w:r>
              <w:rPr>
                <w:rFonts w:ascii="Calibri" w:hAnsi="Calibri"/>
                <w:sz w:val="18"/>
              </w:rPr>
              <w:t>3,598.00 Cr</w:t>
            </w:r>
          </w:p>
        </w:tc>
      </w:tr>
      <w:tr>
        <w:tc>
          <w:tcPr>
            <w:tcW w:type="dxa" w:w="4320"/>
          </w:tcPr>
          <w:p>
            <w:pPr>
              <w:spacing w:before="40" w:after="40"/>
            </w:pPr>
            <w:r>
              <w:rPr>
                <w:rFonts w:ascii="Calibri" w:hAnsi="Calibri"/>
                <w:b/>
                <w:sz w:val="18"/>
              </w:rPr>
              <w:t>P/E (TTM)</w:t>
            </w:r>
          </w:p>
        </w:tc>
        <w:tc>
          <w:tcPr>
            <w:tcW w:type="dxa" w:w="4320"/>
          </w:tcPr>
          <w:p>
            <w:pPr>
              <w:spacing w:before="40" w:after="40"/>
            </w:pPr>
            <w:r>
              <w:rPr>
                <w:rFonts w:ascii="Calibri" w:hAnsi="Calibri"/>
                <w:sz w:val="18"/>
              </w:rPr>
              <w:t>7.38</w:t>
            </w:r>
          </w:p>
        </w:tc>
      </w:tr>
      <w:tr>
        <w:tc>
          <w:tcPr>
            <w:tcW w:type="dxa" w:w="4320"/>
            <w:shd w:fill="E8F0FE"/>
          </w:tcPr>
          <w:p>
            <w:pPr>
              <w:spacing w:before="40" w:after="40"/>
            </w:pPr>
            <w:r>
              <w:rPr>
                <w:rFonts w:ascii="Calibri" w:hAnsi="Calibri"/>
                <w:b/>
                <w:sz w:val="18"/>
              </w:rPr>
              <w:t>P/B</w:t>
            </w:r>
          </w:p>
        </w:tc>
        <w:tc>
          <w:tcPr>
            <w:tcW w:type="dxa" w:w="4320"/>
            <w:shd w:fill="E8F0FE"/>
          </w:tcPr>
          <w:p>
            <w:pPr>
              <w:spacing w:before="40" w:after="40"/>
            </w:pPr>
            <w:r>
              <w:rPr>
                <w:rFonts w:ascii="Calibri" w:hAnsi="Calibri"/>
                <w:sz w:val="18"/>
              </w:rPr>
              <w:t>1.53</w:t>
            </w:r>
          </w:p>
        </w:tc>
      </w:tr>
      <w:tr>
        <w:tc>
          <w:tcPr>
            <w:tcW w:type="dxa" w:w="4320"/>
          </w:tcPr>
          <w:p>
            <w:pPr>
              <w:spacing w:before="40" w:after="40"/>
            </w:pPr>
            <w:r>
              <w:rPr>
                <w:rFonts w:ascii="Calibri" w:hAnsi="Calibri"/>
                <w:b/>
                <w:sz w:val="18"/>
              </w:rPr>
              <w:t>P/S (TTM)</w:t>
            </w:r>
          </w:p>
        </w:tc>
        <w:tc>
          <w:tcPr>
            <w:tcW w:type="dxa" w:w="4320"/>
          </w:tcPr>
          <w:p>
            <w:pPr>
              <w:spacing w:before="40" w:after="40"/>
            </w:pPr>
            <w:r>
              <w:rPr>
                <w:rFonts w:ascii="Calibri" w:hAnsi="Calibri"/>
                <w:sz w:val="18"/>
              </w:rPr>
              <w:t>2.21</w:t>
            </w:r>
          </w:p>
        </w:tc>
      </w:tr>
      <w:tr>
        <w:tc>
          <w:tcPr>
            <w:tcW w:type="dxa" w:w="4320"/>
            <w:shd w:fill="E8F0FE"/>
          </w:tcPr>
          <w:p>
            <w:pPr>
              <w:spacing w:before="40" w:after="40"/>
            </w:pPr>
            <w:r>
              <w:rPr>
                <w:rFonts w:ascii="Calibri" w:hAnsi="Calibri"/>
                <w:b/>
                <w:sz w:val="18"/>
              </w:rPr>
              <w:t>52-Week High/Low</w:t>
            </w:r>
          </w:p>
        </w:tc>
        <w:tc>
          <w:tcPr>
            <w:tcW w:type="dxa" w:w="4320"/>
            <w:shd w:fill="E8F0FE"/>
          </w:tcPr>
          <w:p>
            <w:pPr>
              <w:spacing w:before="40" w:after="40"/>
            </w:pPr>
            <w:r>
              <w:rPr>
                <w:rFonts w:ascii="Calibri" w:hAnsi="Calibri"/>
                <w:sz w:val="18"/>
              </w:rPr>
              <w:t>200.00 / 100.00</w:t>
            </w:r>
          </w:p>
        </w:tc>
      </w:tr>
      <w:tr>
        <w:tc>
          <w:tcPr>
            <w:tcW w:type="dxa" w:w="4320"/>
          </w:tcPr>
          <w:p>
            <w:pPr>
              <w:spacing w:before="40" w:after="40"/>
            </w:pPr>
            <w:r>
              <w:rPr>
                <w:rFonts w:ascii="Calibri" w:hAnsi="Calibri"/>
                <w:b/>
                <w:sz w:val="18"/>
              </w:rPr>
              <w:t>Debt-Equity Ratio</w:t>
            </w:r>
          </w:p>
        </w:tc>
        <w:tc>
          <w:tcPr>
            <w:tcW w:type="dxa" w:w="4320"/>
          </w:tcPr>
          <w:p>
            <w:pPr>
              <w:spacing w:before="40" w:after="40"/>
            </w:pPr>
            <w:r>
              <w:rPr>
                <w:rFonts w:ascii="Calibri" w:hAnsi="Calibri"/>
                <w:sz w:val="18"/>
              </w:rPr>
              <w:t>0.00</w:t>
            </w:r>
          </w:p>
        </w:tc>
      </w:tr>
      <w:tr>
        <w:tc>
          <w:tcPr>
            <w:tcW w:type="dxa" w:w="4320"/>
            <w:shd w:fill="E8F0FE"/>
          </w:tcPr>
          <w:p>
            <w:pPr>
              <w:spacing w:before="40" w:after="40"/>
            </w:pPr>
            <w:r>
              <w:rPr>
                <w:rFonts w:ascii="Calibri" w:hAnsi="Calibri"/>
                <w:b/>
                <w:sz w:val="18"/>
              </w:rPr>
              <w:t>ROE</w:t>
            </w:r>
          </w:p>
        </w:tc>
        <w:tc>
          <w:tcPr>
            <w:tcW w:type="dxa" w:w="4320"/>
            <w:shd w:fill="E8F0FE"/>
          </w:tcPr>
          <w:p>
            <w:pPr>
              <w:spacing w:before="40" w:after="40"/>
            </w:pPr>
            <w:r>
              <w:rPr>
                <w:rFonts w:ascii="Calibri" w:hAnsi="Calibri"/>
                <w:sz w:val="18"/>
              </w:rPr>
              <w:t>20.91%</w:t>
            </w:r>
          </w:p>
        </w:tc>
      </w:tr>
      <w:tr>
        <w:tc>
          <w:tcPr>
            <w:tcW w:type="dxa" w:w="4320"/>
          </w:tcPr>
          <w:p>
            <w:pPr>
              <w:spacing w:before="40" w:after="40"/>
            </w:pPr>
            <w:r>
              <w:rPr>
                <w:rFonts w:ascii="Calibri" w:hAnsi="Calibri"/>
                <w:b/>
                <w:sz w:val="18"/>
              </w:rPr>
              <w:t>ROCE</w:t>
            </w:r>
          </w:p>
        </w:tc>
        <w:tc>
          <w:tcPr>
            <w:tcW w:type="dxa" w:w="4320"/>
          </w:tcPr>
          <w:p>
            <w:pPr>
              <w:spacing w:before="40" w:after="40"/>
            </w:pPr>
            <w:r>
              <w:rPr>
                <w:rFonts w:ascii="Calibri" w:hAnsi="Calibri"/>
                <w:sz w:val="18"/>
              </w:rPr>
              <w:t>20.91%</w:t>
            </w:r>
          </w:p>
        </w:tc>
      </w:tr>
      <w:tr>
        <w:tc>
          <w:tcPr>
            <w:tcW w:type="dxa" w:w="4320"/>
            <w:shd w:fill="E8F0FE"/>
          </w:tcPr>
          <w:p>
            <w:pPr>
              <w:spacing w:before="40" w:after="40"/>
            </w:pPr>
            <w:r>
              <w:rPr>
                <w:rFonts w:ascii="Calibri" w:hAnsi="Calibri"/>
                <w:b/>
                <w:sz w:val="18"/>
              </w:rPr>
              <w:t>Promoter Holding</w:t>
            </w:r>
          </w:p>
        </w:tc>
        <w:tc>
          <w:tcPr>
            <w:tcW w:type="dxa" w:w="4320"/>
            <w:shd w:fill="E8F0FE"/>
          </w:tcPr>
          <w:p>
            <w:pPr>
              <w:spacing w:before="40" w:after="40"/>
            </w:pPr>
            <w:r>
              <w:rPr>
                <w:rFonts w:ascii="Calibri" w:hAnsi="Calibri"/>
                <w:sz w:val="18"/>
              </w:rPr>
              <w:t>53.58%</w:t>
            </w:r>
          </w:p>
        </w:tc>
      </w:tr>
      <w:tr>
        <w:tc>
          <w:tcPr>
            <w:tcW w:type="dxa" w:w="4320"/>
          </w:tcPr>
          <w:p>
            <w:pPr>
              <w:spacing w:before="40" w:after="40"/>
            </w:pPr>
            <w:r>
              <w:rPr>
                <w:rFonts w:ascii="Calibri" w:hAnsi="Calibri"/>
                <w:b/>
                <w:sz w:val="18"/>
              </w:rPr>
              <w:t>Dividend Yield</w:t>
            </w:r>
          </w:p>
        </w:tc>
        <w:tc>
          <w:tcPr>
            <w:tcW w:type="dxa" w:w="4320"/>
          </w:tcPr>
          <w:p>
            <w:pPr>
              <w:spacing w:before="40" w:after="40"/>
            </w:pPr>
            <w:r>
              <w:rPr>
                <w:rFonts w:ascii="Calibri" w:hAnsi="Calibri"/>
                <w:sz w:val="18"/>
              </w:rPr>
              <w:t>0.00%</w:t>
            </w:r>
          </w:p>
        </w:tc>
      </w:tr>
    </w:tbl>
    <w:p/>
    <w:p>
      <w:pPr>
        <w:pStyle w:val="Heading1"/>
      </w:pPr>
      <w:r>
        <w:rPr>
          <w:rFonts w:ascii="Calibri" w:hAnsi="Calibri"/>
          <w:color w:val="1F5F8B"/>
          <w:sz w:val="32"/>
        </w:rPr>
        <w:t>1A. Company Brief</w:t>
      </w:r>
    </w:p>
    <w:p>
      <w:pPr>
        <w:spacing w:before="0" w:after="120"/>
      </w:pPr>
    </w:p>
    <w:p>
      <w:pPr>
        <w:spacing w:after="80"/>
      </w:pPr>
      <w:r>
        <w:rPr>
          <w:rFonts w:ascii="Calibri" w:hAnsi="Calibri"/>
          <w:color w:val="333333"/>
          <w:sz w:val="20"/>
        </w:rPr>
        <w:t>Bombay Dyeing &amp; Manufacturing Company Ltd. (BDMC) is a prominent Indian conglomerate with a diversified business portfolio encompassing Real Estate Development, Polyester Staple Fibre (PSF) manufacturing, and Retail. While historically rooted in textile manufacturing, the company has strategically evolved to focus on its high-potential segments. Its primary raw materials for the polyester segment include Purified Terephthalic Acid (PTA) and Monoethylene Glycol (MEG), which are processed into Polyester Staple Fibre (PSF). The finished product, PSF, serves as a crucial input for the textile industry, particularly for spinning yarns and manufacturing non-woven fabrics. The company's real estate division focuses on developing residential and commercial properties, primarily in prime locations in Mumbai. The retail division, operating under the "Home &amp; You" brand, deals in home textiles and furnishings.</w:t>
      </w:r>
    </w:p>
    <w:p>
      <w:pPr>
        <w:spacing w:after="80"/>
      </w:pPr>
      <w:r>
        <w:rPr>
          <w:rFonts w:ascii="Calibri" w:hAnsi="Calibri"/>
          <w:color w:val="333333"/>
          <w:sz w:val="20"/>
        </w:rPr>
        <w:t>The company's domestic revenue mix is significantly driven by its real estate and polyester segments, with a notable contribution from exports in the polyester division. The PSF plant, located in Patalganga, Maharashtra, has an installed capacity of approximately 12% of the domestic PSF market share, with capacity utilization consistently above industry averages, reported at 86.3% in FY25. The real estate division is actively engaged in developing its significant land bank in Mumbai, with ongoing projects including the third phase of the Island City Center (ICC). The retail business operates through a network of distributors and retailers, focusing on expanding its market presence. BDMC operates one primary manufacturing facility for its polyester division at Patalganga, Maharashtra, and its real estate and retail operations are primarily based in India, with a significant presence in Mumbai for real estate. The end-user industries served include the textile industry (spinning mills, non-woven manufacturers), real estate developers, and retail consumers for home furnishings.</w:t>
      </w:r>
    </w:p>
    <w:p>
      <w:pPr>
        <w:pStyle w:val="Heading1"/>
      </w:pPr>
      <w:r>
        <w:rPr>
          <w:rFonts w:ascii="Calibri" w:hAnsi="Calibri"/>
          <w:color w:val="1F5F8B"/>
          <w:sz w:val="32"/>
        </w:rPr>
        <w:t>1B. News &amp; Industry Overview</w:t>
      </w:r>
    </w:p>
    <w:p>
      <w:pPr>
        <w:spacing w:before="0" w:after="120"/>
      </w:pPr>
    </w:p>
    <w:p>
      <w:pPr>
        <w:spacing w:after="80"/>
      </w:pPr>
      <w:r>
        <w:rPr>
          <w:rFonts w:ascii="Calibri" w:hAnsi="Calibri"/>
          <w:color w:val="333333"/>
          <w:sz w:val="20"/>
        </w:rPr>
        <w:t>In recent news, Bombay Dyeing has been consistently recognized for its successful balance sheet transformation, largely driven by the monetization of its prime land assets. Management commentary has highlighted the company's strategic shift towards unlocking shareholder value through these asset sales and focusing on the growth potential of its real estate and polyester businesses. Analyst commentary has generally been positive on the company's deleveraging efforts and its strategic pivot, with a focus on the execution of its real estate projects and the operational performance of its polyester segment. The company's commitment to sustainability and ESG principles has also been a recurring theme in its disclosures.</w:t>
      </w:r>
    </w:p>
    <w:p>
      <w:pPr>
        <w:spacing w:after="80"/>
      </w:pPr>
      <w:r>
        <w:rPr>
          <w:rFonts w:ascii="Calibri" w:hAnsi="Calibri"/>
          <w:color w:val="333333"/>
          <w:sz w:val="20"/>
        </w:rPr>
        <w:t>The Indian real estate sector, a key focus for BDMC, is experiencing a structural shift characterized by increased corporatization, enhanced transparency, and strong market fundamentals, indicating long-term stability and operational efficiency. The luxury housing segment, in particular, has witnessed remarkable growth, driven by rising ultra-high-net-worth individuals (UHNWIs) and a preference for premium housing for end-use. Factors such as improved connectivity, infrastructure development, and urbanization are further bolstering the sector's prospects. The polyester industry, another significant vertical for BDMC, is benefiting from increased demand for virgin PSF, supported by regulatory shifts and a growing focus on sustainability in packaging. However, the industry faces challenges such as volatile raw material prices (linked to crude oil), competition from surplus capacities, and potential disruptions in global supply chains.</w:t>
      </w:r>
    </w:p>
    <w:p>
      <w:pPr>
        <w:spacing w:after="80"/>
      </w:pPr>
      <w:r>
        <w:rPr>
          <w:rFonts w:ascii="Calibri" w:hAnsi="Calibri"/>
          <w:color w:val="333333"/>
          <w:sz w:val="20"/>
        </w:rPr>
        <w:t>BDMC operates in a competitive landscape within each of its segments. In real estate, it competes with numerous established developers in the Mumbai Metropolitan Region. In the polyester sector, it faces competition from both vertically integrated players and other standalone manufacturers. The retail segment operates in a highly fragmented market with intense competition from both organized and unorganized players. Recent regulatory changes, such as the consolidation of labor laws and evolving environmental regulations, are also impacting operational dynamics across industries, including those in which BDMC operates. The company's ability to navigate these industry trends and competitive pressures will be crucial for its sustained growth.</w:t>
      </w:r>
    </w:p>
    <w:p>
      <w:pPr>
        <w:pStyle w:val="Heading1"/>
      </w:pPr>
      <w:r>
        <w:rPr>
          <w:rFonts w:ascii="Calibri" w:hAnsi="Calibri"/>
          <w:color w:val="1F5F8B"/>
          <w:sz w:val="32"/>
        </w:rPr>
        <w:t>2. Key Developments Over Past 1 Year</w:t>
      </w:r>
    </w:p>
    <w:p>
      <w:pPr>
        <w:spacing w:before="0" w:after="120"/>
      </w:pPr>
    </w:p>
    <w:p>
      <w:pPr>
        <w:pStyle w:val="Heading2"/>
      </w:pPr>
      <w:r>
        <w:rPr>
          <w:rFonts w:ascii="Calibri" w:hAnsi="Calibri"/>
          <w:color w:val="1F5F8B"/>
          <w:sz w:val="26"/>
        </w:rPr>
        <w:t>Balance Sheet Transformation</w:t>
      </w:r>
    </w:p>
    <w:p>
      <w:pPr>
        <w:spacing w:after="80"/>
      </w:pPr>
      <w:r>
        <w:rPr>
          <w:rFonts w:ascii="Calibri" w:hAnsi="Calibri"/>
          <w:color w:val="333333"/>
          <w:sz w:val="20"/>
        </w:rPr>
        <w:t>The most significant development over the past year has been the substantial transformation of the company's balance sheet, primarily driven by the strategic sale of its land assets. This has led to a significant reduction in debt and a strengthening of the company's financial position.</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1F5F8B"/>
          </w:tcPr>
          <w:p>
            <w:pPr>
              <w:spacing w:before="40" w:after="40"/>
            </w:pPr>
            <w:r>
              <w:rPr>
                <w:rFonts w:ascii="Calibri" w:hAnsi="Calibri"/>
                <w:b/>
                <w:color w:val="FFFFFF"/>
                <w:sz w:val="18"/>
              </w:rPr>
              <w:t>Particulars</w:t>
            </w:r>
          </w:p>
        </w:tc>
        <w:tc>
          <w:tcPr>
            <w:tcW w:type="dxa" w:w="1728"/>
            <w:shd w:fill="1F5F8B"/>
          </w:tcPr>
          <w:p>
            <w:pPr>
              <w:spacing w:before="40" w:after="40"/>
            </w:pPr>
            <w:r>
              <w:rPr>
                <w:rFonts w:ascii="Calibri" w:hAnsi="Calibri"/>
                <w:b/>
                <w:color w:val="FFFFFF"/>
                <w:sz w:val="18"/>
              </w:rPr>
              <w:t>FY24 (Mar'24)</w:t>
            </w:r>
          </w:p>
        </w:tc>
        <w:tc>
          <w:tcPr>
            <w:tcW w:type="dxa" w:w="1728"/>
            <w:shd w:fill="1F5F8B"/>
          </w:tcPr>
          <w:p>
            <w:pPr>
              <w:spacing w:before="40" w:after="40"/>
            </w:pPr>
            <w:r>
              <w:rPr>
                <w:rFonts w:ascii="Calibri" w:hAnsi="Calibri"/>
                <w:b/>
                <w:color w:val="FFFFFF"/>
                <w:sz w:val="18"/>
              </w:rPr>
              <w:t>FY25 (Mar'25)</w:t>
            </w:r>
          </w:p>
        </w:tc>
        <w:tc>
          <w:tcPr>
            <w:tcW w:type="dxa" w:w="1728"/>
            <w:shd w:fill="1F5F8B"/>
          </w:tcPr>
          <w:p>
            <w:pPr>
              <w:spacing w:before="40" w:after="40"/>
            </w:pPr>
            <w:r>
              <w:rPr>
                <w:rFonts w:ascii="Calibri" w:hAnsi="Calibri"/>
                <w:b/>
                <w:color w:val="FFFFFF"/>
                <w:sz w:val="18"/>
              </w:rPr>
              <w:t>Change</w:t>
            </w:r>
          </w:p>
        </w:tc>
        <w:tc>
          <w:tcPr>
            <w:tcW w:type="dxa" w:w="1728"/>
            <w:shd w:fill="1F5F8B"/>
          </w:tcPr>
          <w:p>
            <w:pPr>
              <w:spacing w:before="40" w:after="40"/>
            </w:pPr>
            <w:r>
              <w:rPr>
                <w:rFonts w:ascii="Calibri" w:hAnsi="Calibri"/>
                <w:b/>
                <w:color w:val="FFFFFF"/>
                <w:sz w:val="18"/>
              </w:rPr>
              <w:t>Logic</w:t>
            </w:r>
          </w:p>
        </w:tc>
      </w:tr>
      <w:tr>
        <w:tc>
          <w:tcPr>
            <w:tcW w:type="dxa" w:w="1728"/>
          </w:tcPr>
          <w:p>
            <w:pPr>
              <w:spacing w:before="40" w:after="40"/>
            </w:pPr>
            <w:r>
              <w:rPr>
                <w:rFonts w:ascii="Calibri" w:hAnsi="Calibri"/>
                <w:b/>
                <w:sz w:val="18"/>
              </w:rPr>
              <w:t>**Total Equity**</w:t>
            </w:r>
          </w:p>
        </w:tc>
        <w:tc>
          <w:tcPr>
            <w:tcW w:type="dxa" w:w="1728"/>
          </w:tcPr>
          <w:p>
            <w:pPr>
              <w:spacing w:before="40" w:after="40"/>
            </w:pPr>
            <w:r>
              <w:rPr>
                <w:rFonts w:ascii="Calibri" w:hAnsi="Calibri"/>
                <w:sz w:val="18"/>
              </w:rPr>
              <w:t>1,846.23 Cr</w:t>
            </w:r>
          </w:p>
        </w:tc>
        <w:tc>
          <w:tcPr>
            <w:tcW w:type="dxa" w:w="1728"/>
          </w:tcPr>
          <w:p>
            <w:pPr>
              <w:spacing w:before="40" w:after="40"/>
            </w:pPr>
            <w:r>
              <w:rPr>
                <w:rFonts w:ascii="Calibri" w:hAnsi="Calibri"/>
                <w:sz w:val="18"/>
              </w:rPr>
              <w:t>2,343.01 Cr</w:t>
            </w:r>
          </w:p>
        </w:tc>
        <w:tc>
          <w:tcPr>
            <w:tcW w:type="dxa" w:w="1728"/>
          </w:tcPr>
          <w:p>
            <w:pPr>
              <w:spacing w:before="40" w:after="40"/>
            </w:pPr>
            <w:r>
              <w:rPr>
                <w:rFonts w:ascii="Calibri" w:hAnsi="Calibri"/>
                <w:sz w:val="18"/>
              </w:rPr>
              <w:t>+496.78 Cr</w:t>
            </w:r>
          </w:p>
        </w:tc>
        <w:tc>
          <w:tcPr>
            <w:tcW w:type="dxa" w:w="1728"/>
          </w:tcPr>
          <w:p>
            <w:pPr>
              <w:spacing w:before="40" w:after="40"/>
            </w:pPr>
            <w:r>
              <w:rPr>
                <w:rFonts w:ascii="Calibri" w:hAnsi="Calibri"/>
                <w:sz w:val="18"/>
              </w:rPr>
              <w:t>Primarily driven by retained earnings from significant exceptional gains on asset sales and improved operational performance.</w:t>
            </w:r>
          </w:p>
        </w:tc>
      </w:tr>
      <w:tr>
        <w:tc>
          <w:tcPr>
            <w:tcW w:type="dxa" w:w="1728"/>
            <w:shd w:fill="E8F0FE"/>
          </w:tcPr>
          <w:p>
            <w:pPr>
              <w:spacing w:before="40" w:after="40"/>
            </w:pPr>
            <w:r>
              <w:rPr>
                <w:rFonts w:ascii="Calibri" w:hAnsi="Calibri"/>
                <w:b/>
                <w:sz w:val="18"/>
              </w:rPr>
              <w:t>**Borrowings (Non-current)**</w:t>
            </w:r>
          </w:p>
        </w:tc>
        <w:tc>
          <w:tcPr>
            <w:tcW w:type="dxa" w:w="1728"/>
            <w:shd w:fill="E8F0FE"/>
          </w:tcPr>
          <w:p>
            <w:pPr>
              <w:spacing w:before="40" w:after="40"/>
            </w:pPr>
            <w:r>
              <w:rPr>
                <w:rFonts w:ascii="Calibri" w:hAnsi="Calibri"/>
                <w:sz w:val="18"/>
              </w:rPr>
              <w:t>2.75 Cr</w:t>
            </w:r>
          </w:p>
        </w:tc>
        <w:tc>
          <w:tcPr>
            <w:tcW w:type="dxa" w:w="1728"/>
            <w:shd w:fill="E8F0FE"/>
          </w:tcPr>
          <w:p>
            <w:pPr>
              <w:spacing w:before="40" w:after="40"/>
            </w:pPr>
            <w:r>
              <w:rPr>
                <w:rFonts w:ascii="Calibri" w:hAnsi="Calibri"/>
                <w:sz w:val="18"/>
              </w:rPr>
              <w:t>2.94 Cr</w:t>
            </w:r>
          </w:p>
        </w:tc>
        <w:tc>
          <w:tcPr>
            <w:tcW w:type="dxa" w:w="1728"/>
            <w:shd w:fill="E8F0FE"/>
          </w:tcPr>
          <w:p>
            <w:pPr>
              <w:spacing w:before="40" w:after="40"/>
            </w:pPr>
            <w:r>
              <w:rPr>
                <w:rFonts w:ascii="Calibri" w:hAnsi="Calibri"/>
                <w:sz w:val="18"/>
              </w:rPr>
              <w:t>+0.19 Cr</w:t>
            </w:r>
          </w:p>
        </w:tc>
        <w:tc>
          <w:tcPr>
            <w:tcW w:type="dxa" w:w="1728"/>
            <w:shd w:fill="E8F0FE"/>
          </w:tcPr>
          <w:p>
            <w:pPr>
              <w:spacing w:before="40" w:after="40"/>
            </w:pPr>
            <w:r>
              <w:rPr>
                <w:rFonts w:ascii="Calibri" w:hAnsi="Calibri"/>
                <w:sz w:val="18"/>
              </w:rPr>
              <w:t>Minor increase, indicating a near-debt-free status post-monetization of assets.</w:t>
            </w:r>
          </w:p>
        </w:tc>
      </w:tr>
      <w:tr>
        <w:tc>
          <w:tcPr>
            <w:tcW w:type="dxa" w:w="1728"/>
          </w:tcPr>
          <w:p>
            <w:pPr>
              <w:spacing w:before="40" w:after="40"/>
            </w:pPr>
            <w:r>
              <w:rPr>
                <w:rFonts w:ascii="Calibri" w:hAnsi="Calibri"/>
                <w:b/>
                <w:sz w:val="18"/>
              </w:rPr>
              <w:t>**Total Assets**</w:t>
            </w:r>
          </w:p>
        </w:tc>
        <w:tc>
          <w:tcPr>
            <w:tcW w:type="dxa" w:w="1728"/>
          </w:tcPr>
          <w:p>
            <w:pPr>
              <w:spacing w:before="40" w:after="40"/>
            </w:pPr>
            <w:r>
              <w:rPr>
                <w:rFonts w:ascii="Calibri" w:hAnsi="Calibri"/>
                <w:sz w:val="18"/>
              </w:rPr>
              <w:t>2,558.39 Cr</w:t>
            </w:r>
          </w:p>
        </w:tc>
        <w:tc>
          <w:tcPr>
            <w:tcW w:type="dxa" w:w="1728"/>
          </w:tcPr>
          <w:p>
            <w:pPr>
              <w:spacing w:before="40" w:after="40"/>
            </w:pPr>
            <w:r>
              <w:rPr>
                <w:rFonts w:ascii="Calibri" w:hAnsi="Calibri"/>
                <w:sz w:val="18"/>
              </w:rPr>
              <w:t>2,993.15 Cr</w:t>
            </w:r>
          </w:p>
        </w:tc>
        <w:tc>
          <w:tcPr>
            <w:tcW w:type="dxa" w:w="1728"/>
          </w:tcPr>
          <w:p>
            <w:pPr>
              <w:spacing w:before="40" w:after="40"/>
            </w:pPr>
            <w:r>
              <w:rPr>
                <w:rFonts w:ascii="Calibri" w:hAnsi="Calibri"/>
                <w:sz w:val="18"/>
              </w:rPr>
              <w:t>+434.76 Cr</w:t>
            </w:r>
          </w:p>
        </w:tc>
        <w:tc>
          <w:tcPr>
            <w:tcW w:type="dxa" w:w="1728"/>
          </w:tcPr>
          <w:p>
            <w:pPr>
              <w:spacing w:before="40" w:after="40"/>
            </w:pPr>
            <w:r>
              <w:rPr>
                <w:rFonts w:ascii="Calibri" w:hAnsi="Calibri"/>
                <w:sz w:val="18"/>
              </w:rPr>
              <w:t>Increase reflects the inflow of cash from asset sales, which has been reinvested in financial assets and operational improvements.</w:t>
            </w:r>
          </w:p>
        </w:tc>
      </w:tr>
      <w:tr>
        <w:tc>
          <w:tcPr>
            <w:tcW w:type="dxa" w:w="1728"/>
            <w:shd w:fill="E8F0FE"/>
          </w:tcPr>
          <w:p>
            <w:pPr>
              <w:spacing w:before="40" w:after="40"/>
            </w:pPr>
            <w:r>
              <w:rPr>
                <w:rFonts w:ascii="Calibri" w:hAnsi="Calibri"/>
                <w:b/>
                <w:sz w:val="18"/>
              </w:rPr>
              <w:t>**Cash &amp; Cash Equivalents**</w:t>
            </w:r>
          </w:p>
        </w:tc>
        <w:tc>
          <w:tcPr>
            <w:tcW w:type="dxa" w:w="1728"/>
            <w:shd w:fill="E8F0FE"/>
          </w:tcPr>
          <w:p>
            <w:pPr>
              <w:spacing w:before="40" w:after="40"/>
            </w:pPr>
            <w:r>
              <w:rPr>
                <w:rFonts w:ascii="Calibri" w:hAnsi="Calibri"/>
                <w:sz w:val="18"/>
              </w:rPr>
              <w:t>54.96 Cr</w:t>
            </w:r>
          </w:p>
        </w:tc>
        <w:tc>
          <w:tcPr>
            <w:tcW w:type="dxa" w:w="1728"/>
            <w:shd w:fill="E8F0FE"/>
          </w:tcPr>
          <w:p>
            <w:pPr>
              <w:spacing w:before="40" w:after="40"/>
            </w:pPr>
            <w:r>
              <w:rPr>
                <w:rFonts w:ascii="Calibri" w:hAnsi="Calibri"/>
                <w:sz w:val="18"/>
              </w:rPr>
              <w:t>32.15 Cr</w:t>
            </w:r>
          </w:p>
        </w:tc>
        <w:tc>
          <w:tcPr>
            <w:tcW w:type="dxa" w:w="1728"/>
            <w:shd w:fill="E8F0FE"/>
          </w:tcPr>
          <w:p>
            <w:pPr>
              <w:spacing w:before="40" w:after="40"/>
            </w:pPr>
            <w:r>
              <w:rPr>
                <w:rFonts w:ascii="Calibri" w:hAnsi="Calibri"/>
                <w:sz w:val="18"/>
              </w:rPr>
              <w:t>-22.81 Cr</w:t>
            </w:r>
          </w:p>
        </w:tc>
        <w:tc>
          <w:tcPr>
            <w:tcW w:type="dxa" w:w="1728"/>
            <w:shd w:fill="E8F0FE"/>
          </w:tcPr>
          <w:p>
            <w:pPr>
              <w:spacing w:before="40" w:after="40"/>
            </w:pPr>
            <w:r>
              <w:rPr>
                <w:rFonts w:ascii="Calibri" w:hAnsi="Calibri"/>
                <w:sz w:val="18"/>
              </w:rPr>
              <w:t>Decrease reflects the deployment of cash from asset sales into investments and operational activities.</w:t>
            </w:r>
          </w:p>
        </w:tc>
      </w:tr>
      <w:tr>
        <w:tc>
          <w:tcPr>
            <w:tcW w:type="dxa" w:w="1728"/>
          </w:tcPr>
          <w:p>
            <w:pPr>
              <w:spacing w:before="40" w:after="40"/>
            </w:pPr>
            <w:r>
              <w:rPr>
                <w:rFonts w:ascii="Calibri" w:hAnsi="Calibri"/>
                <w:b/>
                <w:sz w:val="18"/>
              </w:rPr>
              <w:t>**Investments (Current &amp; Non-current)**</w:t>
            </w:r>
          </w:p>
        </w:tc>
        <w:tc>
          <w:tcPr>
            <w:tcW w:type="dxa" w:w="1728"/>
          </w:tcPr>
          <w:p>
            <w:pPr>
              <w:spacing w:before="40" w:after="40"/>
            </w:pPr>
            <w:r>
              <w:rPr>
                <w:rFonts w:ascii="Calibri" w:hAnsi="Calibri"/>
                <w:sz w:val="18"/>
              </w:rPr>
              <w:t>72.65 Cr + 673.47 Cr = 746.12 Cr</w:t>
            </w:r>
          </w:p>
        </w:tc>
        <w:tc>
          <w:tcPr>
            <w:tcW w:type="dxa" w:w="1728"/>
          </w:tcPr>
          <w:p>
            <w:pPr>
              <w:spacing w:before="40" w:after="40"/>
            </w:pPr>
            <w:r>
              <w:rPr>
                <w:rFonts w:ascii="Calibri" w:hAnsi="Calibri"/>
                <w:sz w:val="18"/>
              </w:rPr>
              <w:t>547.65 Cr + 918.22 Cr = 1,465.87 Cr</w:t>
            </w:r>
          </w:p>
        </w:tc>
        <w:tc>
          <w:tcPr>
            <w:tcW w:type="dxa" w:w="1728"/>
          </w:tcPr>
          <w:p>
            <w:pPr>
              <w:spacing w:before="40" w:after="40"/>
            </w:pPr>
            <w:r>
              <w:rPr>
                <w:rFonts w:ascii="Calibri" w:hAnsi="Calibri"/>
                <w:sz w:val="18"/>
              </w:rPr>
              <w:t>+719.75 Cr</w:t>
            </w:r>
          </w:p>
        </w:tc>
        <w:tc>
          <w:tcPr>
            <w:tcW w:type="dxa" w:w="1728"/>
          </w:tcPr>
          <w:p>
            <w:pPr>
              <w:spacing w:before="40" w:after="40"/>
            </w:pPr>
            <w:r>
              <w:rPr>
                <w:rFonts w:ascii="Calibri" w:hAnsi="Calibri"/>
                <w:sz w:val="18"/>
              </w:rPr>
              <w:t>Significant increase in investments, primarily from proceeds of land sales, indicating strategic deployment of capital.</w:t>
            </w:r>
          </w:p>
        </w:tc>
      </w:tr>
    </w:tbl>
    <w:p/>
    <w:p>
      <w:pPr>
        <w:pStyle w:val="Heading2"/>
      </w:pPr>
      <w:r>
        <w:rPr>
          <w:rFonts w:ascii="Calibri" w:hAnsi="Calibri"/>
          <w:color w:val="1F5F8B"/>
          <w:sz w:val="26"/>
        </w:rPr>
        <w:t>Leadership Changes</w:t>
      </w:r>
    </w:p>
    <w:p>
      <w:pPr>
        <w:spacing w:after="80"/>
      </w:pPr>
      <w:r>
        <w:rPr>
          <w:rFonts w:ascii="Calibri" w:hAnsi="Calibri"/>
          <w:color w:val="333333"/>
          <w:sz w:val="20"/>
        </w:rPr>
        <w:t>During FY25, there were several changes in the Board of Directors and Key Managerial Personnel (KMP) to align with the company's strategic direction and governance practices. Mr. Khiroda Jena was appointed as the Chief Financial Officer &amp; Chief Risk Officer (CFO &amp; CRO) effective August 19, 2024, replacing Mr. Vinod Jain. Mr. Rajnesh Datt was appointed as the Manager effective February 4, 2025, succeeding Mr. Rahul Anand. Several new directors were appointed to the board, bringing diverse expertise. Notably, Mr. Khiroda Jena resigned as CFO &amp; CRO effective February 13, 2026, indicating a recent change in a key financial role.</w:t>
      </w:r>
    </w:p>
    <w:p>
      <w:pPr>
        <w:pStyle w:val="Heading2"/>
      </w:pPr>
      <w:r>
        <w:rPr>
          <w:rFonts w:ascii="Calibri" w:hAnsi="Calibri"/>
          <w:color w:val="1F5F8B"/>
          <w:sz w:val="26"/>
        </w:rPr>
        <w:t>Preferential Issues, Warrants, Capital Raises</w:t>
      </w:r>
    </w:p>
    <w:p>
      <w:pPr>
        <w:spacing w:after="80"/>
      </w:pPr>
      <w:r>
        <w:rPr>
          <w:rFonts w:ascii="Calibri" w:hAnsi="Calibri"/>
          <w:color w:val="333333"/>
          <w:sz w:val="20"/>
        </w:rPr>
        <w:t>The company did not undertake any preferential issues, warrants, or significant capital raises during the reported period, reflecting its improved financial position post-asset monetization. The company's share capital remained stable at ₹41.31 Crores.</w:t>
      </w:r>
    </w:p>
    <w:p>
      <w:pPr>
        <w:pStyle w:val="Heading2"/>
      </w:pPr>
      <w:r>
        <w:rPr>
          <w:rFonts w:ascii="Calibri" w:hAnsi="Calibri"/>
          <w:color w:val="1F5F8B"/>
          <w:sz w:val="26"/>
        </w:rPr>
        <w:t>Regulatory Actions and Penalties</w:t>
      </w:r>
    </w:p>
    <w:p>
      <w:pPr>
        <w:spacing w:after="80"/>
      </w:pPr>
      <w:r>
        <w:rPr>
          <w:rFonts w:ascii="Calibri" w:hAnsi="Calibri"/>
          <w:color w:val="333333"/>
          <w:sz w:val="20"/>
        </w:rPr>
        <w:t>The company disclosed a settlement order from SEBI dated January 10, 2025, in connection with alleged violations of SEBI (Substantial Acquisition of Shares and Takeovers) Regulations, 2011, related to its promoter role in The Bombay Burmah Trading Corporation Limited. The company paid a settlement amount, disposing of potential proceedings. Additionally, the company received notices from NSE and BSE in March 2025, levying fines for alleged non-compliance with Regulation 17(1A) concerning the appointment of an Independent Director who had crossed the age of seventy-five. The company paid these fines under protest and has applied for waivers, asserting compliance with extant provisions at the time. The company also highlighted an ongoing appeal with the Securities Appellate Tribunal (SAT) against a SEBI order dated October 21, 2022, which had imposed penalties and market access restrictions. SAT had granted a stay on the order in November 2022, and the matter was awaiting final orders.</w:t>
      </w:r>
    </w:p>
    <w:p>
      <w:pPr>
        <w:pStyle w:val="Heading1"/>
      </w:pPr>
      <w:r>
        <w:rPr>
          <w:rFonts w:ascii="Calibri" w:hAnsi="Calibri"/>
          <w:color w:val="1F5F8B"/>
          <w:sz w:val="32"/>
        </w:rPr>
        <w:t>3. Financial Analysis</w:t>
      </w:r>
    </w:p>
    <w:p>
      <w:pPr>
        <w:spacing w:before="0" w:after="120"/>
      </w:pPr>
    </w:p>
    <w:p>
      <w:pPr>
        <w:spacing w:after="80"/>
      </w:pPr>
      <w:r>
        <w:rPr>
          <w:rFonts w:ascii="Calibri" w:hAnsi="Calibri"/>
          <w:color w:val="333333"/>
          <w:sz w:val="20"/>
        </w:rPr>
        <w:t>The financial performance of Bombay Dyeing &amp; Manufacturing Company Ltd. for FY25 reflects a significant turnaround, primarily driven by substantial exceptional gains from the sale of its land assets. This has resulted in a substantial increase in net profit and a strengthening of the balance sheet, with the company achieving a debt-free status. The company's revenue from operations remained relatively stable, with a slight decrease year-on-year, but the improved profitability in the polyester segment and the significant contribution from real estate sales (driven by exceptional items) have bolstered overall financial health. The company's cash flow from operations has improved, and the significant cash inflows from asset sales have been strategically deployed into investments, enhancing the company's financial flexibility and future growth prospects.</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440"/>
        <w:gridCol w:w="1440"/>
        <w:gridCol w:w="1440"/>
        <w:gridCol w:w="1440"/>
        <w:gridCol w:w="1440"/>
        <w:gridCol w:w="1440"/>
      </w:tblGrid>
      <w:tr>
        <w:tc>
          <w:tcPr>
            <w:tcW w:type="dxa" w:w="1440"/>
            <w:shd w:fill="1F5F8B"/>
          </w:tcPr>
          <w:p>
            <w:pPr>
              <w:spacing w:before="40" w:after="40"/>
            </w:pPr>
            <w:r>
              <w:rPr>
                <w:rFonts w:ascii="Calibri" w:hAnsi="Calibri"/>
                <w:b/>
                <w:color w:val="FFFFFF"/>
                <w:sz w:val="18"/>
              </w:rPr>
              <w:t>Particulars</w:t>
            </w:r>
          </w:p>
        </w:tc>
        <w:tc>
          <w:tcPr>
            <w:tcW w:type="dxa" w:w="1440"/>
            <w:shd w:fill="1F5F8B"/>
          </w:tcPr>
          <w:p>
            <w:pPr>
              <w:spacing w:before="40" w:after="40"/>
            </w:pPr>
            <w:r>
              <w:rPr>
                <w:rFonts w:ascii="Calibri" w:hAnsi="Calibri"/>
                <w:b/>
                <w:color w:val="FFFFFF"/>
                <w:sz w:val="18"/>
              </w:rPr>
              <w:t>FY25A</w:t>
            </w:r>
          </w:p>
        </w:tc>
        <w:tc>
          <w:tcPr>
            <w:tcW w:type="dxa" w:w="1440"/>
            <w:shd w:fill="1F5F8B"/>
          </w:tcPr>
          <w:p>
            <w:pPr>
              <w:spacing w:before="40" w:after="40"/>
            </w:pPr>
            <w:r>
              <w:rPr>
                <w:rFonts w:ascii="Calibri" w:hAnsi="Calibri"/>
                <w:b/>
                <w:color w:val="FFFFFF"/>
                <w:sz w:val="18"/>
              </w:rPr>
              <w:t>FY26E</w:t>
            </w:r>
          </w:p>
        </w:tc>
        <w:tc>
          <w:tcPr>
            <w:tcW w:type="dxa" w:w="1440"/>
            <w:shd w:fill="1F5F8B"/>
          </w:tcPr>
          <w:p>
            <w:pPr>
              <w:spacing w:before="40" w:after="40"/>
            </w:pPr>
            <w:r>
              <w:rPr>
                <w:rFonts w:ascii="Calibri" w:hAnsi="Calibri"/>
                <w:b/>
                <w:color w:val="FFFFFF"/>
                <w:sz w:val="18"/>
              </w:rPr>
              <w:t>FY27E</w:t>
            </w:r>
          </w:p>
        </w:tc>
        <w:tc>
          <w:tcPr>
            <w:tcW w:type="dxa" w:w="1440"/>
            <w:shd w:fill="1F5F8B"/>
          </w:tcPr>
          <w:p>
            <w:pPr>
              <w:spacing w:before="40" w:after="40"/>
            </w:pPr>
            <w:r>
              <w:rPr>
                <w:rFonts w:ascii="Calibri" w:hAnsi="Calibri"/>
                <w:b/>
                <w:color w:val="FFFFFF"/>
                <w:sz w:val="18"/>
              </w:rPr>
              <w:t>FY28E</w:t>
            </w:r>
          </w:p>
        </w:tc>
        <w:tc>
          <w:tcPr>
            <w:tcW w:type="dxa" w:w="1440"/>
            <w:shd w:fill="1F5F8B"/>
          </w:tcPr>
          <w:p>
            <w:pPr>
              <w:spacing w:before="40" w:after="40"/>
            </w:pPr>
            <w:r>
              <w:rPr>
                <w:rFonts w:ascii="Calibri" w:hAnsi="Calibri"/>
                <w:b/>
                <w:color w:val="FFFFFF"/>
                <w:sz w:val="18"/>
              </w:rPr>
              <w:t>FY29E</w:t>
            </w:r>
          </w:p>
        </w:tc>
      </w:tr>
      <w:tr>
        <w:tc>
          <w:tcPr>
            <w:tcW w:type="dxa" w:w="1440"/>
          </w:tcPr>
          <w:p>
            <w:pPr>
              <w:spacing w:before="40" w:after="40"/>
            </w:pPr>
            <w:r>
              <w:rPr>
                <w:rFonts w:ascii="Calibri" w:hAnsi="Calibri"/>
                <w:b/>
                <w:sz w:val="18"/>
              </w:rPr>
              <w:t>Revenue from Operations</w:t>
            </w:r>
          </w:p>
        </w:tc>
        <w:tc>
          <w:tcPr>
            <w:tcW w:type="dxa" w:w="1440"/>
          </w:tcPr>
          <w:p>
            <w:pPr>
              <w:spacing w:before="40" w:after="40"/>
            </w:pPr>
            <w:r>
              <w:rPr>
                <w:rFonts w:ascii="Calibri" w:hAnsi="Calibri"/>
                <w:sz w:val="18"/>
              </w:rPr>
              <w:t>1,605.43 Cr</w:t>
            </w:r>
          </w:p>
        </w:tc>
        <w:tc>
          <w:tcPr>
            <w:tcW w:type="dxa" w:w="1440"/>
          </w:tcPr>
          <w:p>
            <w:pPr>
              <w:spacing w:before="40" w:after="40"/>
            </w:pPr>
            <w:r>
              <w:rPr>
                <w:rFonts w:ascii="Calibri" w:hAnsi="Calibri"/>
                <w:sz w:val="18"/>
              </w:rPr>
              <w:t>1,700.00 Cr</w:t>
            </w:r>
          </w:p>
        </w:tc>
        <w:tc>
          <w:tcPr>
            <w:tcW w:type="dxa" w:w="1440"/>
          </w:tcPr>
          <w:p>
            <w:pPr>
              <w:spacing w:before="40" w:after="40"/>
            </w:pPr>
            <w:r>
              <w:rPr>
                <w:rFonts w:ascii="Calibri" w:hAnsi="Calibri"/>
                <w:sz w:val="18"/>
              </w:rPr>
              <w:t>1,850.00 Cr</w:t>
            </w:r>
          </w:p>
        </w:tc>
        <w:tc>
          <w:tcPr>
            <w:tcW w:type="dxa" w:w="1440"/>
          </w:tcPr>
          <w:p>
            <w:pPr>
              <w:spacing w:before="40" w:after="40"/>
            </w:pPr>
            <w:r>
              <w:rPr>
                <w:rFonts w:ascii="Calibri" w:hAnsi="Calibri"/>
                <w:sz w:val="18"/>
              </w:rPr>
              <w:t>2,000.00 Cr</w:t>
            </w:r>
          </w:p>
        </w:tc>
        <w:tc>
          <w:tcPr>
            <w:tcW w:type="dxa" w:w="1440"/>
          </w:tcPr>
          <w:p>
            <w:pPr>
              <w:spacing w:before="40" w:after="40"/>
            </w:pPr>
            <w:r>
              <w:rPr>
                <w:rFonts w:ascii="Calibri" w:hAnsi="Calibri"/>
                <w:sz w:val="18"/>
              </w:rPr>
              <w:t>2,150.00 Cr</w:t>
            </w:r>
          </w:p>
        </w:tc>
      </w:tr>
      <w:tr>
        <w:tc>
          <w:tcPr>
            <w:tcW w:type="dxa" w:w="1440"/>
            <w:shd w:fill="E8F0FE"/>
          </w:tcPr>
          <w:p>
            <w:pPr>
              <w:spacing w:before="40" w:after="40"/>
            </w:pPr>
            <w:r>
              <w:rPr>
                <w:rFonts w:ascii="Calibri" w:hAnsi="Calibri"/>
                <w:b/>
                <w:sz w:val="18"/>
              </w:rPr>
              <w:t>Revenue Growth (%)</w:t>
            </w:r>
          </w:p>
        </w:tc>
        <w:tc>
          <w:tcPr>
            <w:tcW w:type="dxa" w:w="1440"/>
            <w:shd w:fill="E8F0FE"/>
          </w:tcPr>
          <w:p>
            <w:pPr>
              <w:spacing w:before="40" w:after="40"/>
            </w:pPr>
            <w:r>
              <w:rPr>
                <w:rFonts w:ascii="Calibri" w:hAnsi="Calibri"/>
                <w:sz w:val="18"/>
              </w:rPr>
              <w:t>-5.0%</w:t>
            </w:r>
          </w:p>
        </w:tc>
        <w:tc>
          <w:tcPr>
            <w:tcW w:type="dxa" w:w="1440"/>
            <w:shd w:fill="E8F0FE"/>
          </w:tcPr>
          <w:p>
            <w:pPr>
              <w:spacing w:before="40" w:after="40"/>
            </w:pPr>
            <w:r>
              <w:rPr>
                <w:rFonts w:ascii="Calibri" w:hAnsi="Calibri"/>
                <w:sz w:val="18"/>
              </w:rPr>
              <w:t>5.9%</w:t>
            </w:r>
          </w:p>
        </w:tc>
        <w:tc>
          <w:tcPr>
            <w:tcW w:type="dxa" w:w="1440"/>
            <w:shd w:fill="E8F0FE"/>
          </w:tcPr>
          <w:p>
            <w:pPr>
              <w:spacing w:before="40" w:after="40"/>
            </w:pPr>
            <w:r>
              <w:rPr>
                <w:rFonts w:ascii="Calibri" w:hAnsi="Calibri"/>
                <w:sz w:val="18"/>
              </w:rPr>
              <w:t>8.8%</w:t>
            </w:r>
          </w:p>
        </w:tc>
        <w:tc>
          <w:tcPr>
            <w:tcW w:type="dxa" w:w="1440"/>
            <w:shd w:fill="E8F0FE"/>
          </w:tcPr>
          <w:p>
            <w:pPr>
              <w:spacing w:before="40" w:after="40"/>
            </w:pPr>
            <w:r>
              <w:rPr>
                <w:rFonts w:ascii="Calibri" w:hAnsi="Calibri"/>
                <w:sz w:val="18"/>
              </w:rPr>
              <w:t>8.1%</w:t>
            </w:r>
          </w:p>
        </w:tc>
        <w:tc>
          <w:tcPr>
            <w:tcW w:type="dxa" w:w="1440"/>
            <w:shd w:fill="E8F0FE"/>
          </w:tcPr>
          <w:p>
            <w:pPr>
              <w:spacing w:before="40" w:after="40"/>
            </w:pPr>
            <w:r>
              <w:rPr>
                <w:rFonts w:ascii="Calibri" w:hAnsi="Calibri"/>
                <w:sz w:val="18"/>
              </w:rPr>
              <w:t>7.5%</w:t>
            </w:r>
          </w:p>
        </w:tc>
      </w:tr>
      <w:tr>
        <w:tc>
          <w:tcPr>
            <w:tcW w:type="dxa" w:w="1440"/>
          </w:tcPr>
          <w:p>
            <w:pPr>
              <w:spacing w:before="40" w:after="40"/>
            </w:pPr>
            <w:r>
              <w:rPr>
                <w:rFonts w:ascii="Calibri" w:hAnsi="Calibri"/>
                <w:b/>
                <w:sz w:val="18"/>
              </w:rPr>
              <w:t>Gross Profit</w:t>
            </w:r>
          </w:p>
        </w:tc>
        <w:tc>
          <w:tcPr>
            <w:tcW w:type="dxa" w:w="1440"/>
          </w:tcPr>
          <w:p>
            <w:pPr>
              <w:spacing w:before="40" w:after="40"/>
            </w:pPr>
            <w:r>
              <w:rPr>
                <w:rFonts w:ascii="Calibri" w:hAnsi="Calibri"/>
                <w:sz w:val="18"/>
              </w:rPr>
              <w:t>461.51 Cr</w:t>
            </w:r>
          </w:p>
        </w:tc>
        <w:tc>
          <w:tcPr>
            <w:tcW w:type="dxa" w:w="1440"/>
          </w:tcPr>
          <w:p>
            <w:pPr>
              <w:spacing w:before="40" w:after="40"/>
            </w:pPr>
            <w:r>
              <w:rPr>
                <w:rFonts w:ascii="Calibri" w:hAnsi="Calibri"/>
                <w:sz w:val="18"/>
              </w:rPr>
              <w:t>490.00 Cr</w:t>
            </w:r>
          </w:p>
        </w:tc>
        <w:tc>
          <w:tcPr>
            <w:tcW w:type="dxa" w:w="1440"/>
          </w:tcPr>
          <w:p>
            <w:pPr>
              <w:spacing w:before="40" w:after="40"/>
            </w:pPr>
            <w:r>
              <w:rPr>
                <w:rFonts w:ascii="Calibri" w:hAnsi="Calibri"/>
                <w:sz w:val="18"/>
              </w:rPr>
              <w:t>530.00 Cr</w:t>
            </w:r>
          </w:p>
        </w:tc>
        <w:tc>
          <w:tcPr>
            <w:tcW w:type="dxa" w:w="1440"/>
          </w:tcPr>
          <w:p>
            <w:pPr>
              <w:spacing w:before="40" w:after="40"/>
            </w:pPr>
            <w:r>
              <w:rPr>
                <w:rFonts w:ascii="Calibri" w:hAnsi="Calibri"/>
                <w:sz w:val="18"/>
              </w:rPr>
              <w:t>570.00 Cr</w:t>
            </w:r>
          </w:p>
        </w:tc>
        <w:tc>
          <w:tcPr>
            <w:tcW w:type="dxa" w:w="1440"/>
          </w:tcPr>
          <w:p>
            <w:pPr>
              <w:spacing w:before="40" w:after="40"/>
            </w:pPr>
            <w:r>
              <w:rPr>
                <w:rFonts w:ascii="Calibri" w:hAnsi="Calibri"/>
                <w:sz w:val="18"/>
              </w:rPr>
              <w:t>610.00 Cr</w:t>
            </w:r>
          </w:p>
        </w:tc>
      </w:tr>
      <w:tr>
        <w:tc>
          <w:tcPr>
            <w:tcW w:type="dxa" w:w="1440"/>
            <w:shd w:fill="E8F0FE"/>
          </w:tcPr>
          <w:p>
            <w:pPr>
              <w:spacing w:before="40" w:after="40"/>
            </w:pPr>
            <w:r>
              <w:rPr>
                <w:rFonts w:ascii="Calibri" w:hAnsi="Calibri"/>
                <w:b/>
                <w:sz w:val="18"/>
              </w:rPr>
              <w:t>Gross Margin (%)</w:t>
            </w:r>
          </w:p>
        </w:tc>
        <w:tc>
          <w:tcPr>
            <w:tcW w:type="dxa" w:w="1440"/>
            <w:shd w:fill="E8F0FE"/>
          </w:tcPr>
          <w:p>
            <w:pPr>
              <w:spacing w:before="40" w:after="40"/>
            </w:pPr>
            <w:r>
              <w:rPr>
                <w:rFonts w:ascii="Calibri" w:hAnsi="Calibri"/>
                <w:sz w:val="18"/>
              </w:rPr>
              <w:t>28.8%</w:t>
            </w:r>
          </w:p>
        </w:tc>
        <w:tc>
          <w:tcPr>
            <w:tcW w:type="dxa" w:w="1440"/>
            <w:shd w:fill="E8F0FE"/>
          </w:tcPr>
          <w:p>
            <w:pPr>
              <w:spacing w:before="40" w:after="40"/>
            </w:pPr>
            <w:r>
              <w:rPr>
                <w:rFonts w:ascii="Calibri" w:hAnsi="Calibri"/>
                <w:sz w:val="18"/>
              </w:rPr>
              <w:t>28.8%</w:t>
            </w:r>
          </w:p>
        </w:tc>
        <w:tc>
          <w:tcPr>
            <w:tcW w:type="dxa" w:w="1440"/>
            <w:shd w:fill="E8F0FE"/>
          </w:tcPr>
          <w:p>
            <w:pPr>
              <w:spacing w:before="40" w:after="40"/>
            </w:pPr>
            <w:r>
              <w:rPr>
                <w:rFonts w:ascii="Calibri" w:hAnsi="Calibri"/>
                <w:sz w:val="18"/>
              </w:rPr>
              <w:t>28.6%</w:t>
            </w:r>
          </w:p>
        </w:tc>
        <w:tc>
          <w:tcPr>
            <w:tcW w:type="dxa" w:w="1440"/>
            <w:shd w:fill="E8F0FE"/>
          </w:tcPr>
          <w:p>
            <w:pPr>
              <w:spacing w:before="40" w:after="40"/>
            </w:pPr>
            <w:r>
              <w:rPr>
                <w:rFonts w:ascii="Calibri" w:hAnsi="Calibri"/>
                <w:sz w:val="18"/>
              </w:rPr>
              <w:t>28.5%</w:t>
            </w:r>
          </w:p>
        </w:tc>
        <w:tc>
          <w:tcPr>
            <w:tcW w:type="dxa" w:w="1440"/>
            <w:shd w:fill="E8F0FE"/>
          </w:tcPr>
          <w:p>
            <w:pPr>
              <w:spacing w:before="40" w:after="40"/>
            </w:pPr>
            <w:r>
              <w:rPr>
                <w:rFonts w:ascii="Calibri" w:hAnsi="Calibri"/>
                <w:sz w:val="18"/>
              </w:rPr>
              <w:t>28.4%</w:t>
            </w:r>
          </w:p>
        </w:tc>
      </w:tr>
      <w:tr>
        <w:tc>
          <w:tcPr>
            <w:tcW w:type="dxa" w:w="1440"/>
          </w:tcPr>
          <w:p>
            <w:pPr>
              <w:spacing w:before="40" w:after="40"/>
            </w:pPr>
            <w:r>
              <w:rPr>
                <w:rFonts w:ascii="Calibri" w:hAnsi="Calibri"/>
                <w:b/>
                <w:sz w:val="18"/>
              </w:rPr>
              <w:t>EBITDA (Operating)</w:t>
            </w:r>
          </w:p>
        </w:tc>
        <w:tc>
          <w:tcPr>
            <w:tcW w:type="dxa" w:w="1440"/>
          </w:tcPr>
          <w:p>
            <w:pPr>
              <w:spacing w:before="40" w:after="40"/>
            </w:pPr>
            <w:r>
              <w:rPr>
                <w:rFonts w:ascii="Calibri" w:hAnsi="Calibri"/>
                <w:sz w:val="18"/>
              </w:rPr>
              <w:t>100.11 Cr</w:t>
            </w:r>
          </w:p>
        </w:tc>
        <w:tc>
          <w:tcPr>
            <w:tcW w:type="dxa" w:w="1440"/>
          </w:tcPr>
          <w:p>
            <w:pPr>
              <w:spacing w:before="40" w:after="40"/>
            </w:pPr>
            <w:r>
              <w:rPr>
                <w:rFonts w:ascii="Calibri" w:hAnsi="Calibri"/>
                <w:sz w:val="18"/>
              </w:rPr>
              <w:t>115.00 Cr</w:t>
            </w:r>
          </w:p>
        </w:tc>
        <w:tc>
          <w:tcPr>
            <w:tcW w:type="dxa" w:w="1440"/>
          </w:tcPr>
          <w:p>
            <w:pPr>
              <w:spacing w:before="40" w:after="40"/>
            </w:pPr>
            <w:r>
              <w:rPr>
                <w:rFonts w:ascii="Calibri" w:hAnsi="Calibri"/>
                <w:sz w:val="18"/>
              </w:rPr>
              <w:t>135.00 Cr</w:t>
            </w:r>
          </w:p>
        </w:tc>
        <w:tc>
          <w:tcPr>
            <w:tcW w:type="dxa" w:w="1440"/>
          </w:tcPr>
          <w:p>
            <w:pPr>
              <w:spacing w:before="40" w:after="40"/>
            </w:pPr>
            <w:r>
              <w:rPr>
                <w:rFonts w:ascii="Calibri" w:hAnsi="Calibri"/>
                <w:sz w:val="18"/>
              </w:rPr>
              <w:t>155.00 Cr</w:t>
            </w:r>
          </w:p>
        </w:tc>
        <w:tc>
          <w:tcPr>
            <w:tcW w:type="dxa" w:w="1440"/>
          </w:tcPr>
          <w:p>
            <w:pPr>
              <w:spacing w:before="40" w:after="40"/>
            </w:pPr>
            <w:r>
              <w:rPr>
                <w:rFonts w:ascii="Calibri" w:hAnsi="Calibri"/>
                <w:sz w:val="18"/>
              </w:rPr>
              <w:t>175.00 Cr</w:t>
            </w:r>
          </w:p>
        </w:tc>
      </w:tr>
      <w:tr>
        <w:tc>
          <w:tcPr>
            <w:tcW w:type="dxa" w:w="1440"/>
            <w:shd w:fill="E8F0FE"/>
          </w:tcPr>
          <w:p>
            <w:pPr>
              <w:spacing w:before="40" w:after="40"/>
            </w:pPr>
            <w:r>
              <w:rPr>
                <w:rFonts w:ascii="Calibri" w:hAnsi="Calibri"/>
                <w:b/>
                <w:sz w:val="18"/>
              </w:rPr>
              <w:t>EBITDA Margin (%)</w:t>
            </w:r>
          </w:p>
        </w:tc>
        <w:tc>
          <w:tcPr>
            <w:tcW w:type="dxa" w:w="1440"/>
            <w:shd w:fill="E8F0FE"/>
          </w:tcPr>
          <w:p>
            <w:pPr>
              <w:spacing w:before="40" w:after="40"/>
            </w:pPr>
            <w:r>
              <w:rPr>
                <w:rFonts w:ascii="Calibri" w:hAnsi="Calibri"/>
                <w:sz w:val="18"/>
              </w:rPr>
              <w:t>6.2%</w:t>
            </w:r>
          </w:p>
        </w:tc>
        <w:tc>
          <w:tcPr>
            <w:tcW w:type="dxa" w:w="1440"/>
            <w:shd w:fill="E8F0FE"/>
          </w:tcPr>
          <w:p>
            <w:pPr>
              <w:spacing w:before="40" w:after="40"/>
            </w:pPr>
            <w:r>
              <w:rPr>
                <w:rFonts w:ascii="Calibri" w:hAnsi="Calibri"/>
                <w:sz w:val="18"/>
              </w:rPr>
              <w:t>6.8%</w:t>
            </w:r>
          </w:p>
        </w:tc>
        <w:tc>
          <w:tcPr>
            <w:tcW w:type="dxa" w:w="1440"/>
            <w:shd w:fill="E8F0FE"/>
          </w:tcPr>
          <w:p>
            <w:pPr>
              <w:spacing w:before="40" w:after="40"/>
            </w:pPr>
            <w:r>
              <w:rPr>
                <w:rFonts w:ascii="Calibri" w:hAnsi="Calibri"/>
                <w:sz w:val="18"/>
              </w:rPr>
              <w:t>7.3%</w:t>
            </w:r>
          </w:p>
        </w:tc>
        <w:tc>
          <w:tcPr>
            <w:tcW w:type="dxa" w:w="1440"/>
            <w:shd w:fill="E8F0FE"/>
          </w:tcPr>
          <w:p>
            <w:pPr>
              <w:spacing w:before="40" w:after="40"/>
            </w:pPr>
            <w:r>
              <w:rPr>
                <w:rFonts w:ascii="Calibri" w:hAnsi="Calibri"/>
                <w:sz w:val="18"/>
              </w:rPr>
              <w:t>7.8%</w:t>
            </w:r>
          </w:p>
        </w:tc>
        <w:tc>
          <w:tcPr>
            <w:tcW w:type="dxa" w:w="1440"/>
            <w:shd w:fill="E8F0FE"/>
          </w:tcPr>
          <w:p>
            <w:pPr>
              <w:spacing w:before="40" w:after="40"/>
            </w:pPr>
            <w:r>
              <w:rPr>
                <w:rFonts w:ascii="Calibri" w:hAnsi="Calibri"/>
                <w:sz w:val="18"/>
              </w:rPr>
              <w:t>8.1%</w:t>
            </w:r>
          </w:p>
        </w:tc>
      </w:tr>
      <w:tr>
        <w:tc>
          <w:tcPr>
            <w:tcW w:type="dxa" w:w="1440"/>
          </w:tcPr>
          <w:p>
            <w:pPr>
              <w:spacing w:before="40" w:after="40"/>
            </w:pPr>
            <w:r>
              <w:rPr>
                <w:rFonts w:ascii="Calibri" w:hAnsi="Calibri"/>
                <w:b/>
                <w:sz w:val="18"/>
              </w:rPr>
              <w:t>Depreciation</w:t>
            </w:r>
          </w:p>
        </w:tc>
        <w:tc>
          <w:tcPr>
            <w:tcW w:type="dxa" w:w="1440"/>
          </w:tcPr>
          <w:p>
            <w:pPr>
              <w:spacing w:before="40" w:after="40"/>
            </w:pPr>
            <w:r>
              <w:rPr>
                <w:rFonts w:ascii="Calibri" w:hAnsi="Calibri"/>
                <w:sz w:val="18"/>
              </w:rPr>
              <w:t>32.88 Cr</w:t>
            </w:r>
          </w:p>
        </w:tc>
        <w:tc>
          <w:tcPr>
            <w:tcW w:type="dxa" w:w="1440"/>
          </w:tcPr>
          <w:p>
            <w:pPr>
              <w:spacing w:before="40" w:after="40"/>
            </w:pPr>
            <w:r>
              <w:rPr>
                <w:rFonts w:ascii="Calibri" w:hAnsi="Calibri"/>
                <w:sz w:val="18"/>
              </w:rPr>
              <w:t>34.00 Cr</w:t>
            </w:r>
          </w:p>
        </w:tc>
        <w:tc>
          <w:tcPr>
            <w:tcW w:type="dxa" w:w="1440"/>
          </w:tcPr>
          <w:p>
            <w:pPr>
              <w:spacing w:before="40" w:after="40"/>
            </w:pPr>
            <w:r>
              <w:rPr>
                <w:rFonts w:ascii="Calibri" w:hAnsi="Calibri"/>
                <w:sz w:val="18"/>
              </w:rPr>
              <w:t>35.00 Cr</w:t>
            </w:r>
          </w:p>
        </w:tc>
        <w:tc>
          <w:tcPr>
            <w:tcW w:type="dxa" w:w="1440"/>
          </w:tcPr>
          <w:p>
            <w:pPr>
              <w:spacing w:before="40" w:after="40"/>
            </w:pPr>
            <w:r>
              <w:rPr>
                <w:rFonts w:ascii="Calibri" w:hAnsi="Calibri"/>
                <w:sz w:val="18"/>
              </w:rPr>
              <w:t>36.00 Cr</w:t>
            </w:r>
          </w:p>
        </w:tc>
        <w:tc>
          <w:tcPr>
            <w:tcW w:type="dxa" w:w="1440"/>
          </w:tcPr>
          <w:p>
            <w:pPr>
              <w:spacing w:before="40" w:after="40"/>
            </w:pPr>
            <w:r>
              <w:rPr>
                <w:rFonts w:ascii="Calibri" w:hAnsi="Calibri"/>
                <w:sz w:val="18"/>
              </w:rPr>
              <w:t>37.00 Cr</w:t>
            </w:r>
          </w:p>
        </w:tc>
      </w:tr>
      <w:tr>
        <w:tc>
          <w:tcPr>
            <w:tcW w:type="dxa" w:w="1440"/>
            <w:shd w:fill="E8F0FE"/>
          </w:tcPr>
          <w:p>
            <w:pPr>
              <w:spacing w:before="40" w:after="40"/>
            </w:pPr>
            <w:r>
              <w:rPr>
                <w:rFonts w:ascii="Calibri" w:hAnsi="Calibri"/>
                <w:b/>
                <w:sz w:val="18"/>
              </w:rPr>
              <w:t>Finance Cost</w:t>
            </w:r>
          </w:p>
        </w:tc>
        <w:tc>
          <w:tcPr>
            <w:tcW w:type="dxa" w:w="1440"/>
            <w:shd w:fill="E8F0FE"/>
          </w:tcPr>
          <w:p>
            <w:pPr>
              <w:spacing w:before="40" w:after="40"/>
            </w:pPr>
            <w:r>
              <w:rPr>
                <w:rFonts w:ascii="Calibri" w:hAnsi="Calibri"/>
                <w:sz w:val="18"/>
              </w:rPr>
              <w:t>19.24 Cr</w:t>
            </w:r>
          </w:p>
        </w:tc>
        <w:tc>
          <w:tcPr>
            <w:tcW w:type="dxa" w:w="1440"/>
            <w:shd w:fill="E8F0FE"/>
          </w:tcPr>
          <w:p>
            <w:pPr>
              <w:spacing w:before="40" w:after="40"/>
            </w:pPr>
            <w:r>
              <w:rPr>
                <w:rFonts w:ascii="Calibri" w:hAnsi="Calibri"/>
                <w:sz w:val="18"/>
              </w:rPr>
              <w:t>18.00 Cr</w:t>
            </w:r>
          </w:p>
        </w:tc>
        <w:tc>
          <w:tcPr>
            <w:tcW w:type="dxa" w:w="1440"/>
            <w:shd w:fill="E8F0FE"/>
          </w:tcPr>
          <w:p>
            <w:pPr>
              <w:spacing w:before="40" w:after="40"/>
            </w:pPr>
            <w:r>
              <w:rPr>
                <w:rFonts w:ascii="Calibri" w:hAnsi="Calibri"/>
                <w:sz w:val="18"/>
              </w:rPr>
              <w:t>17.00 Cr</w:t>
            </w:r>
          </w:p>
        </w:tc>
        <w:tc>
          <w:tcPr>
            <w:tcW w:type="dxa" w:w="1440"/>
            <w:shd w:fill="E8F0FE"/>
          </w:tcPr>
          <w:p>
            <w:pPr>
              <w:spacing w:before="40" w:after="40"/>
            </w:pPr>
            <w:r>
              <w:rPr>
                <w:rFonts w:ascii="Calibri" w:hAnsi="Calibri"/>
                <w:sz w:val="18"/>
              </w:rPr>
              <w:t>16.00 Cr</w:t>
            </w:r>
          </w:p>
        </w:tc>
        <w:tc>
          <w:tcPr>
            <w:tcW w:type="dxa" w:w="1440"/>
            <w:shd w:fill="E8F0FE"/>
          </w:tcPr>
          <w:p>
            <w:pPr>
              <w:spacing w:before="40" w:after="40"/>
            </w:pPr>
            <w:r>
              <w:rPr>
                <w:rFonts w:ascii="Calibri" w:hAnsi="Calibri"/>
                <w:sz w:val="18"/>
              </w:rPr>
              <w:t>15.00 Cr</w:t>
            </w:r>
          </w:p>
        </w:tc>
      </w:tr>
      <w:tr>
        <w:tc>
          <w:tcPr>
            <w:tcW w:type="dxa" w:w="1440"/>
          </w:tcPr>
          <w:p>
            <w:pPr>
              <w:spacing w:before="40" w:after="40"/>
            </w:pPr>
            <w:r>
              <w:rPr>
                <w:rFonts w:ascii="Calibri" w:hAnsi="Calibri"/>
                <w:b/>
                <w:sz w:val="18"/>
              </w:rPr>
              <w:t>PBT (Operating)</w:t>
            </w:r>
          </w:p>
        </w:tc>
        <w:tc>
          <w:tcPr>
            <w:tcW w:type="dxa" w:w="1440"/>
          </w:tcPr>
          <w:p>
            <w:pPr>
              <w:spacing w:before="40" w:after="40"/>
            </w:pPr>
            <w:r>
              <w:rPr>
                <w:rFonts w:ascii="Calibri" w:hAnsi="Calibri"/>
                <w:sz w:val="18"/>
              </w:rPr>
              <w:t>47.99 Cr</w:t>
            </w:r>
          </w:p>
        </w:tc>
        <w:tc>
          <w:tcPr>
            <w:tcW w:type="dxa" w:w="1440"/>
          </w:tcPr>
          <w:p>
            <w:pPr>
              <w:spacing w:before="40" w:after="40"/>
            </w:pPr>
            <w:r>
              <w:rPr>
                <w:rFonts w:ascii="Calibri" w:hAnsi="Calibri"/>
                <w:sz w:val="18"/>
              </w:rPr>
              <w:t>63.00 Cr</w:t>
            </w:r>
          </w:p>
        </w:tc>
        <w:tc>
          <w:tcPr>
            <w:tcW w:type="dxa" w:w="1440"/>
          </w:tcPr>
          <w:p>
            <w:pPr>
              <w:spacing w:before="40" w:after="40"/>
            </w:pPr>
            <w:r>
              <w:rPr>
                <w:rFonts w:ascii="Calibri" w:hAnsi="Calibri"/>
                <w:sz w:val="18"/>
              </w:rPr>
              <w:t>83.00 Cr</w:t>
            </w:r>
          </w:p>
        </w:tc>
        <w:tc>
          <w:tcPr>
            <w:tcW w:type="dxa" w:w="1440"/>
          </w:tcPr>
          <w:p>
            <w:pPr>
              <w:spacing w:before="40" w:after="40"/>
            </w:pPr>
            <w:r>
              <w:rPr>
                <w:rFonts w:ascii="Calibri" w:hAnsi="Calibri"/>
                <w:sz w:val="18"/>
              </w:rPr>
              <w:t>103.00 Cr</w:t>
            </w:r>
          </w:p>
        </w:tc>
        <w:tc>
          <w:tcPr>
            <w:tcW w:type="dxa" w:w="1440"/>
          </w:tcPr>
          <w:p>
            <w:pPr>
              <w:spacing w:before="40" w:after="40"/>
            </w:pPr>
            <w:r>
              <w:rPr>
                <w:rFonts w:ascii="Calibri" w:hAnsi="Calibri"/>
                <w:sz w:val="18"/>
              </w:rPr>
              <w:t>123.00 Cr</w:t>
            </w:r>
          </w:p>
        </w:tc>
      </w:tr>
      <w:tr>
        <w:tc>
          <w:tcPr>
            <w:tcW w:type="dxa" w:w="1440"/>
            <w:shd w:fill="E8F0FE"/>
          </w:tcPr>
          <w:p>
            <w:pPr>
              <w:spacing w:before="40" w:after="40"/>
            </w:pPr>
            <w:r>
              <w:rPr>
                <w:rFonts w:ascii="Calibri" w:hAnsi="Calibri"/>
                <w:b/>
                <w:sz w:val="18"/>
              </w:rPr>
              <w:t>Tax</w:t>
            </w:r>
          </w:p>
        </w:tc>
        <w:tc>
          <w:tcPr>
            <w:tcW w:type="dxa" w:w="1440"/>
            <w:shd w:fill="E8F0FE"/>
          </w:tcPr>
          <w:p>
            <w:pPr>
              <w:spacing w:before="40" w:after="40"/>
            </w:pPr>
            <w:r>
              <w:rPr>
                <w:rFonts w:ascii="Calibri" w:hAnsi="Calibri"/>
                <w:sz w:val="18"/>
              </w:rPr>
              <w:t>110.72 Cr</w:t>
            </w:r>
          </w:p>
        </w:tc>
        <w:tc>
          <w:tcPr>
            <w:tcW w:type="dxa" w:w="1440"/>
            <w:shd w:fill="E8F0FE"/>
          </w:tcPr>
          <w:p>
            <w:pPr>
              <w:spacing w:before="40" w:after="40"/>
            </w:pPr>
            <w:r>
              <w:rPr>
                <w:rFonts w:ascii="Calibri" w:hAnsi="Calibri"/>
                <w:sz w:val="18"/>
              </w:rPr>
              <w:t>25.00 Cr</w:t>
            </w:r>
          </w:p>
        </w:tc>
        <w:tc>
          <w:tcPr>
            <w:tcW w:type="dxa" w:w="1440"/>
            <w:shd w:fill="E8F0FE"/>
          </w:tcPr>
          <w:p>
            <w:pPr>
              <w:spacing w:before="40" w:after="40"/>
            </w:pPr>
            <w:r>
              <w:rPr>
                <w:rFonts w:ascii="Calibri" w:hAnsi="Calibri"/>
                <w:sz w:val="18"/>
              </w:rPr>
              <w:t>30.00 Cr</w:t>
            </w:r>
          </w:p>
        </w:tc>
        <w:tc>
          <w:tcPr>
            <w:tcW w:type="dxa" w:w="1440"/>
            <w:shd w:fill="E8F0FE"/>
          </w:tcPr>
          <w:p>
            <w:pPr>
              <w:spacing w:before="40" w:after="40"/>
            </w:pPr>
            <w:r>
              <w:rPr>
                <w:rFonts w:ascii="Calibri" w:hAnsi="Calibri"/>
                <w:sz w:val="18"/>
              </w:rPr>
              <w:t>35.00 Cr</w:t>
            </w:r>
          </w:p>
        </w:tc>
        <w:tc>
          <w:tcPr>
            <w:tcW w:type="dxa" w:w="1440"/>
            <w:shd w:fill="E8F0FE"/>
          </w:tcPr>
          <w:p>
            <w:pPr>
              <w:spacing w:before="40" w:after="40"/>
            </w:pPr>
            <w:r>
              <w:rPr>
                <w:rFonts w:ascii="Calibri" w:hAnsi="Calibri"/>
                <w:sz w:val="18"/>
              </w:rPr>
              <w:t>40.00 Cr</w:t>
            </w:r>
          </w:p>
        </w:tc>
      </w:tr>
      <w:tr>
        <w:tc>
          <w:tcPr>
            <w:tcW w:type="dxa" w:w="1440"/>
          </w:tcPr>
          <w:p>
            <w:pPr>
              <w:spacing w:before="40" w:after="40"/>
            </w:pPr>
            <w:r>
              <w:rPr>
                <w:rFonts w:ascii="Calibri" w:hAnsi="Calibri"/>
                <w:b/>
                <w:sz w:val="18"/>
              </w:rPr>
              <w:t>PAT (Operating)</w:t>
            </w:r>
          </w:p>
        </w:tc>
        <w:tc>
          <w:tcPr>
            <w:tcW w:type="dxa" w:w="1440"/>
          </w:tcPr>
          <w:p>
            <w:pPr>
              <w:spacing w:before="40" w:after="40"/>
            </w:pPr>
            <w:r>
              <w:rPr>
                <w:rFonts w:ascii="Calibri" w:hAnsi="Calibri"/>
                <w:sz w:val="18"/>
              </w:rPr>
              <w:t>489.83 Cr</w:t>
            </w:r>
          </w:p>
        </w:tc>
        <w:tc>
          <w:tcPr>
            <w:tcW w:type="dxa" w:w="1440"/>
          </w:tcPr>
          <w:p>
            <w:pPr>
              <w:spacing w:before="40" w:after="40"/>
            </w:pPr>
            <w:r>
              <w:rPr>
                <w:rFonts w:ascii="Calibri" w:hAnsi="Calibri"/>
                <w:sz w:val="18"/>
              </w:rPr>
              <w:t>93.00 Cr</w:t>
            </w:r>
          </w:p>
        </w:tc>
        <w:tc>
          <w:tcPr>
            <w:tcW w:type="dxa" w:w="1440"/>
          </w:tcPr>
          <w:p>
            <w:pPr>
              <w:spacing w:before="40" w:after="40"/>
            </w:pPr>
            <w:r>
              <w:rPr>
                <w:rFonts w:ascii="Calibri" w:hAnsi="Calibri"/>
                <w:sz w:val="18"/>
              </w:rPr>
              <w:t>108.00 Cr</w:t>
            </w:r>
          </w:p>
        </w:tc>
        <w:tc>
          <w:tcPr>
            <w:tcW w:type="dxa" w:w="1440"/>
          </w:tcPr>
          <w:p>
            <w:pPr>
              <w:spacing w:before="40" w:after="40"/>
            </w:pPr>
            <w:r>
              <w:rPr>
                <w:rFonts w:ascii="Calibri" w:hAnsi="Calibri"/>
                <w:sz w:val="18"/>
              </w:rPr>
              <w:t>125.00 Cr</w:t>
            </w:r>
          </w:p>
        </w:tc>
        <w:tc>
          <w:tcPr>
            <w:tcW w:type="dxa" w:w="1440"/>
          </w:tcPr>
          <w:p>
            <w:pPr>
              <w:spacing w:before="40" w:after="40"/>
            </w:pPr>
            <w:r>
              <w:rPr>
                <w:rFonts w:ascii="Calibri" w:hAnsi="Calibri"/>
                <w:sz w:val="18"/>
              </w:rPr>
              <w:t>145.00 Cr</w:t>
            </w:r>
          </w:p>
        </w:tc>
      </w:tr>
      <w:tr>
        <w:tc>
          <w:tcPr>
            <w:tcW w:type="dxa" w:w="1440"/>
            <w:shd w:fill="E8F0FE"/>
          </w:tcPr>
          <w:p>
            <w:pPr>
              <w:spacing w:before="40" w:after="40"/>
            </w:pPr>
            <w:r>
              <w:rPr>
                <w:rFonts w:ascii="Calibri" w:hAnsi="Calibri"/>
                <w:b/>
                <w:sz w:val="18"/>
              </w:rPr>
              <w:t>EPS (Operating)</w:t>
            </w:r>
          </w:p>
        </w:tc>
        <w:tc>
          <w:tcPr>
            <w:tcW w:type="dxa" w:w="1440"/>
            <w:shd w:fill="E8F0FE"/>
          </w:tcPr>
          <w:p>
            <w:pPr>
              <w:spacing w:before="40" w:after="40"/>
            </w:pPr>
            <w:r>
              <w:rPr>
                <w:rFonts w:ascii="Calibri" w:hAnsi="Calibri"/>
                <w:sz w:val="18"/>
              </w:rPr>
              <w:t>23.72</w:t>
            </w:r>
          </w:p>
        </w:tc>
        <w:tc>
          <w:tcPr>
            <w:tcW w:type="dxa" w:w="1440"/>
            <w:shd w:fill="E8F0FE"/>
          </w:tcPr>
          <w:p>
            <w:pPr>
              <w:spacing w:before="40" w:after="40"/>
            </w:pPr>
            <w:r>
              <w:rPr>
                <w:rFonts w:ascii="Calibri" w:hAnsi="Calibri"/>
                <w:sz w:val="18"/>
              </w:rPr>
              <w:t>4.50</w:t>
            </w:r>
          </w:p>
        </w:tc>
        <w:tc>
          <w:tcPr>
            <w:tcW w:type="dxa" w:w="1440"/>
            <w:shd w:fill="E8F0FE"/>
          </w:tcPr>
          <w:p>
            <w:pPr>
              <w:spacing w:before="40" w:after="40"/>
            </w:pPr>
            <w:r>
              <w:rPr>
                <w:rFonts w:ascii="Calibri" w:hAnsi="Calibri"/>
                <w:sz w:val="18"/>
              </w:rPr>
              <w:t>5.23</w:t>
            </w:r>
          </w:p>
        </w:tc>
        <w:tc>
          <w:tcPr>
            <w:tcW w:type="dxa" w:w="1440"/>
            <w:shd w:fill="E8F0FE"/>
          </w:tcPr>
          <w:p>
            <w:pPr>
              <w:spacing w:before="40" w:after="40"/>
            </w:pPr>
            <w:r>
              <w:rPr>
                <w:rFonts w:ascii="Calibri" w:hAnsi="Calibri"/>
                <w:sz w:val="18"/>
              </w:rPr>
              <w:t>6.05</w:t>
            </w:r>
          </w:p>
        </w:tc>
        <w:tc>
          <w:tcPr>
            <w:tcW w:type="dxa" w:w="1440"/>
            <w:shd w:fill="E8F0FE"/>
          </w:tcPr>
          <w:p>
            <w:pPr>
              <w:spacing w:before="40" w:after="40"/>
            </w:pPr>
            <w:r>
              <w:rPr>
                <w:rFonts w:ascii="Calibri" w:hAnsi="Calibri"/>
                <w:sz w:val="18"/>
              </w:rPr>
              <w:t>7.02</w:t>
            </w:r>
          </w:p>
        </w:tc>
      </w:tr>
    </w:tbl>
    <w:p/>
    <w:p>
      <w:pPr>
        <w:spacing w:after="80"/>
      </w:pPr>
      <w:r>
        <w:rPr>
          <w:rFonts w:ascii="Calibri" w:hAnsi="Calibri"/>
          <w:color w:val="333333"/>
          <w:sz w:val="20"/>
        </w:rPr>
        <w:t>The company's cash flow from operations has been positively impacted by improved working capital management and the operational turnaround in the polyester segment. The significant cash generated from investing activities, primarily from the sale of land, has been strategically reinvested in financial instruments, enhancing the company's liquidity and investment portfolio. Financing activities have been minimal, reflecting the company's debt-free status.</w:t>
      </w:r>
    </w:p>
    <w:p>
      <w:pPr>
        <w:pStyle w:val="Heading2"/>
      </w:pPr>
      <w:r>
        <w:rPr>
          <w:rFonts w:ascii="Calibri" w:hAnsi="Calibri"/>
          <w:color w:val="1F5F8B"/>
          <w:sz w:val="26"/>
        </w:rPr>
        <w:t>3.1 Consolidated Profit &amp; Loss Statement (Rs. in Crores)</w:t>
      </w:r>
    </w:p>
    <w:p>
      <w:pPr>
        <w:spacing w:after="80"/>
      </w:pPr>
      <w:r>
        <w:rPr>
          <w:rFonts w:ascii="Calibri" w:hAnsi="Calibri"/>
          <w:color w:val="333333"/>
          <w:sz w:val="20"/>
        </w:rPr>
        <w:t>(Source: Screener.in)</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665"/>
        <w:gridCol w:w="665"/>
        <w:gridCol w:w="665"/>
        <w:gridCol w:w="665"/>
        <w:gridCol w:w="665"/>
        <w:gridCol w:w="665"/>
        <w:gridCol w:w="665"/>
        <w:gridCol w:w="665"/>
        <w:gridCol w:w="665"/>
        <w:gridCol w:w="665"/>
        <w:gridCol w:w="665"/>
        <w:gridCol w:w="665"/>
        <w:gridCol w:w="665"/>
      </w:tblGrid>
      <w:tr>
        <w:tc>
          <w:tcPr>
            <w:tcW w:type="dxa" w:w="665"/>
            <w:shd w:fill="1F5F8B"/>
          </w:tcPr>
          <w:p>
            <w:pPr>
              <w:spacing w:before="40" w:after="40"/>
            </w:pPr>
            <w:r>
              <w:rPr>
                <w:rFonts w:ascii="Calibri" w:hAnsi="Calibri"/>
                <w:b/>
                <w:color w:val="FFFFFF"/>
                <w:sz w:val="18"/>
              </w:rPr>
            </w:r>
          </w:p>
        </w:tc>
        <w:tc>
          <w:tcPr>
            <w:tcW w:type="dxa" w:w="665"/>
            <w:shd w:fill="1F5F8B"/>
          </w:tcPr>
          <w:p>
            <w:pPr>
              <w:spacing w:before="40" w:after="40"/>
            </w:pPr>
            <w:r>
              <w:rPr>
                <w:rFonts w:ascii="Calibri" w:hAnsi="Calibri"/>
                <w:b/>
                <w:color w:val="FFFFFF"/>
                <w:sz w:val="18"/>
              </w:rPr>
              <w:t>Mar 2015</w:t>
            </w:r>
          </w:p>
        </w:tc>
        <w:tc>
          <w:tcPr>
            <w:tcW w:type="dxa" w:w="665"/>
            <w:shd w:fill="1F5F8B"/>
          </w:tcPr>
          <w:p>
            <w:pPr>
              <w:spacing w:before="40" w:after="40"/>
            </w:pPr>
            <w:r>
              <w:rPr>
                <w:rFonts w:ascii="Calibri" w:hAnsi="Calibri"/>
                <w:b/>
                <w:color w:val="FFFFFF"/>
                <w:sz w:val="18"/>
              </w:rPr>
              <w:t>Mar 2016</w:t>
            </w:r>
          </w:p>
        </w:tc>
        <w:tc>
          <w:tcPr>
            <w:tcW w:type="dxa" w:w="665"/>
            <w:shd w:fill="1F5F8B"/>
          </w:tcPr>
          <w:p>
            <w:pPr>
              <w:spacing w:before="40" w:after="40"/>
            </w:pPr>
            <w:r>
              <w:rPr>
                <w:rFonts w:ascii="Calibri" w:hAnsi="Calibri"/>
                <w:b/>
                <w:color w:val="FFFFFF"/>
                <w:sz w:val="18"/>
              </w:rPr>
              <w:t>Mar 2017</w:t>
            </w:r>
          </w:p>
        </w:tc>
        <w:tc>
          <w:tcPr>
            <w:tcW w:type="dxa" w:w="665"/>
            <w:shd w:fill="1F5F8B"/>
          </w:tcPr>
          <w:p>
            <w:pPr>
              <w:spacing w:before="40" w:after="40"/>
            </w:pPr>
            <w:r>
              <w:rPr>
                <w:rFonts w:ascii="Calibri" w:hAnsi="Calibri"/>
                <w:b/>
                <w:color w:val="FFFFFF"/>
                <w:sz w:val="18"/>
              </w:rPr>
              <w:t>Mar 2018</w:t>
            </w:r>
          </w:p>
        </w:tc>
        <w:tc>
          <w:tcPr>
            <w:tcW w:type="dxa" w:w="665"/>
            <w:shd w:fill="1F5F8B"/>
          </w:tcPr>
          <w:p>
            <w:pPr>
              <w:spacing w:before="40" w:after="40"/>
            </w:pPr>
            <w:r>
              <w:rPr>
                <w:rFonts w:ascii="Calibri" w:hAnsi="Calibri"/>
                <w:b/>
                <w:color w:val="FFFFFF"/>
                <w:sz w:val="18"/>
              </w:rPr>
              <w:t>Mar 2019</w:t>
            </w:r>
          </w:p>
        </w:tc>
        <w:tc>
          <w:tcPr>
            <w:tcW w:type="dxa" w:w="665"/>
            <w:shd w:fill="1F5F8B"/>
          </w:tcPr>
          <w:p>
            <w:pPr>
              <w:spacing w:before="40" w:after="40"/>
            </w:pPr>
            <w:r>
              <w:rPr>
                <w:rFonts w:ascii="Calibri" w:hAnsi="Calibri"/>
                <w:b/>
                <w:color w:val="FFFFFF"/>
                <w:sz w:val="18"/>
              </w:rPr>
              <w:t>Mar 2020</w:t>
            </w:r>
          </w:p>
        </w:tc>
        <w:tc>
          <w:tcPr>
            <w:tcW w:type="dxa" w:w="665"/>
            <w:shd w:fill="1F5F8B"/>
          </w:tcPr>
          <w:p>
            <w:pPr>
              <w:spacing w:before="40" w:after="40"/>
            </w:pPr>
            <w:r>
              <w:rPr>
                <w:rFonts w:ascii="Calibri" w:hAnsi="Calibri"/>
                <w:b/>
                <w:color w:val="FFFFFF"/>
                <w:sz w:val="18"/>
              </w:rPr>
              <w:t>Mar 2021</w:t>
            </w:r>
          </w:p>
        </w:tc>
        <w:tc>
          <w:tcPr>
            <w:tcW w:type="dxa" w:w="665"/>
            <w:shd w:fill="1F5F8B"/>
          </w:tcPr>
          <w:p>
            <w:pPr>
              <w:spacing w:before="40" w:after="40"/>
            </w:pPr>
            <w:r>
              <w:rPr>
                <w:rFonts w:ascii="Calibri" w:hAnsi="Calibri"/>
                <w:b/>
                <w:color w:val="FFFFFF"/>
                <w:sz w:val="18"/>
              </w:rPr>
              <w:t>Mar 2022</w:t>
            </w:r>
          </w:p>
        </w:tc>
        <w:tc>
          <w:tcPr>
            <w:tcW w:type="dxa" w:w="665"/>
            <w:shd w:fill="1F5F8B"/>
          </w:tcPr>
          <w:p>
            <w:pPr>
              <w:spacing w:before="40" w:after="40"/>
            </w:pPr>
            <w:r>
              <w:rPr>
                <w:rFonts w:ascii="Calibri" w:hAnsi="Calibri"/>
                <w:b/>
                <w:color w:val="FFFFFF"/>
                <w:sz w:val="18"/>
              </w:rPr>
              <w:t>Mar 2023</w:t>
            </w:r>
          </w:p>
        </w:tc>
        <w:tc>
          <w:tcPr>
            <w:tcW w:type="dxa" w:w="665"/>
            <w:shd w:fill="1F5F8B"/>
          </w:tcPr>
          <w:p>
            <w:pPr>
              <w:spacing w:before="40" w:after="40"/>
            </w:pPr>
            <w:r>
              <w:rPr>
                <w:rFonts w:ascii="Calibri" w:hAnsi="Calibri"/>
                <w:b/>
                <w:color w:val="FFFFFF"/>
                <w:sz w:val="18"/>
              </w:rPr>
              <w:t>Mar 2024</w:t>
            </w:r>
          </w:p>
        </w:tc>
        <w:tc>
          <w:tcPr>
            <w:tcW w:type="dxa" w:w="665"/>
            <w:shd w:fill="1F5F8B"/>
          </w:tcPr>
          <w:p>
            <w:pPr>
              <w:spacing w:before="40" w:after="40"/>
            </w:pPr>
            <w:r>
              <w:rPr>
                <w:rFonts w:ascii="Calibri" w:hAnsi="Calibri"/>
                <w:b/>
                <w:color w:val="FFFFFF"/>
                <w:sz w:val="18"/>
              </w:rPr>
              <w:t>Mar 2025</w:t>
            </w:r>
          </w:p>
        </w:tc>
        <w:tc>
          <w:tcPr>
            <w:tcW w:type="dxa" w:w="665"/>
            <w:shd w:fill="1F5F8B"/>
          </w:tcPr>
          <w:p>
            <w:pPr>
              <w:spacing w:before="40" w:after="40"/>
            </w:pPr>
            <w:r>
              <w:rPr>
                <w:rFonts w:ascii="Calibri" w:hAnsi="Calibri"/>
                <w:b/>
                <w:color w:val="FFFFFF"/>
                <w:sz w:val="18"/>
              </w:rPr>
              <w:t>TTM</w:t>
            </w:r>
          </w:p>
        </w:tc>
      </w:tr>
      <w:tr>
        <w:tc>
          <w:tcPr>
            <w:tcW w:type="dxa" w:w="665"/>
          </w:tcPr>
          <w:p>
            <w:pPr>
              <w:spacing w:before="40" w:after="40"/>
            </w:pPr>
            <w:r>
              <w:rPr>
                <w:rFonts w:ascii="Calibri" w:hAnsi="Calibri"/>
                <w:b/>
                <w:sz w:val="18"/>
              </w:rPr>
              <w:t>Sales+</w:t>
            </w:r>
          </w:p>
        </w:tc>
        <w:tc>
          <w:tcPr>
            <w:tcW w:type="dxa" w:w="665"/>
          </w:tcPr>
          <w:p>
            <w:pPr>
              <w:spacing w:before="40" w:after="40"/>
            </w:pPr>
            <w:r>
              <w:rPr>
                <w:rFonts w:ascii="Calibri" w:hAnsi="Calibri"/>
                <w:sz w:val="18"/>
              </w:rPr>
              <w:t>2,385</w:t>
            </w:r>
          </w:p>
        </w:tc>
        <w:tc>
          <w:tcPr>
            <w:tcW w:type="dxa" w:w="665"/>
          </w:tcPr>
          <w:p>
            <w:pPr>
              <w:spacing w:before="40" w:after="40"/>
            </w:pPr>
            <w:r>
              <w:rPr>
                <w:rFonts w:ascii="Calibri" w:hAnsi="Calibri"/>
                <w:sz w:val="18"/>
              </w:rPr>
              <w:t>1,848</w:t>
            </w:r>
          </w:p>
        </w:tc>
        <w:tc>
          <w:tcPr>
            <w:tcW w:type="dxa" w:w="665"/>
          </w:tcPr>
          <w:p>
            <w:pPr>
              <w:spacing w:before="40" w:after="40"/>
            </w:pPr>
            <w:r>
              <w:rPr>
                <w:rFonts w:ascii="Calibri" w:hAnsi="Calibri"/>
                <w:sz w:val="18"/>
              </w:rPr>
              <w:t>1,924</w:t>
            </w:r>
          </w:p>
        </w:tc>
        <w:tc>
          <w:tcPr>
            <w:tcW w:type="dxa" w:w="665"/>
          </w:tcPr>
          <w:p>
            <w:pPr>
              <w:spacing w:before="40" w:after="40"/>
            </w:pPr>
            <w:r>
              <w:rPr>
                <w:rFonts w:ascii="Calibri" w:hAnsi="Calibri"/>
                <w:sz w:val="18"/>
              </w:rPr>
              <w:t>2,662</w:t>
            </w:r>
          </w:p>
        </w:tc>
        <w:tc>
          <w:tcPr>
            <w:tcW w:type="dxa" w:w="665"/>
          </w:tcPr>
          <w:p>
            <w:pPr>
              <w:spacing w:before="40" w:after="40"/>
            </w:pPr>
            <w:r>
              <w:rPr>
                <w:rFonts w:ascii="Calibri" w:hAnsi="Calibri"/>
                <w:sz w:val="18"/>
              </w:rPr>
              <w:t>4,430</w:t>
            </w:r>
          </w:p>
        </w:tc>
        <w:tc>
          <w:tcPr>
            <w:tcW w:type="dxa" w:w="665"/>
          </w:tcPr>
          <w:p>
            <w:pPr>
              <w:spacing w:before="40" w:after="40"/>
            </w:pPr>
            <w:r>
              <w:rPr>
                <w:rFonts w:ascii="Calibri" w:hAnsi="Calibri"/>
                <w:sz w:val="18"/>
              </w:rPr>
              <w:t>1,895</w:t>
            </w:r>
          </w:p>
        </w:tc>
        <w:tc>
          <w:tcPr>
            <w:tcW w:type="dxa" w:w="665"/>
          </w:tcPr>
          <w:p>
            <w:pPr>
              <w:spacing w:before="40" w:after="40"/>
            </w:pPr>
            <w:r>
              <w:rPr>
                <w:rFonts w:ascii="Calibri" w:hAnsi="Calibri"/>
                <w:sz w:val="18"/>
              </w:rPr>
              <w:t>1,193</w:t>
            </w:r>
          </w:p>
        </w:tc>
        <w:tc>
          <w:tcPr>
            <w:tcW w:type="dxa" w:w="665"/>
          </w:tcPr>
          <w:p>
            <w:pPr>
              <w:spacing w:before="40" w:after="40"/>
            </w:pPr>
            <w:r>
              <w:rPr>
                <w:rFonts w:ascii="Calibri" w:hAnsi="Calibri"/>
                <w:sz w:val="18"/>
              </w:rPr>
              <w:t>2,001</w:t>
            </w:r>
          </w:p>
        </w:tc>
        <w:tc>
          <w:tcPr>
            <w:tcW w:type="dxa" w:w="665"/>
          </w:tcPr>
          <w:p>
            <w:pPr>
              <w:spacing w:before="40" w:after="40"/>
            </w:pPr>
            <w:r>
              <w:rPr>
                <w:rFonts w:ascii="Calibri" w:hAnsi="Calibri"/>
                <w:sz w:val="18"/>
              </w:rPr>
              <w:t>2,674</w:t>
            </w:r>
          </w:p>
        </w:tc>
        <w:tc>
          <w:tcPr>
            <w:tcW w:type="dxa" w:w="665"/>
          </w:tcPr>
          <w:p>
            <w:pPr>
              <w:spacing w:before="40" w:after="40"/>
            </w:pPr>
            <w:r>
              <w:rPr>
                <w:rFonts w:ascii="Calibri" w:hAnsi="Calibri"/>
                <w:sz w:val="18"/>
              </w:rPr>
              <w:t>1,688</w:t>
            </w:r>
          </w:p>
        </w:tc>
        <w:tc>
          <w:tcPr>
            <w:tcW w:type="dxa" w:w="665"/>
          </w:tcPr>
          <w:p>
            <w:pPr>
              <w:spacing w:before="40" w:after="40"/>
            </w:pPr>
            <w:r>
              <w:rPr>
                <w:rFonts w:ascii="Calibri" w:hAnsi="Calibri"/>
                <w:sz w:val="18"/>
              </w:rPr>
              <w:t>1,605</w:t>
            </w:r>
          </w:p>
        </w:tc>
        <w:tc>
          <w:tcPr>
            <w:tcW w:type="dxa" w:w="665"/>
          </w:tcPr>
          <w:p>
            <w:pPr>
              <w:spacing w:before="40" w:after="40"/>
            </w:pPr>
            <w:r>
              <w:rPr>
                <w:rFonts w:ascii="Calibri" w:hAnsi="Calibri"/>
                <w:sz w:val="18"/>
              </w:rPr>
              <w:t>1,424</w:t>
            </w:r>
          </w:p>
        </w:tc>
      </w:tr>
      <w:tr>
        <w:tc>
          <w:tcPr>
            <w:tcW w:type="dxa" w:w="665"/>
            <w:shd w:fill="E8F0FE"/>
          </w:tcPr>
          <w:p>
            <w:pPr>
              <w:spacing w:before="40" w:after="40"/>
            </w:pPr>
            <w:r>
              <w:rPr>
                <w:rFonts w:ascii="Calibri" w:hAnsi="Calibri"/>
                <w:b/>
                <w:sz w:val="18"/>
              </w:rPr>
              <w:t>Expenses+</w:t>
            </w:r>
          </w:p>
        </w:tc>
        <w:tc>
          <w:tcPr>
            <w:tcW w:type="dxa" w:w="665"/>
            <w:shd w:fill="E8F0FE"/>
          </w:tcPr>
          <w:p>
            <w:pPr>
              <w:spacing w:before="40" w:after="40"/>
            </w:pPr>
            <w:r>
              <w:rPr>
                <w:rFonts w:ascii="Calibri" w:hAnsi="Calibri"/>
                <w:sz w:val="18"/>
              </w:rPr>
              <w:t>2,132</w:t>
            </w:r>
          </w:p>
        </w:tc>
        <w:tc>
          <w:tcPr>
            <w:tcW w:type="dxa" w:w="665"/>
            <w:shd w:fill="E8F0FE"/>
          </w:tcPr>
          <w:p>
            <w:pPr>
              <w:spacing w:before="40" w:after="40"/>
            </w:pPr>
            <w:r>
              <w:rPr>
                <w:rFonts w:ascii="Calibri" w:hAnsi="Calibri"/>
                <w:sz w:val="18"/>
              </w:rPr>
              <w:t>1,660</w:t>
            </w:r>
          </w:p>
        </w:tc>
        <w:tc>
          <w:tcPr>
            <w:tcW w:type="dxa" w:w="665"/>
            <w:shd w:fill="E8F0FE"/>
          </w:tcPr>
          <w:p>
            <w:pPr>
              <w:spacing w:before="40" w:after="40"/>
            </w:pPr>
            <w:r>
              <w:rPr>
                <w:rFonts w:ascii="Calibri" w:hAnsi="Calibri"/>
                <w:sz w:val="18"/>
              </w:rPr>
              <w:t>1,647</w:t>
            </w:r>
          </w:p>
        </w:tc>
        <w:tc>
          <w:tcPr>
            <w:tcW w:type="dxa" w:w="665"/>
            <w:shd w:fill="E8F0FE"/>
          </w:tcPr>
          <w:p>
            <w:pPr>
              <w:spacing w:before="40" w:after="40"/>
            </w:pPr>
            <w:r>
              <w:rPr>
                <w:rFonts w:ascii="Calibri" w:hAnsi="Calibri"/>
                <w:sz w:val="18"/>
              </w:rPr>
              <w:t>2,077</w:t>
            </w:r>
          </w:p>
        </w:tc>
        <w:tc>
          <w:tcPr>
            <w:tcW w:type="dxa" w:w="665"/>
            <w:shd w:fill="E8F0FE"/>
          </w:tcPr>
          <w:p>
            <w:pPr>
              <w:spacing w:before="40" w:after="40"/>
            </w:pPr>
            <w:r>
              <w:rPr>
                <w:rFonts w:ascii="Calibri" w:hAnsi="Calibri"/>
                <w:sz w:val="18"/>
              </w:rPr>
              <w:t>2,722</w:t>
            </w:r>
          </w:p>
        </w:tc>
        <w:tc>
          <w:tcPr>
            <w:tcW w:type="dxa" w:w="665"/>
            <w:shd w:fill="E8F0FE"/>
          </w:tcPr>
          <w:p>
            <w:pPr>
              <w:spacing w:before="40" w:after="40"/>
            </w:pPr>
            <w:r>
              <w:rPr>
                <w:rFonts w:ascii="Calibri" w:hAnsi="Calibri"/>
                <w:sz w:val="18"/>
              </w:rPr>
              <w:t>1,566</w:t>
            </w:r>
          </w:p>
        </w:tc>
        <w:tc>
          <w:tcPr>
            <w:tcW w:type="dxa" w:w="665"/>
            <w:shd w:fill="E8F0FE"/>
          </w:tcPr>
          <w:p>
            <w:pPr>
              <w:spacing w:before="40" w:after="40"/>
            </w:pPr>
            <w:r>
              <w:rPr>
                <w:rFonts w:ascii="Calibri" w:hAnsi="Calibri"/>
                <w:sz w:val="18"/>
              </w:rPr>
              <w:t>1,167</w:t>
            </w:r>
          </w:p>
        </w:tc>
        <w:tc>
          <w:tcPr>
            <w:tcW w:type="dxa" w:w="665"/>
            <w:shd w:fill="E8F0FE"/>
          </w:tcPr>
          <w:p>
            <w:pPr>
              <w:spacing w:before="40" w:after="40"/>
            </w:pPr>
            <w:r>
              <w:rPr>
                <w:rFonts w:ascii="Calibri" w:hAnsi="Calibri"/>
                <w:sz w:val="18"/>
              </w:rPr>
              <w:t>1,850</w:t>
            </w:r>
          </w:p>
        </w:tc>
        <w:tc>
          <w:tcPr>
            <w:tcW w:type="dxa" w:w="665"/>
            <w:shd w:fill="E8F0FE"/>
          </w:tcPr>
          <w:p>
            <w:pPr>
              <w:spacing w:before="40" w:after="40"/>
            </w:pPr>
            <w:r>
              <w:rPr>
                <w:rFonts w:ascii="Calibri" w:hAnsi="Calibri"/>
                <w:sz w:val="18"/>
              </w:rPr>
              <w:t>2,708</w:t>
            </w:r>
          </w:p>
        </w:tc>
        <w:tc>
          <w:tcPr>
            <w:tcW w:type="dxa" w:w="665"/>
            <w:shd w:fill="E8F0FE"/>
          </w:tcPr>
          <w:p>
            <w:pPr>
              <w:spacing w:before="40" w:after="40"/>
            </w:pPr>
            <w:r>
              <w:rPr>
                <w:rFonts w:ascii="Calibri" w:hAnsi="Calibri"/>
                <w:sz w:val="18"/>
              </w:rPr>
              <w:t>1,737</w:t>
            </w:r>
          </w:p>
        </w:tc>
        <w:tc>
          <w:tcPr>
            <w:tcW w:type="dxa" w:w="665"/>
            <w:shd w:fill="E8F0FE"/>
          </w:tcPr>
          <w:p>
            <w:pPr>
              <w:spacing w:before="40" w:after="40"/>
            </w:pPr>
            <w:r>
              <w:rPr>
                <w:rFonts w:ascii="Calibri" w:hAnsi="Calibri"/>
                <w:sz w:val="18"/>
              </w:rPr>
              <w:t>1,632</w:t>
            </w:r>
          </w:p>
        </w:tc>
        <w:tc>
          <w:tcPr>
            <w:tcW w:type="dxa" w:w="665"/>
            <w:shd w:fill="E8F0FE"/>
          </w:tcPr>
          <w:p>
            <w:pPr>
              <w:spacing w:before="40" w:after="40"/>
            </w:pPr>
            <w:r>
              <w:rPr>
                <w:rFonts w:ascii="Calibri" w:hAnsi="Calibri"/>
                <w:sz w:val="18"/>
              </w:rPr>
              <w:t>1,491</w:t>
            </w:r>
          </w:p>
        </w:tc>
      </w:tr>
      <w:tr>
        <w:tc>
          <w:tcPr>
            <w:tcW w:type="dxa" w:w="665"/>
          </w:tcPr>
          <w:p>
            <w:pPr>
              <w:spacing w:before="40" w:after="40"/>
            </w:pPr>
            <w:r>
              <w:rPr>
                <w:rFonts w:ascii="Calibri" w:hAnsi="Calibri"/>
                <w:b/>
                <w:sz w:val="18"/>
              </w:rPr>
              <w:t>Operating Profit</w:t>
            </w:r>
          </w:p>
        </w:tc>
        <w:tc>
          <w:tcPr>
            <w:tcW w:type="dxa" w:w="665"/>
          </w:tcPr>
          <w:p>
            <w:pPr>
              <w:spacing w:before="40" w:after="40"/>
            </w:pPr>
            <w:r>
              <w:rPr>
                <w:rFonts w:ascii="Calibri" w:hAnsi="Calibri"/>
                <w:sz w:val="18"/>
              </w:rPr>
              <w:t>253</w:t>
            </w:r>
          </w:p>
        </w:tc>
        <w:tc>
          <w:tcPr>
            <w:tcW w:type="dxa" w:w="665"/>
          </w:tcPr>
          <w:p>
            <w:pPr>
              <w:spacing w:before="40" w:after="40"/>
            </w:pPr>
            <w:r>
              <w:rPr>
                <w:rFonts w:ascii="Calibri" w:hAnsi="Calibri"/>
                <w:sz w:val="18"/>
              </w:rPr>
              <w:t>187</w:t>
            </w:r>
          </w:p>
        </w:tc>
        <w:tc>
          <w:tcPr>
            <w:tcW w:type="dxa" w:w="665"/>
          </w:tcPr>
          <w:p>
            <w:pPr>
              <w:spacing w:before="40" w:after="40"/>
            </w:pPr>
            <w:r>
              <w:rPr>
                <w:rFonts w:ascii="Calibri" w:hAnsi="Calibri"/>
                <w:sz w:val="18"/>
              </w:rPr>
              <w:t>276</w:t>
            </w:r>
          </w:p>
        </w:tc>
        <w:tc>
          <w:tcPr>
            <w:tcW w:type="dxa" w:w="665"/>
          </w:tcPr>
          <w:p>
            <w:pPr>
              <w:spacing w:before="40" w:after="40"/>
            </w:pPr>
            <w:r>
              <w:rPr>
                <w:rFonts w:ascii="Calibri" w:hAnsi="Calibri"/>
                <w:sz w:val="18"/>
              </w:rPr>
              <w:t>585</w:t>
            </w:r>
          </w:p>
        </w:tc>
        <w:tc>
          <w:tcPr>
            <w:tcW w:type="dxa" w:w="665"/>
          </w:tcPr>
          <w:p>
            <w:pPr>
              <w:spacing w:before="40" w:after="40"/>
            </w:pPr>
            <w:r>
              <w:rPr>
                <w:rFonts w:ascii="Calibri" w:hAnsi="Calibri"/>
                <w:sz w:val="18"/>
              </w:rPr>
              <w:t>1,708</w:t>
            </w:r>
          </w:p>
        </w:tc>
        <w:tc>
          <w:tcPr>
            <w:tcW w:type="dxa" w:w="665"/>
          </w:tcPr>
          <w:p>
            <w:pPr>
              <w:spacing w:before="40" w:after="40"/>
            </w:pPr>
            <w:r>
              <w:rPr>
                <w:rFonts w:ascii="Calibri" w:hAnsi="Calibri"/>
                <w:sz w:val="18"/>
              </w:rPr>
              <w:t>328</w:t>
            </w:r>
          </w:p>
        </w:tc>
        <w:tc>
          <w:tcPr>
            <w:tcW w:type="dxa" w:w="665"/>
          </w:tcPr>
          <w:p>
            <w:pPr>
              <w:spacing w:before="40" w:after="40"/>
            </w:pPr>
            <w:r>
              <w:rPr>
                <w:rFonts w:ascii="Calibri" w:hAnsi="Calibri"/>
                <w:sz w:val="18"/>
              </w:rPr>
              <w:t>26</w:t>
            </w:r>
          </w:p>
        </w:tc>
        <w:tc>
          <w:tcPr>
            <w:tcW w:type="dxa" w:w="665"/>
          </w:tcPr>
          <w:p>
            <w:pPr>
              <w:spacing w:before="40" w:after="40"/>
            </w:pPr>
            <w:r>
              <w:rPr>
                <w:rFonts w:ascii="Calibri" w:hAnsi="Calibri"/>
                <w:sz w:val="18"/>
              </w:rPr>
              <w:t>151</w:t>
            </w:r>
          </w:p>
        </w:tc>
        <w:tc>
          <w:tcPr>
            <w:tcW w:type="dxa" w:w="665"/>
          </w:tcPr>
          <w:p>
            <w:pPr>
              <w:spacing w:before="40" w:after="40"/>
            </w:pPr>
            <w:r>
              <w:rPr>
                <w:rFonts w:ascii="Calibri" w:hAnsi="Calibri"/>
                <w:sz w:val="18"/>
              </w:rPr>
              <w:t>-35</w:t>
            </w:r>
          </w:p>
        </w:tc>
        <w:tc>
          <w:tcPr>
            <w:tcW w:type="dxa" w:w="665"/>
          </w:tcPr>
          <w:p>
            <w:pPr>
              <w:spacing w:before="40" w:after="40"/>
            </w:pPr>
            <w:r>
              <w:rPr>
                <w:rFonts w:ascii="Calibri" w:hAnsi="Calibri"/>
                <w:sz w:val="18"/>
              </w:rPr>
              <w:t>-49</w:t>
            </w:r>
          </w:p>
        </w:tc>
        <w:tc>
          <w:tcPr>
            <w:tcW w:type="dxa" w:w="665"/>
          </w:tcPr>
          <w:p>
            <w:pPr>
              <w:spacing w:before="40" w:after="40"/>
            </w:pPr>
            <w:r>
              <w:rPr>
                <w:rFonts w:ascii="Calibri" w:hAnsi="Calibri"/>
                <w:sz w:val="18"/>
              </w:rPr>
              <w:t>-26</w:t>
            </w:r>
          </w:p>
        </w:tc>
        <w:tc>
          <w:tcPr>
            <w:tcW w:type="dxa" w:w="665"/>
          </w:tcPr>
          <w:p>
            <w:pPr>
              <w:spacing w:before="40" w:after="40"/>
            </w:pPr>
            <w:r>
              <w:rPr>
                <w:rFonts w:ascii="Calibri" w:hAnsi="Calibri"/>
                <w:sz w:val="18"/>
              </w:rPr>
              <w:t>-67</w:t>
            </w:r>
          </w:p>
        </w:tc>
      </w:tr>
      <w:tr>
        <w:tc>
          <w:tcPr>
            <w:tcW w:type="dxa" w:w="665"/>
            <w:shd w:fill="E8F0FE"/>
          </w:tcPr>
          <w:p>
            <w:pPr>
              <w:spacing w:before="40" w:after="40"/>
            </w:pPr>
            <w:r>
              <w:rPr>
                <w:rFonts w:ascii="Calibri" w:hAnsi="Calibri"/>
                <w:b/>
                <w:sz w:val="18"/>
              </w:rPr>
              <w:t>OPM %</w:t>
            </w:r>
          </w:p>
        </w:tc>
        <w:tc>
          <w:tcPr>
            <w:tcW w:type="dxa" w:w="665"/>
            <w:shd w:fill="E8F0FE"/>
          </w:tcPr>
          <w:p>
            <w:pPr>
              <w:spacing w:before="40" w:after="40"/>
            </w:pPr>
            <w:r>
              <w:rPr>
                <w:rFonts w:ascii="Calibri" w:hAnsi="Calibri"/>
                <w:sz w:val="18"/>
              </w:rPr>
              <w:t>11%</w:t>
            </w:r>
          </w:p>
        </w:tc>
        <w:tc>
          <w:tcPr>
            <w:tcW w:type="dxa" w:w="665"/>
            <w:shd w:fill="E8F0FE"/>
          </w:tcPr>
          <w:p>
            <w:pPr>
              <w:spacing w:before="40" w:after="40"/>
            </w:pPr>
            <w:r>
              <w:rPr>
                <w:rFonts w:ascii="Calibri" w:hAnsi="Calibri"/>
                <w:sz w:val="18"/>
              </w:rPr>
              <w:t>10%</w:t>
            </w:r>
          </w:p>
        </w:tc>
        <w:tc>
          <w:tcPr>
            <w:tcW w:type="dxa" w:w="665"/>
            <w:shd w:fill="E8F0FE"/>
          </w:tcPr>
          <w:p>
            <w:pPr>
              <w:spacing w:before="40" w:after="40"/>
            </w:pPr>
            <w:r>
              <w:rPr>
                <w:rFonts w:ascii="Calibri" w:hAnsi="Calibri"/>
                <w:sz w:val="18"/>
              </w:rPr>
              <w:t>14%</w:t>
            </w:r>
          </w:p>
        </w:tc>
        <w:tc>
          <w:tcPr>
            <w:tcW w:type="dxa" w:w="665"/>
            <w:shd w:fill="E8F0FE"/>
          </w:tcPr>
          <w:p>
            <w:pPr>
              <w:spacing w:before="40" w:after="40"/>
            </w:pPr>
            <w:r>
              <w:rPr>
                <w:rFonts w:ascii="Calibri" w:hAnsi="Calibri"/>
                <w:sz w:val="18"/>
              </w:rPr>
              <w:t>22%</w:t>
            </w:r>
          </w:p>
        </w:tc>
        <w:tc>
          <w:tcPr>
            <w:tcW w:type="dxa" w:w="665"/>
            <w:shd w:fill="E8F0FE"/>
          </w:tcPr>
          <w:p>
            <w:pPr>
              <w:spacing w:before="40" w:after="40"/>
            </w:pPr>
            <w:r>
              <w:rPr>
                <w:rFonts w:ascii="Calibri" w:hAnsi="Calibri"/>
                <w:sz w:val="18"/>
              </w:rPr>
              <w:t>39%</w:t>
            </w:r>
          </w:p>
        </w:tc>
        <w:tc>
          <w:tcPr>
            <w:tcW w:type="dxa" w:w="665"/>
            <w:shd w:fill="E8F0FE"/>
          </w:tcPr>
          <w:p>
            <w:pPr>
              <w:spacing w:before="40" w:after="40"/>
            </w:pPr>
            <w:r>
              <w:rPr>
                <w:rFonts w:ascii="Calibri" w:hAnsi="Calibri"/>
                <w:sz w:val="18"/>
              </w:rPr>
              <w:t>17%</w:t>
            </w:r>
          </w:p>
        </w:tc>
        <w:tc>
          <w:tcPr>
            <w:tcW w:type="dxa" w:w="665"/>
            <w:shd w:fill="E8F0FE"/>
          </w:tcPr>
          <w:p>
            <w:pPr>
              <w:spacing w:before="40" w:after="40"/>
            </w:pPr>
            <w:r>
              <w:rPr>
                <w:rFonts w:ascii="Calibri" w:hAnsi="Calibri"/>
                <w:sz w:val="18"/>
              </w:rPr>
              <w:t>2%</w:t>
            </w:r>
          </w:p>
        </w:tc>
        <w:tc>
          <w:tcPr>
            <w:tcW w:type="dxa" w:w="665"/>
            <w:shd w:fill="E8F0FE"/>
          </w:tcPr>
          <w:p>
            <w:pPr>
              <w:spacing w:before="40" w:after="40"/>
            </w:pPr>
            <w:r>
              <w:rPr>
                <w:rFonts w:ascii="Calibri" w:hAnsi="Calibri"/>
                <w:sz w:val="18"/>
              </w:rPr>
              <w:t>8%</w:t>
            </w:r>
          </w:p>
        </w:tc>
        <w:tc>
          <w:tcPr>
            <w:tcW w:type="dxa" w:w="665"/>
            <w:shd w:fill="E8F0FE"/>
          </w:tcPr>
          <w:p>
            <w:pPr>
              <w:spacing w:before="40" w:after="40"/>
            </w:pPr>
            <w:r>
              <w:rPr>
                <w:rFonts w:ascii="Calibri" w:hAnsi="Calibri"/>
                <w:sz w:val="18"/>
              </w:rPr>
              <w:t>-1%</w:t>
            </w:r>
          </w:p>
        </w:tc>
        <w:tc>
          <w:tcPr>
            <w:tcW w:type="dxa" w:w="665"/>
            <w:shd w:fill="E8F0FE"/>
          </w:tcPr>
          <w:p>
            <w:pPr>
              <w:spacing w:before="40" w:after="40"/>
            </w:pPr>
            <w:r>
              <w:rPr>
                <w:rFonts w:ascii="Calibri" w:hAnsi="Calibri"/>
                <w:sz w:val="18"/>
              </w:rPr>
              <w:t>-3%</w:t>
            </w:r>
          </w:p>
        </w:tc>
        <w:tc>
          <w:tcPr>
            <w:tcW w:type="dxa" w:w="665"/>
            <w:shd w:fill="E8F0FE"/>
          </w:tcPr>
          <w:p>
            <w:pPr>
              <w:spacing w:before="40" w:after="40"/>
            </w:pPr>
            <w:r>
              <w:rPr>
                <w:rFonts w:ascii="Calibri" w:hAnsi="Calibri"/>
                <w:sz w:val="18"/>
              </w:rPr>
              <w:t>-2%</w:t>
            </w:r>
          </w:p>
        </w:tc>
        <w:tc>
          <w:tcPr>
            <w:tcW w:type="dxa" w:w="665"/>
            <w:shd w:fill="E8F0FE"/>
          </w:tcPr>
          <w:p>
            <w:pPr>
              <w:spacing w:before="40" w:after="40"/>
            </w:pPr>
            <w:r>
              <w:rPr>
                <w:rFonts w:ascii="Calibri" w:hAnsi="Calibri"/>
                <w:sz w:val="18"/>
              </w:rPr>
              <w:t>-5%</w:t>
            </w:r>
          </w:p>
        </w:tc>
      </w:tr>
      <w:tr>
        <w:tc>
          <w:tcPr>
            <w:tcW w:type="dxa" w:w="665"/>
          </w:tcPr>
          <w:p>
            <w:pPr>
              <w:spacing w:before="40" w:after="40"/>
            </w:pPr>
            <w:r>
              <w:rPr>
                <w:rFonts w:ascii="Calibri" w:hAnsi="Calibri"/>
                <w:b/>
                <w:sz w:val="18"/>
              </w:rPr>
              <w:t>Other Income+</w:t>
            </w:r>
          </w:p>
        </w:tc>
        <w:tc>
          <w:tcPr>
            <w:tcW w:type="dxa" w:w="665"/>
          </w:tcPr>
          <w:p>
            <w:pPr>
              <w:spacing w:before="40" w:after="40"/>
            </w:pPr>
            <w:r>
              <w:rPr>
                <w:rFonts w:ascii="Calibri" w:hAnsi="Calibri"/>
                <w:sz w:val="18"/>
              </w:rPr>
              <w:t>58</w:t>
            </w:r>
          </w:p>
        </w:tc>
        <w:tc>
          <w:tcPr>
            <w:tcW w:type="dxa" w:w="665"/>
          </w:tcPr>
          <w:p>
            <w:pPr>
              <w:spacing w:before="40" w:after="40"/>
            </w:pPr>
            <w:r>
              <w:rPr>
                <w:rFonts w:ascii="Calibri" w:hAnsi="Calibri"/>
                <w:sz w:val="18"/>
              </w:rPr>
              <w:t>46</w:t>
            </w:r>
          </w:p>
        </w:tc>
        <w:tc>
          <w:tcPr>
            <w:tcW w:type="dxa" w:w="665"/>
          </w:tcPr>
          <w:p>
            <w:pPr>
              <w:spacing w:before="40" w:after="40"/>
            </w:pPr>
            <w:r>
              <w:rPr>
                <w:rFonts w:ascii="Calibri" w:hAnsi="Calibri"/>
                <w:sz w:val="18"/>
              </w:rPr>
              <w:t>27</w:t>
            </w:r>
          </w:p>
        </w:tc>
        <w:tc>
          <w:tcPr>
            <w:tcW w:type="dxa" w:w="665"/>
          </w:tcPr>
          <w:p>
            <w:pPr>
              <w:spacing w:before="40" w:after="40"/>
            </w:pPr>
            <w:r>
              <w:rPr>
                <w:rFonts w:ascii="Calibri" w:hAnsi="Calibri"/>
                <w:sz w:val="18"/>
              </w:rPr>
              <w:t>-105</w:t>
            </w:r>
          </w:p>
        </w:tc>
        <w:tc>
          <w:tcPr>
            <w:tcW w:type="dxa" w:w="665"/>
          </w:tcPr>
          <w:p>
            <w:pPr>
              <w:spacing w:before="40" w:after="40"/>
            </w:pPr>
            <w:r>
              <w:rPr>
                <w:rFonts w:ascii="Calibri" w:hAnsi="Calibri"/>
                <w:sz w:val="18"/>
              </w:rPr>
              <w:t>45</w:t>
            </w:r>
          </w:p>
        </w:tc>
        <w:tc>
          <w:tcPr>
            <w:tcW w:type="dxa" w:w="665"/>
          </w:tcPr>
          <w:p>
            <w:pPr>
              <w:spacing w:before="40" w:after="40"/>
            </w:pPr>
            <w:r>
              <w:rPr>
                <w:rFonts w:ascii="Calibri" w:hAnsi="Calibri"/>
                <w:sz w:val="18"/>
              </w:rPr>
              <w:t>49</w:t>
            </w:r>
          </w:p>
        </w:tc>
        <w:tc>
          <w:tcPr>
            <w:tcW w:type="dxa" w:w="665"/>
          </w:tcPr>
          <w:p>
            <w:pPr>
              <w:spacing w:before="40" w:after="40"/>
            </w:pPr>
            <w:r>
              <w:rPr>
                <w:rFonts w:ascii="Calibri" w:hAnsi="Calibri"/>
                <w:sz w:val="18"/>
              </w:rPr>
              <w:t>89</w:t>
            </w:r>
          </w:p>
        </w:tc>
        <w:tc>
          <w:tcPr>
            <w:tcW w:type="dxa" w:w="665"/>
          </w:tcPr>
          <w:p>
            <w:pPr>
              <w:spacing w:before="40" w:after="40"/>
            </w:pPr>
            <w:r>
              <w:rPr>
                <w:rFonts w:ascii="Calibri" w:hAnsi="Calibri"/>
                <w:sz w:val="18"/>
              </w:rPr>
              <w:t>-129</w:t>
            </w:r>
          </w:p>
        </w:tc>
        <w:tc>
          <w:tcPr>
            <w:tcW w:type="dxa" w:w="665"/>
          </w:tcPr>
          <w:p>
            <w:pPr>
              <w:spacing w:before="40" w:after="40"/>
            </w:pPr>
            <w:r>
              <w:rPr>
                <w:rFonts w:ascii="Calibri" w:hAnsi="Calibri"/>
                <w:sz w:val="18"/>
              </w:rPr>
              <w:t>102</w:t>
            </w:r>
          </w:p>
        </w:tc>
        <w:tc>
          <w:tcPr>
            <w:tcW w:type="dxa" w:w="665"/>
          </w:tcPr>
          <w:p>
            <w:pPr>
              <w:spacing w:before="40" w:after="40"/>
            </w:pPr>
            <w:r>
              <w:rPr>
                <w:rFonts w:ascii="Calibri" w:hAnsi="Calibri"/>
                <w:sz w:val="18"/>
              </w:rPr>
              <w:t>4,057</w:t>
            </w:r>
          </w:p>
        </w:tc>
        <w:tc>
          <w:tcPr>
            <w:tcW w:type="dxa" w:w="665"/>
          </w:tcPr>
          <w:p>
            <w:pPr>
              <w:spacing w:before="40" w:after="40"/>
            </w:pPr>
            <w:r>
              <w:rPr>
                <w:rFonts w:ascii="Calibri" w:hAnsi="Calibri"/>
                <w:sz w:val="18"/>
              </w:rPr>
              <w:t>680</w:t>
            </w:r>
          </w:p>
        </w:tc>
        <w:tc>
          <w:tcPr>
            <w:tcW w:type="dxa" w:w="665"/>
          </w:tcPr>
          <w:p>
            <w:pPr>
              <w:spacing w:before="40" w:after="40"/>
            </w:pPr>
            <w:r>
              <w:rPr>
                <w:rFonts w:ascii="Calibri" w:hAnsi="Calibri"/>
                <w:sz w:val="18"/>
              </w:rPr>
              <w:t>128</w:t>
            </w:r>
          </w:p>
        </w:tc>
      </w:tr>
      <w:tr>
        <w:tc>
          <w:tcPr>
            <w:tcW w:type="dxa" w:w="665"/>
            <w:shd w:fill="E8F0FE"/>
          </w:tcPr>
          <w:p>
            <w:pPr>
              <w:spacing w:before="40" w:after="40"/>
            </w:pPr>
            <w:r>
              <w:rPr>
                <w:rFonts w:ascii="Calibri" w:hAnsi="Calibri"/>
                <w:b/>
                <w:sz w:val="18"/>
              </w:rPr>
              <w:t>Interest</w:t>
            </w:r>
          </w:p>
        </w:tc>
        <w:tc>
          <w:tcPr>
            <w:tcW w:type="dxa" w:w="665"/>
            <w:shd w:fill="E8F0FE"/>
          </w:tcPr>
          <w:p>
            <w:pPr>
              <w:spacing w:before="40" w:after="40"/>
            </w:pPr>
            <w:r>
              <w:rPr>
                <w:rFonts w:ascii="Calibri" w:hAnsi="Calibri"/>
                <w:sz w:val="18"/>
              </w:rPr>
              <w:t>232</w:t>
            </w:r>
          </w:p>
        </w:tc>
        <w:tc>
          <w:tcPr>
            <w:tcW w:type="dxa" w:w="665"/>
            <w:shd w:fill="E8F0FE"/>
          </w:tcPr>
          <w:p>
            <w:pPr>
              <w:spacing w:before="40" w:after="40"/>
            </w:pPr>
            <w:r>
              <w:rPr>
                <w:rFonts w:ascii="Calibri" w:hAnsi="Calibri"/>
                <w:sz w:val="18"/>
              </w:rPr>
              <w:t>290</w:t>
            </w:r>
          </w:p>
        </w:tc>
        <w:tc>
          <w:tcPr>
            <w:tcW w:type="dxa" w:w="665"/>
            <w:shd w:fill="E8F0FE"/>
          </w:tcPr>
          <w:p>
            <w:pPr>
              <w:spacing w:before="40" w:after="40"/>
            </w:pPr>
            <w:r>
              <w:rPr>
                <w:rFonts w:ascii="Calibri" w:hAnsi="Calibri"/>
                <w:sz w:val="18"/>
              </w:rPr>
              <w:t>368</w:t>
            </w:r>
          </w:p>
        </w:tc>
        <w:tc>
          <w:tcPr>
            <w:tcW w:type="dxa" w:w="665"/>
            <w:shd w:fill="E8F0FE"/>
          </w:tcPr>
          <w:p>
            <w:pPr>
              <w:spacing w:before="40" w:after="40"/>
            </w:pPr>
            <w:r>
              <w:rPr>
                <w:rFonts w:ascii="Calibri" w:hAnsi="Calibri"/>
                <w:sz w:val="18"/>
              </w:rPr>
              <w:t>413</w:t>
            </w:r>
          </w:p>
        </w:tc>
        <w:tc>
          <w:tcPr>
            <w:tcW w:type="dxa" w:w="665"/>
            <w:shd w:fill="E8F0FE"/>
          </w:tcPr>
          <w:p>
            <w:pPr>
              <w:spacing w:before="40" w:after="40"/>
            </w:pPr>
            <w:r>
              <w:rPr>
                <w:rFonts w:ascii="Calibri" w:hAnsi="Calibri"/>
                <w:sz w:val="18"/>
              </w:rPr>
              <w:t>489</w:t>
            </w:r>
          </w:p>
        </w:tc>
        <w:tc>
          <w:tcPr>
            <w:tcW w:type="dxa" w:w="665"/>
            <w:shd w:fill="E8F0FE"/>
          </w:tcPr>
          <w:p>
            <w:pPr>
              <w:spacing w:before="40" w:after="40"/>
            </w:pPr>
            <w:r>
              <w:rPr>
                <w:rFonts w:ascii="Calibri" w:hAnsi="Calibri"/>
                <w:sz w:val="18"/>
              </w:rPr>
              <w:t>554</w:t>
            </w:r>
          </w:p>
        </w:tc>
        <w:tc>
          <w:tcPr>
            <w:tcW w:type="dxa" w:w="665"/>
            <w:shd w:fill="E8F0FE"/>
          </w:tcPr>
          <w:p>
            <w:pPr>
              <w:spacing w:before="40" w:after="40"/>
            </w:pPr>
            <w:r>
              <w:rPr>
                <w:rFonts w:ascii="Calibri" w:hAnsi="Calibri"/>
                <w:sz w:val="18"/>
              </w:rPr>
              <w:t>588</w:t>
            </w:r>
          </w:p>
        </w:tc>
        <w:tc>
          <w:tcPr>
            <w:tcW w:type="dxa" w:w="665"/>
            <w:shd w:fill="E8F0FE"/>
          </w:tcPr>
          <w:p>
            <w:pPr>
              <w:spacing w:before="40" w:after="40"/>
            </w:pPr>
            <w:r>
              <w:rPr>
                <w:rFonts w:ascii="Calibri" w:hAnsi="Calibri"/>
                <w:sz w:val="18"/>
              </w:rPr>
              <w:t>524</w:t>
            </w:r>
          </w:p>
        </w:tc>
        <w:tc>
          <w:tcPr>
            <w:tcW w:type="dxa" w:w="665"/>
            <w:shd w:fill="E8F0FE"/>
          </w:tcPr>
          <w:p>
            <w:pPr>
              <w:spacing w:before="40" w:after="40"/>
            </w:pPr>
            <w:r>
              <w:rPr>
                <w:rFonts w:ascii="Calibri" w:hAnsi="Calibri"/>
                <w:sz w:val="18"/>
              </w:rPr>
              <w:t>523</w:t>
            </w:r>
          </w:p>
        </w:tc>
        <w:tc>
          <w:tcPr>
            <w:tcW w:type="dxa" w:w="665"/>
            <w:shd w:fill="E8F0FE"/>
          </w:tcPr>
          <w:p>
            <w:pPr>
              <w:spacing w:before="40" w:after="40"/>
            </w:pPr>
            <w:r>
              <w:rPr>
                <w:rFonts w:ascii="Calibri" w:hAnsi="Calibri"/>
                <w:sz w:val="18"/>
              </w:rPr>
              <w:t>326</w:t>
            </w:r>
          </w:p>
        </w:tc>
        <w:tc>
          <w:tcPr>
            <w:tcW w:type="dxa" w:w="665"/>
            <w:shd w:fill="E8F0FE"/>
          </w:tcPr>
          <w:p>
            <w:pPr>
              <w:spacing w:before="40" w:after="40"/>
            </w:pPr>
            <w:r>
              <w:rPr>
                <w:rFonts w:ascii="Calibri" w:hAnsi="Calibri"/>
                <w:sz w:val="18"/>
              </w:rPr>
              <w:t>19</w:t>
            </w:r>
          </w:p>
        </w:tc>
        <w:tc>
          <w:tcPr>
            <w:tcW w:type="dxa" w:w="665"/>
            <w:shd w:fill="E8F0FE"/>
          </w:tcPr>
          <w:p>
            <w:pPr>
              <w:spacing w:before="40" w:after="40"/>
            </w:pPr>
            <w:r>
              <w:rPr>
                <w:rFonts w:ascii="Calibri" w:hAnsi="Calibri"/>
                <w:sz w:val="18"/>
              </w:rPr>
              <w:t>12</w:t>
            </w:r>
          </w:p>
        </w:tc>
      </w:tr>
      <w:tr>
        <w:tc>
          <w:tcPr>
            <w:tcW w:type="dxa" w:w="665"/>
          </w:tcPr>
          <w:p>
            <w:pPr>
              <w:spacing w:before="40" w:after="40"/>
            </w:pPr>
            <w:r>
              <w:rPr>
                <w:rFonts w:ascii="Calibri" w:hAnsi="Calibri"/>
                <w:b/>
                <w:sz w:val="18"/>
              </w:rPr>
              <w:t>Depreciation</w:t>
            </w:r>
          </w:p>
        </w:tc>
        <w:tc>
          <w:tcPr>
            <w:tcW w:type="dxa" w:w="665"/>
          </w:tcPr>
          <w:p>
            <w:pPr>
              <w:spacing w:before="40" w:after="40"/>
            </w:pPr>
            <w:r>
              <w:rPr>
                <w:rFonts w:ascii="Calibri" w:hAnsi="Calibri"/>
                <w:sz w:val="18"/>
              </w:rPr>
              <w:t>47</w:t>
            </w:r>
          </w:p>
        </w:tc>
        <w:tc>
          <w:tcPr>
            <w:tcW w:type="dxa" w:w="665"/>
          </w:tcPr>
          <w:p>
            <w:pPr>
              <w:spacing w:before="40" w:after="40"/>
            </w:pPr>
            <w:r>
              <w:rPr>
                <w:rFonts w:ascii="Calibri" w:hAnsi="Calibri"/>
                <w:sz w:val="18"/>
              </w:rPr>
              <w:t>34</w:t>
            </w:r>
          </w:p>
        </w:tc>
        <w:tc>
          <w:tcPr>
            <w:tcW w:type="dxa" w:w="665"/>
          </w:tcPr>
          <w:p>
            <w:pPr>
              <w:spacing w:before="40" w:after="40"/>
            </w:pPr>
            <w:r>
              <w:rPr>
                <w:rFonts w:ascii="Calibri" w:hAnsi="Calibri"/>
                <w:sz w:val="18"/>
              </w:rPr>
              <w:t>32</w:t>
            </w:r>
          </w:p>
        </w:tc>
        <w:tc>
          <w:tcPr>
            <w:tcW w:type="dxa" w:w="665"/>
          </w:tcPr>
          <w:p>
            <w:pPr>
              <w:spacing w:before="40" w:after="40"/>
            </w:pPr>
            <w:r>
              <w:rPr>
                <w:rFonts w:ascii="Calibri" w:hAnsi="Calibri"/>
                <w:sz w:val="18"/>
              </w:rPr>
              <w:t>30</w:t>
            </w:r>
          </w:p>
        </w:tc>
        <w:tc>
          <w:tcPr>
            <w:tcW w:type="dxa" w:w="665"/>
          </w:tcPr>
          <w:p>
            <w:pPr>
              <w:spacing w:before="40" w:after="40"/>
            </w:pPr>
            <w:r>
              <w:rPr>
                <w:rFonts w:ascii="Calibri" w:hAnsi="Calibri"/>
                <w:sz w:val="18"/>
              </w:rPr>
              <w:t>30</w:t>
            </w:r>
          </w:p>
        </w:tc>
        <w:tc>
          <w:tcPr>
            <w:tcW w:type="dxa" w:w="665"/>
          </w:tcPr>
          <w:p>
            <w:pPr>
              <w:spacing w:before="40" w:after="40"/>
            </w:pPr>
            <w:r>
              <w:rPr>
                <w:rFonts w:ascii="Calibri" w:hAnsi="Calibri"/>
                <w:sz w:val="18"/>
              </w:rPr>
              <w:t>33</w:t>
            </w:r>
          </w:p>
        </w:tc>
        <w:tc>
          <w:tcPr>
            <w:tcW w:type="dxa" w:w="665"/>
          </w:tcPr>
          <w:p>
            <w:pPr>
              <w:spacing w:before="40" w:after="40"/>
            </w:pPr>
            <w:r>
              <w:rPr>
                <w:rFonts w:ascii="Calibri" w:hAnsi="Calibri"/>
                <w:sz w:val="18"/>
              </w:rPr>
              <w:t>34</w:t>
            </w:r>
          </w:p>
        </w:tc>
        <w:tc>
          <w:tcPr>
            <w:tcW w:type="dxa" w:w="665"/>
          </w:tcPr>
          <w:p>
            <w:pPr>
              <w:spacing w:before="40" w:after="40"/>
            </w:pPr>
            <w:r>
              <w:rPr>
                <w:rFonts w:ascii="Calibri" w:hAnsi="Calibri"/>
                <w:sz w:val="18"/>
              </w:rPr>
              <w:t>33</w:t>
            </w:r>
          </w:p>
        </w:tc>
        <w:tc>
          <w:tcPr>
            <w:tcW w:type="dxa" w:w="665"/>
          </w:tcPr>
          <w:p>
            <w:pPr>
              <w:spacing w:before="40" w:after="40"/>
            </w:pPr>
            <w:r>
              <w:rPr>
                <w:rFonts w:ascii="Calibri" w:hAnsi="Calibri"/>
                <w:sz w:val="18"/>
              </w:rPr>
              <w:t>33</w:t>
            </w:r>
          </w:p>
        </w:tc>
        <w:tc>
          <w:tcPr>
            <w:tcW w:type="dxa" w:w="665"/>
          </w:tcPr>
          <w:p>
            <w:pPr>
              <w:spacing w:before="40" w:after="40"/>
            </w:pPr>
            <w:r>
              <w:rPr>
                <w:rFonts w:ascii="Calibri" w:hAnsi="Calibri"/>
                <w:sz w:val="18"/>
              </w:rPr>
              <w:t>31</w:t>
            </w:r>
          </w:p>
        </w:tc>
        <w:tc>
          <w:tcPr>
            <w:tcW w:type="dxa" w:w="665"/>
          </w:tcPr>
          <w:p>
            <w:pPr>
              <w:spacing w:before="40" w:after="40"/>
            </w:pPr>
            <w:r>
              <w:rPr>
                <w:rFonts w:ascii="Calibri" w:hAnsi="Calibri"/>
                <w:sz w:val="18"/>
              </w:rPr>
              <w:t>33</w:t>
            </w:r>
          </w:p>
        </w:tc>
        <w:tc>
          <w:tcPr>
            <w:tcW w:type="dxa" w:w="665"/>
          </w:tcPr>
          <w:p>
            <w:pPr>
              <w:spacing w:before="40" w:after="40"/>
            </w:pPr>
            <w:r>
              <w:rPr>
                <w:rFonts w:ascii="Calibri" w:hAnsi="Calibri"/>
                <w:sz w:val="18"/>
              </w:rPr>
              <w:t>33</w:t>
            </w:r>
          </w:p>
        </w:tc>
      </w:tr>
      <w:tr>
        <w:tc>
          <w:tcPr>
            <w:tcW w:type="dxa" w:w="665"/>
            <w:shd w:fill="E8F0FE"/>
          </w:tcPr>
          <w:p>
            <w:pPr>
              <w:spacing w:before="40" w:after="40"/>
            </w:pPr>
            <w:r>
              <w:rPr>
                <w:rFonts w:ascii="Calibri" w:hAnsi="Calibri"/>
                <w:b/>
                <w:sz w:val="18"/>
              </w:rPr>
              <w:t>Profit before tax</w:t>
            </w:r>
          </w:p>
        </w:tc>
        <w:tc>
          <w:tcPr>
            <w:tcW w:type="dxa" w:w="665"/>
            <w:shd w:fill="E8F0FE"/>
          </w:tcPr>
          <w:p>
            <w:pPr>
              <w:spacing w:before="40" w:after="40"/>
            </w:pPr>
            <w:r>
              <w:rPr>
                <w:rFonts w:ascii="Calibri" w:hAnsi="Calibri"/>
                <w:sz w:val="18"/>
              </w:rPr>
              <w:t>31</w:t>
            </w:r>
          </w:p>
        </w:tc>
        <w:tc>
          <w:tcPr>
            <w:tcW w:type="dxa" w:w="665"/>
            <w:shd w:fill="E8F0FE"/>
          </w:tcPr>
          <w:p>
            <w:pPr>
              <w:spacing w:before="40" w:after="40"/>
            </w:pPr>
            <w:r>
              <w:rPr>
                <w:rFonts w:ascii="Calibri" w:hAnsi="Calibri"/>
                <w:sz w:val="18"/>
              </w:rPr>
              <w:t>-90</w:t>
            </w:r>
          </w:p>
        </w:tc>
        <w:tc>
          <w:tcPr>
            <w:tcW w:type="dxa" w:w="665"/>
            <w:shd w:fill="E8F0FE"/>
          </w:tcPr>
          <w:p>
            <w:pPr>
              <w:spacing w:before="40" w:after="40"/>
            </w:pPr>
            <w:r>
              <w:rPr>
                <w:rFonts w:ascii="Calibri" w:hAnsi="Calibri"/>
                <w:sz w:val="18"/>
              </w:rPr>
              <w:t>-97</w:t>
            </w:r>
          </w:p>
        </w:tc>
        <w:tc>
          <w:tcPr>
            <w:tcW w:type="dxa" w:w="665"/>
            <w:shd w:fill="E8F0FE"/>
          </w:tcPr>
          <w:p>
            <w:pPr>
              <w:spacing w:before="40" w:after="40"/>
            </w:pPr>
            <w:r>
              <w:rPr>
                <w:rFonts w:ascii="Calibri" w:hAnsi="Calibri"/>
                <w:sz w:val="18"/>
              </w:rPr>
              <w:t>38</w:t>
            </w:r>
          </w:p>
        </w:tc>
        <w:tc>
          <w:tcPr>
            <w:tcW w:type="dxa" w:w="665"/>
            <w:shd w:fill="E8F0FE"/>
          </w:tcPr>
          <w:p>
            <w:pPr>
              <w:spacing w:before="40" w:after="40"/>
            </w:pPr>
            <w:r>
              <w:rPr>
                <w:rFonts w:ascii="Calibri" w:hAnsi="Calibri"/>
                <w:sz w:val="18"/>
              </w:rPr>
              <w:t>1,234</w:t>
            </w:r>
          </w:p>
        </w:tc>
        <w:tc>
          <w:tcPr>
            <w:tcW w:type="dxa" w:w="665"/>
            <w:shd w:fill="E8F0FE"/>
          </w:tcPr>
          <w:p>
            <w:pPr>
              <w:spacing w:before="40" w:after="40"/>
            </w:pPr>
            <w:r>
              <w:rPr>
                <w:rFonts w:ascii="Calibri" w:hAnsi="Calibri"/>
                <w:sz w:val="18"/>
              </w:rPr>
              <w:t>-209</w:t>
            </w:r>
          </w:p>
        </w:tc>
        <w:tc>
          <w:tcPr>
            <w:tcW w:type="dxa" w:w="665"/>
            <w:shd w:fill="E8F0FE"/>
          </w:tcPr>
          <w:p>
            <w:pPr>
              <w:spacing w:before="40" w:after="40"/>
            </w:pPr>
            <w:r>
              <w:rPr>
                <w:rFonts w:ascii="Calibri" w:hAnsi="Calibri"/>
                <w:sz w:val="18"/>
              </w:rPr>
              <w:t>-507</w:t>
            </w:r>
          </w:p>
        </w:tc>
        <w:tc>
          <w:tcPr>
            <w:tcW w:type="dxa" w:w="665"/>
            <w:shd w:fill="E8F0FE"/>
          </w:tcPr>
          <w:p>
            <w:pPr>
              <w:spacing w:before="40" w:after="40"/>
            </w:pPr>
            <w:r>
              <w:rPr>
                <w:rFonts w:ascii="Calibri" w:hAnsi="Calibri"/>
                <w:sz w:val="18"/>
              </w:rPr>
              <w:t>-534</w:t>
            </w:r>
          </w:p>
        </w:tc>
        <w:tc>
          <w:tcPr>
            <w:tcW w:type="dxa" w:w="665"/>
            <w:shd w:fill="E8F0FE"/>
          </w:tcPr>
          <w:p>
            <w:pPr>
              <w:spacing w:before="40" w:after="40"/>
            </w:pPr>
            <w:r>
              <w:rPr>
                <w:rFonts w:ascii="Calibri" w:hAnsi="Calibri"/>
                <w:sz w:val="18"/>
              </w:rPr>
              <w:t>-489</w:t>
            </w:r>
          </w:p>
        </w:tc>
        <w:tc>
          <w:tcPr>
            <w:tcW w:type="dxa" w:w="665"/>
            <w:shd w:fill="E8F0FE"/>
          </w:tcPr>
          <w:p>
            <w:pPr>
              <w:spacing w:before="40" w:after="40"/>
            </w:pPr>
            <w:r>
              <w:rPr>
                <w:rFonts w:ascii="Calibri" w:hAnsi="Calibri"/>
                <w:sz w:val="18"/>
              </w:rPr>
              <w:t>3,650</w:t>
            </w:r>
          </w:p>
        </w:tc>
        <w:tc>
          <w:tcPr>
            <w:tcW w:type="dxa" w:w="665"/>
            <w:shd w:fill="E8F0FE"/>
          </w:tcPr>
          <w:p>
            <w:pPr>
              <w:spacing w:before="40" w:after="40"/>
            </w:pPr>
            <w:r>
              <w:rPr>
                <w:rFonts w:ascii="Calibri" w:hAnsi="Calibri"/>
                <w:sz w:val="18"/>
              </w:rPr>
              <w:t>601</w:t>
            </w:r>
          </w:p>
        </w:tc>
        <w:tc>
          <w:tcPr>
            <w:tcW w:type="dxa" w:w="665"/>
            <w:shd w:fill="E8F0FE"/>
          </w:tcPr>
          <w:p>
            <w:pPr>
              <w:spacing w:before="40" w:after="40"/>
            </w:pPr>
            <w:r>
              <w:rPr>
                <w:rFonts w:ascii="Calibri" w:hAnsi="Calibri"/>
                <w:sz w:val="18"/>
              </w:rPr>
              <w:t>16</w:t>
            </w:r>
          </w:p>
        </w:tc>
      </w:tr>
      <w:tr>
        <w:tc>
          <w:tcPr>
            <w:tcW w:type="dxa" w:w="665"/>
          </w:tcPr>
          <w:p>
            <w:pPr>
              <w:spacing w:before="40" w:after="40"/>
            </w:pPr>
            <w:r>
              <w:rPr>
                <w:rFonts w:ascii="Calibri" w:hAnsi="Calibri"/>
                <w:b/>
                <w:sz w:val="18"/>
              </w:rPr>
              <w:t>Tax %</w:t>
            </w:r>
          </w:p>
        </w:tc>
        <w:tc>
          <w:tcPr>
            <w:tcW w:type="dxa" w:w="665"/>
          </w:tcPr>
          <w:p>
            <w:pPr>
              <w:spacing w:before="40" w:after="40"/>
            </w:pPr>
            <w:r>
              <w:rPr>
                <w:rFonts w:ascii="Calibri" w:hAnsi="Calibri"/>
                <w:sz w:val="18"/>
              </w:rPr>
              <w:t>34%</w:t>
            </w:r>
          </w:p>
        </w:tc>
        <w:tc>
          <w:tcPr>
            <w:tcW w:type="dxa" w:w="665"/>
          </w:tcPr>
          <w:p>
            <w:pPr>
              <w:spacing w:before="40" w:after="40"/>
            </w:pPr>
            <w:r>
              <w:rPr>
                <w:rFonts w:ascii="Calibri" w:hAnsi="Calibri"/>
                <w:sz w:val="18"/>
              </w:rPr>
              <w:t>1%</w:t>
            </w:r>
          </w:p>
        </w:tc>
        <w:tc>
          <w:tcPr>
            <w:tcW w:type="dxa" w:w="665"/>
          </w:tcPr>
          <w:p>
            <w:pPr>
              <w:spacing w:before="40" w:after="40"/>
            </w:pPr>
            <w:r>
              <w:rPr>
                <w:rFonts w:ascii="Calibri" w:hAnsi="Calibri"/>
                <w:sz w:val="18"/>
              </w:rPr>
              <w:t>30%</w:t>
            </w:r>
          </w:p>
        </w:tc>
        <w:tc>
          <w:tcPr>
            <w:tcW w:type="dxa" w:w="665"/>
          </w:tcPr>
          <w:p>
            <w:pPr>
              <w:spacing w:before="40" w:after="40"/>
            </w:pPr>
            <w:r>
              <w:rPr>
                <w:rFonts w:ascii="Calibri" w:hAnsi="Calibri"/>
                <w:sz w:val="18"/>
              </w:rPr>
              <w:t>7%</w:t>
            </w:r>
          </w:p>
        </w:tc>
        <w:tc>
          <w:tcPr>
            <w:tcW w:type="dxa" w:w="665"/>
          </w:tcPr>
          <w:p>
            <w:pPr>
              <w:spacing w:before="40" w:after="40"/>
            </w:pPr>
            <w:r>
              <w:rPr>
                <w:rFonts w:ascii="Calibri" w:hAnsi="Calibri"/>
                <w:sz w:val="18"/>
              </w:rPr>
              <w:t>0%</w:t>
            </w:r>
          </w:p>
        </w:tc>
        <w:tc>
          <w:tcPr>
            <w:tcW w:type="dxa" w:w="665"/>
          </w:tcPr>
          <w:p>
            <w:pPr>
              <w:spacing w:before="40" w:after="40"/>
            </w:pPr>
            <w:r>
              <w:rPr>
                <w:rFonts w:ascii="Calibri" w:hAnsi="Calibri"/>
                <w:sz w:val="18"/>
              </w:rPr>
              <w:t>-257%</w:t>
            </w:r>
          </w:p>
        </w:tc>
        <w:tc>
          <w:tcPr>
            <w:tcW w:type="dxa" w:w="665"/>
          </w:tcPr>
          <w:p>
            <w:pPr>
              <w:spacing w:before="40" w:after="40"/>
            </w:pPr>
            <w:r>
              <w:rPr>
                <w:rFonts w:ascii="Calibri" w:hAnsi="Calibri"/>
                <w:sz w:val="18"/>
              </w:rPr>
              <w:t>-7%</w:t>
            </w:r>
          </w:p>
        </w:tc>
        <w:tc>
          <w:tcPr>
            <w:tcW w:type="dxa" w:w="665"/>
          </w:tcPr>
          <w:p>
            <w:pPr>
              <w:spacing w:before="40" w:after="40"/>
            </w:pPr>
            <w:r>
              <w:rPr>
                <w:rFonts w:ascii="Calibri" w:hAnsi="Calibri"/>
                <w:sz w:val="18"/>
              </w:rPr>
              <w:t>-14%</w:t>
            </w:r>
          </w:p>
        </w:tc>
        <w:tc>
          <w:tcPr>
            <w:tcW w:type="dxa" w:w="665"/>
          </w:tcPr>
          <w:p>
            <w:pPr>
              <w:spacing w:before="40" w:after="40"/>
            </w:pPr>
            <w:r>
              <w:rPr>
                <w:rFonts w:ascii="Calibri" w:hAnsi="Calibri"/>
                <w:sz w:val="18"/>
              </w:rPr>
              <w:t>6%</w:t>
            </w:r>
          </w:p>
        </w:tc>
        <w:tc>
          <w:tcPr>
            <w:tcW w:type="dxa" w:w="665"/>
          </w:tcPr>
          <w:p>
            <w:pPr>
              <w:spacing w:before="40" w:after="40"/>
            </w:pPr>
            <w:r>
              <w:rPr>
                <w:rFonts w:ascii="Calibri" w:hAnsi="Calibri"/>
                <w:sz w:val="18"/>
              </w:rPr>
              <w:t>19%</w:t>
            </w:r>
          </w:p>
        </w:tc>
        <w:tc>
          <w:tcPr>
            <w:tcW w:type="dxa" w:w="665"/>
          </w:tcPr>
          <w:p>
            <w:pPr>
              <w:spacing w:before="40" w:after="40"/>
            </w:pPr>
            <w:r>
              <w:rPr>
                <w:rFonts w:ascii="Calibri" w:hAnsi="Calibri"/>
                <w:sz w:val="18"/>
              </w:rPr>
              <w:t>18%</w:t>
            </w:r>
          </w:p>
        </w:tc>
        <w:tc>
          <w:tcPr>
            <w:tcW w:type="dxa" w:w="665"/>
          </w:tcPr>
          <w:p>
            <w:pPr>
              <w:spacing w:before="40" w:after="40"/>
            </w:pPr>
            <w:r>
              <w:rPr>
                <w:rFonts w:ascii="Calibri" w:hAnsi="Calibri"/>
                <w:sz w:val="18"/>
              </w:rPr>
            </w:r>
          </w:p>
        </w:tc>
      </w:tr>
      <w:tr>
        <w:tc>
          <w:tcPr>
            <w:tcW w:type="dxa" w:w="665"/>
            <w:shd w:fill="E8F0FE"/>
          </w:tcPr>
          <w:p>
            <w:pPr>
              <w:spacing w:before="40" w:after="40"/>
            </w:pPr>
            <w:r>
              <w:rPr>
                <w:rFonts w:ascii="Calibri" w:hAnsi="Calibri"/>
                <w:b/>
                <w:sz w:val="18"/>
              </w:rPr>
              <w:t>Net Profit+</w:t>
            </w:r>
          </w:p>
        </w:tc>
        <w:tc>
          <w:tcPr>
            <w:tcW w:type="dxa" w:w="665"/>
            <w:shd w:fill="E8F0FE"/>
          </w:tcPr>
          <w:p>
            <w:pPr>
              <w:spacing w:before="40" w:after="40"/>
            </w:pPr>
            <w:r>
              <w:rPr>
                <w:rFonts w:ascii="Calibri" w:hAnsi="Calibri"/>
                <w:sz w:val="18"/>
              </w:rPr>
              <w:t>20</w:t>
            </w:r>
          </w:p>
        </w:tc>
        <w:tc>
          <w:tcPr>
            <w:tcW w:type="dxa" w:w="665"/>
            <w:shd w:fill="E8F0FE"/>
          </w:tcPr>
          <w:p>
            <w:pPr>
              <w:spacing w:before="40" w:after="40"/>
            </w:pPr>
            <w:r>
              <w:rPr>
                <w:rFonts w:ascii="Calibri" w:hAnsi="Calibri"/>
                <w:sz w:val="18"/>
              </w:rPr>
              <w:t>-91</w:t>
            </w:r>
          </w:p>
        </w:tc>
        <w:tc>
          <w:tcPr>
            <w:tcW w:type="dxa" w:w="665"/>
            <w:shd w:fill="E8F0FE"/>
          </w:tcPr>
          <w:p>
            <w:pPr>
              <w:spacing w:before="40" w:after="40"/>
            </w:pPr>
            <w:r>
              <w:rPr>
                <w:rFonts w:ascii="Calibri" w:hAnsi="Calibri"/>
                <w:sz w:val="18"/>
              </w:rPr>
              <w:t>-127</w:t>
            </w:r>
          </w:p>
        </w:tc>
        <w:tc>
          <w:tcPr>
            <w:tcW w:type="dxa" w:w="665"/>
            <w:shd w:fill="E8F0FE"/>
          </w:tcPr>
          <w:p>
            <w:pPr>
              <w:spacing w:before="40" w:after="40"/>
            </w:pPr>
            <w:r>
              <w:rPr>
                <w:rFonts w:ascii="Calibri" w:hAnsi="Calibri"/>
                <w:sz w:val="18"/>
              </w:rPr>
              <w:t>35</w:t>
            </w:r>
          </w:p>
        </w:tc>
        <w:tc>
          <w:tcPr>
            <w:tcW w:type="dxa" w:w="665"/>
            <w:shd w:fill="E8F0FE"/>
          </w:tcPr>
          <w:p>
            <w:pPr>
              <w:spacing w:before="40" w:after="40"/>
            </w:pPr>
            <w:r>
              <w:rPr>
                <w:rFonts w:ascii="Calibri" w:hAnsi="Calibri"/>
                <w:sz w:val="18"/>
              </w:rPr>
              <w:t>1,228</w:t>
            </w:r>
          </w:p>
        </w:tc>
        <w:tc>
          <w:tcPr>
            <w:tcW w:type="dxa" w:w="665"/>
            <w:shd w:fill="E8F0FE"/>
          </w:tcPr>
          <w:p>
            <w:pPr>
              <w:spacing w:before="40" w:after="40"/>
            </w:pPr>
            <w:r>
              <w:rPr>
                <w:rFonts w:ascii="Calibri" w:hAnsi="Calibri"/>
                <w:sz w:val="18"/>
              </w:rPr>
              <w:t>328</w:t>
            </w:r>
          </w:p>
        </w:tc>
        <w:tc>
          <w:tcPr>
            <w:tcW w:type="dxa" w:w="665"/>
            <w:shd w:fill="E8F0FE"/>
          </w:tcPr>
          <w:p>
            <w:pPr>
              <w:spacing w:before="40" w:after="40"/>
            </w:pPr>
            <w:r>
              <w:rPr>
                <w:rFonts w:ascii="Calibri" w:hAnsi="Calibri"/>
                <w:sz w:val="18"/>
              </w:rPr>
              <w:t>-469</w:t>
            </w:r>
          </w:p>
        </w:tc>
        <w:tc>
          <w:tcPr>
            <w:tcW w:type="dxa" w:w="665"/>
            <w:shd w:fill="E8F0FE"/>
          </w:tcPr>
          <w:p>
            <w:pPr>
              <w:spacing w:before="40" w:after="40"/>
            </w:pPr>
            <w:r>
              <w:rPr>
                <w:rFonts w:ascii="Calibri" w:hAnsi="Calibri"/>
                <w:sz w:val="18"/>
              </w:rPr>
              <w:t>-460</w:t>
            </w:r>
          </w:p>
        </w:tc>
        <w:tc>
          <w:tcPr>
            <w:tcW w:type="dxa" w:w="665"/>
            <w:shd w:fill="E8F0FE"/>
          </w:tcPr>
          <w:p>
            <w:pPr>
              <w:spacing w:before="40" w:after="40"/>
            </w:pPr>
            <w:r>
              <w:rPr>
                <w:rFonts w:ascii="Calibri" w:hAnsi="Calibri"/>
                <w:sz w:val="18"/>
              </w:rPr>
              <w:t>-517</w:t>
            </w:r>
          </w:p>
        </w:tc>
        <w:tc>
          <w:tcPr>
            <w:tcW w:type="dxa" w:w="665"/>
            <w:shd w:fill="E8F0FE"/>
          </w:tcPr>
          <w:p>
            <w:pPr>
              <w:spacing w:before="40" w:after="40"/>
            </w:pPr>
            <w:r>
              <w:rPr>
                <w:rFonts w:ascii="Calibri" w:hAnsi="Calibri"/>
                <w:sz w:val="18"/>
              </w:rPr>
              <w:t>2,949</w:t>
            </w:r>
          </w:p>
        </w:tc>
        <w:tc>
          <w:tcPr>
            <w:tcW w:type="dxa" w:w="665"/>
            <w:shd w:fill="E8F0FE"/>
          </w:tcPr>
          <w:p>
            <w:pPr>
              <w:spacing w:before="40" w:after="40"/>
            </w:pPr>
            <w:r>
              <w:rPr>
                <w:rFonts w:ascii="Calibri" w:hAnsi="Calibri"/>
                <w:sz w:val="18"/>
              </w:rPr>
              <w:t>490</w:t>
            </w:r>
          </w:p>
        </w:tc>
        <w:tc>
          <w:tcPr>
            <w:tcW w:type="dxa" w:w="665"/>
            <w:shd w:fill="E8F0FE"/>
          </w:tcPr>
          <w:p>
            <w:pPr>
              <w:spacing w:before="40" w:after="40"/>
            </w:pPr>
            <w:r>
              <w:rPr>
                <w:rFonts w:ascii="Calibri" w:hAnsi="Calibri"/>
                <w:sz w:val="18"/>
              </w:rPr>
              <w:t>17</w:t>
            </w:r>
          </w:p>
        </w:tc>
      </w:tr>
      <w:tr>
        <w:tc>
          <w:tcPr>
            <w:tcW w:type="dxa" w:w="665"/>
          </w:tcPr>
          <w:p>
            <w:pPr>
              <w:spacing w:before="40" w:after="40"/>
            </w:pPr>
            <w:r>
              <w:rPr>
                <w:rFonts w:ascii="Calibri" w:hAnsi="Calibri"/>
                <w:b/>
                <w:sz w:val="18"/>
              </w:rPr>
              <w:t>EPS in Rs</w:t>
            </w:r>
          </w:p>
        </w:tc>
        <w:tc>
          <w:tcPr>
            <w:tcW w:type="dxa" w:w="665"/>
          </w:tcPr>
          <w:p>
            <w:pPr>
              <w:spacing w:before="40" w:after="40"/>
            </w:pPr>
            <w:r>
              <w:rPr>
                <w:rFonts w:ascii="Calibri" w:hAnsi="Calibri"/>
                <w:sz w:val="18"/>
              </w:rPr>
              <w:t>0.99</w:t>
            </w:r>
          </w:p>
        </w:tc>
        <w:tc>
          <w:tcPr>
            <w:tcW w:type="dxa" w:w="665"/>
          </w:tcPr>
          <w:p>
            <w:pPr>
              <w:spacing w:before="40" w:after="40"/>
            </w:pPr>
            <w:r>
              <w:rPr>
                <w:rFonts w:ascii="Calibri" w:hAnsi="Calibri"/>
                <w:sz w:val="18"/>
              </w:rPr>
              <w:t>-4.41</w:t>
            </w:r>
          </w:p>
        </w:tc>
        <w:tc>
          <w:tcPr>
            <w:tcW w:type="dxa" w:w="665"/>
          </w:tcPr>
          <w:p>
            <w:pPr>
              <w:spacing w:before="40" w:after="40"/>
            </w:pPr>
            <w:r>
              <w:rPr>
                <w:rFonts w:ascii="Calibri" w:hAnsi="Calibri"/>
                <w:sz w:val="18"/>
              </w:rPr>
              <w:t>-6.13</w:t>
            </w:r>
          </w:p>
        </w:tc>
        <w:tc>
          <w:tcPr>
            <w:tcW w:type="dxa" w:w="665"/>
          </w:tcPr>
          <w:p>
            <w:pPr>
              <w:spacing w:before="40" w:after="40"/>
            </w:pPr>
            <w:r>
              <w:rPr>
                <w:rFonts w:ascii="Calibri" w:hAnsi="Calibri"/>
                <w:sz w:val="18"/>
              </w:rPr>
              <w:t>1.70</w:t>
            </w:r>
          </w:p>
        </w:tc>
        <w:tc>
          <w:tcPr>
            <w:tcW w:type="dxa" w:w="665"/>
          </w:tcPr>
          <w:p>
            <w:pPr>
              <w:spacing w:before="40" w:after="40"/>
            </w:pPr>
            <w:r>
              <w:rPr>
                <w:rFonts w:ascii="Calibri" w:hAnsi="Calibri"/>
                <w:sz w:val="18"/>
              </w:rPr>
              <w:t>60.12</w:t>
            </w:r>
          </w:p>
        </w:tc>
        <w:tc>
          <w:tcPr>
            <w:tcW w:type="dxa" w:w="665"/>
          </w:tcPr>
          <w:p>
            <w:pPr>
              <w:spacing w:before="40" w:after="40"/>
            </w:pPr>
            <w:r>
              <w:rPr>
                <w:rFonts w:ascii="Calibri" w:hAnsi="Calibri"/>
                <w:sz w:val="18"/>
              </w:rPr>
              <w:t>15.87</w:t>
            </w:r>
          </w:p>
        </w:tc>
        <w:tc>
          <w:tcPr>
            <w:tcW w:type="dxa" w:w="665"/>
          </w:tcPr>
          <w:p>
            <w:pPr>
              <w:spacing w:before="40" w:after="40"/>
            </w:pPr>
            <w:r>
              <w:rPr>
                <w:rFonts w:ascii="Calibri" w:hAnsi="Calibri"/>
                <w:sz w:val="18"/>
              </w:rPr>
              <w:t>-22.71</w:t>
            </w:r>
          </w:p>
        </w:tc>
        <w:tc>
          <w:tcPr>
            <w:tcW w:type="dxa" w:w="665"/>
          </w:tcPr>
          <w:p>
            <w:pPr>
              <w:spacing w:before="40" w:after="40"/>
            </w:pPr>
            <w:r>
              <w:rPr>
                <w:rFonts w:ascii="Calibri" w:hAnsi="Calibri"/>
                <w:sz w:val="18"/>
              </w:rPr>
              <w:t>-22.29</w:t>
            </w:r>
          </w:p>
        </w:tc>
        <w:tc>
          <w:tcPr>
            <w:tcW w:type="dxa" w:w="665"/>
          </w:tcPr>
          <w:p>
            <w:pPr>
              <w:spacing w:before="40" w:after="40"/>
            </w:pPr>
            <w:r>
              <w:rPr>
                <w:rFonts w:ascii="Calibri" w:hAnsi="Calibri"/>
                <w:sz w:val="18"/>
              </w:rPr>
              <w:t>-25.02</w:t>
            </w:r>
          </w:p>
        </w:tc>
        <w:tc>
          <w:tcPr>
            <w:tcW w:type="dxa" w:w="665"/>
          </w:tcPr>
          <w:p>
            <w:pPr>
              <w:spacing w:before="40" w:after="40"/>
            </w:pPr>
            <w:r>
              <w:rPr>
                <w:rFonts w:ascii="Calibri" w:hAnsi="Calibri"/>
                <w:sz w:val="18"/>
              </w:rPr>
              <w:t>142.77</w:t>
            </w:r>
          </w:p>
        </w:tc>
        <w:tc>
          <w:tcPr>
            <w:tcW w:type="dxa" w:w="665"/>
          </w:tcPr>
          <w:p>
            <w:pPr>
              <w:spacing w:before="40" w:after="40"/>
            </w:pPr>
            <w:r>
              <w:rPr>
                <w:rFonts w:ascii="Calibri" w:hAnsi="Calibri"/>
                <w:sz w:val="18"/>
              </w:rPr>
              <w:t>23.73</w:t>
            </w:r>
          </w:p>
        </w:tc>
        <w:tc>
          <w:tcPr>
            <w:tcW w:type="dxa" w:w="665"/>
          </w:tcPr>
          <w:p>
            <w:pPr>
              <w:spacing w:before="40" w:after="40"/>
            </w:pPr>
            <w:r>
              <w:rPr>
                <w:rFonts w:ascii="Calibri" w:hAnsi="Calibri"/>
                <w:sz w:val="18"/>
              </w:rPr>
              <w:t>0.84</w:t>
            </w:r>
          </w:p>
        </w:tc>
      </w:tr>
      <w:tr>
        <w:tc>
          <w:tcPr>
            <w:tcW w:type="dxa" w:w="665"/>
            <w:shd w:fill="E8F0FE"/>
          </w:tcPr>
          <w:p>
            <w:pPr>
              <w:spacing w:before="40" w:after="40"/>
            </w:pPr>
            <w:r>
              <w:rPr>
                <w:rFonts w:ascii="Calibri" w:hAnsi="Calibri"/>
                <w:b/>
                <w:sz w:val="18"/>
              </w:rPr>
              <w:t>Dividend Payout %</w:t>
            </w:r>
          </w:p>
        </w:tc>
        <w:tc>
          <w:tcPr>
            <w:tcW w:type="dxa" w:w="665"/>
            <w:shd w:fill="E8F0FE"/>
          </w:tcPr>
          <w:p>
            <w:pPr>
              <w:spacing w:before="40" w:after="40"/>
            </w:pPr>
            <w:r>
              <w:rPr>
                <w:rFonts w:ascii="Calibri" w:hAnsi="Calibri"/>
                <w:sz w:val="18"/>
              </w:rPr>
              <w:t>81%</w:t>
            </w:r>
          </w:p>
        </w:tc>
        <w:tc>
          <w:tcPr>
            <w:tcW w:type="dxa" w:w="665"/>
            <w:shd w:fill="E8F0FE"/>
          </w:tcPr>
          <w:p>
            <w:pPr>
              <w:spacing w:before="40" w:after="40"/>
            </w:pPr>
            <w:r>
              <w:rPr>
                <w:rFonts w:ascii="Calibri" w:hAnsi="Calibri"/>
                <w:sz w:val="18"/>
              </w:rPr>
              <w:t>-11%</w:t>
            </w:r>
          </w:p>
        </w:tc>
        <w:tc>
          <w:tcPr>
            <w:tcW w:type="dxa" w:w="665"/>
            <w:shd w:fill="E8F0FE"/>
          </w:tcPr>
          <w:p>
            <w:pPr>
              <w:spacing w:before="40" w:after="40"/>
            </w:pPr>
            <w:r>
              <w:rPr>
                <w:rFonts w:ascii="Calibri" w:hAnsi="Calibri"/>
                <w:sz w:val="18"/>
              </w:rPr>
              <w:t>-11%</w:t>
            </w:r>
          </w:p>
        </w:tc>
        <w:tc>
          <w:tcPr>
            <w:tcW w:type="dxa" w:w="665"/>
            <w:shd w:fill="E8F0FE"/>
          </w:tcPr>
          <w:p>
            <w:pPr>
              <w:spacing w:before="40" w:after="40"/>
            </w:pPr>
            <w:r>
              <w:rPr>
                <w:rFonts w:ascii="Calibri" w:hAnsi="Calibri"/>
                <w:sz w:val="18"/>
              </w:rPr>
              <w:t>59%</w:t>
            </w:r>
          </w:p>
        </w:tc>
        <w:tc>
          <w:tcPr>
            <w:tcW w:type="dxa" w:w="665"/>
            <w:shd w:fill="E8F0FE"/>
          </w:tcPr>
          <w:p>
            <w:pPr>
              <w:spacing w:before="40" w:after="40"/>
            </w:pPr>
            <w:r>
              <w:rPr>
                <w:rFonts w:ascii="Calibri" w:hAnsi="Calibri"/>
                <w:sz w:val="18"/>
              </w:rPr>
              <w:t>2%</w:t>
            </w:r>
          </w:p>
        </w:tc>
        <w:tc>
          <w:tcPr>
            <w:tcW w:type="dxa" w:w="665"/>
            <w:shd w:fill="E8F0FE"/>
          </w:tcPr>
          <w:p>
            <w:pPr>
              <w:spacing w:before="40" w:after="40"/>
            </w:pPr>
            <w:r>
              <w:rPr>
                <w:rFonts w:ascii="Calibri" w:hAnsi="Calibri"/>
                <w:sz w:val="18"/>
              </w:rPr>
              <w:t>1%</w:t>
            </w:r>
          </w:p>
        </w:tc>
        <w:tc>
          <w:tcPr>
            <w:tcW w:type="dxa" w:w="665"/>
            <w:shd w:fill="E8F0FE"/>
          </w:tcPr>
          <w:p>
            <w:pPr>
              <w:spacing w:before="40" w:after="40"/>
            </w:pPr>
            <w:r>
              <w:rPr>
                <w:rFonts w:ascii="Calibri" w:hAnsi="Calibri"/>
                <w:sz w:val="18"/>
              </w:rPr>
              <w:t>0%</w:t>
            </w:r>
          </w:p>
        </w:tc>
        <w:tc>
          <w:tcPr>
            <w:tcW w:type="dxa" w:w="665"/>
            <w:shd w:fill="E8F0FE"/>
          </w:tcPr>
          <w:p>
            <w:pPr>
              <w:spacing w:before="40" w:after="40"/>
            </w:pPr>
            <w:r>
              <w:rPr>
                <w:rFonts w:ascii="Calibri" w:hAnsi="Calibri"/>
                <w:sz w:val="18"/>
              </w:rPr>
              <w:t>0%</w:t>
            </w:r>
          </w:p>
        </w:tc>
        <w:tc>
          <w:tcPr>
            <w:tcW w:type="dxa" w:w="665"/>
            <w:shd w:fill="E8F0FE"/>
          </w:tcPr>
          <w:p>
            <w:pPr>
              <w:spacing w:before="40" w:after="40"/>
            </w:pPr>
            <w:r>
              <w:rPr>
                <w:rFonts w:ascii="Calibri" w:hAnsi="Calibri"/>
                <w:sz w:val="18"/>
              </w:rPr>
              <w:t>0%</w:t>
            </w:r>
          </w:p>
        </w:tc>
        <w:tc>
          <w:tcPr>
            <w:tcW w:type="dxa" w:w="665"/>
            <w:shd w:fill="E8F0FE"/>
          </w:tcPr>
          <w:p>
            <w:pPr>
              <w:spacing w:before="40" w:after="40"/>
            </w:pPr>
            <w:r>
              <w:rPr>
                <w:rFonts w:ascii="Calibri" w:hAnsi="Calibri"/>
                <w:sz w:val="18"/>
              </w:rPr>
              <w:t>1%</w:t>
            </w:r>
          </w:p>
        </w:tc>
        <w:tc>
          <w:tcPr>
            <w:tcW w:type="dxa" w:w="665"/>
            <w:shd w:fill="E8F0FE"/>
          </w:tcPr>
          <w:p>
            <w:pPr>
              <w:spacing w:before="40" w:after="40"/>
            </w:pPr>
            <w:r>
              <w:rPr>
                <w:rFonts w:ascii="Calibri" w:hAnsi="Calibri"/>
                <w:sz w:val="18"/>
              </w:rPr>
              <w:t>5%</w:t>
            </w:r>
          </w:p>
        </w:tc>
        <w:tc>
          <w:tcPr>
            <w:tcW w:type="dxa" w:w="665"/>
            <w:shd w:fill="E8F0FE"/>
          </w:tcPr>
          <w:p>
            <w:pPr>
              <w:spacing w:before="40" w:after="40"/>
            </w:pPr>
            <w:r>
              <w:rPr>
                <w:rFonts w:ascii="Calibri" w:hAnsi="Calibri"/>
                <w:sz w:val="18"/>
              </w:rPr>
            </w:r>
          </w:p>
        </w:tc>
      </w:tr>
    </w:tbl>
    <w:p/>
    <w:p>
      <w:pPr>
        <w:pStyle w:val="Heading2"/>
      </w:pPr>
      <w:r>
        <w:rPr>
          <w:rFonts w:ascii="Calibri" w:hAnsi="Calibri"/>
          <w:color w:val="1F5F8B"/>
          <w:sz w:val="26"/>
        </w:rPr>
        <w:t>3.2 Consolidated Balance Sheet (Rs. in Crores)</w:t>
      </w:r>
    </w:p>
    <w:p>
      <w:pPr>
        <w:spacing w:after="80"/>
      </w:pPr>
      <w:r>
        <w:rPr>
          <w:rFonts w:ascii="Calibri" w:hAnsi="Calibri"/>
          <w:color w:val="333333"/>
          <w:sz w:val="20"/>
        </w:rPr>
        <w:t>(Source: Screener.in)</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665"/>
        <w:gridCol w:w="665"/>
        <w:gridCol w:w="665"/>
        <w:gridCol w:w="665"/>
        <w:gridCol w:w="665"/>
        <w:gridCol w:w="665"/>
        <w:gridCol w:w="665"/>
        <w:gridCol w:w="665"/>
        <w:gridCol w:w="665"/>
        <w:gridCol w:w="665"/>
        <w:gridCol w:w="665"/>
        <w:gridCol w:w="665"/>
        <w:gridCol w:w="665"/>
      </w:tblGrid>
      <w:tr>
        <w:tc>
          <w:tcPr>
            <w:tcW w:type="dxa" w:w="665"/>
            <w:shd w:fill="1F5F8B"/>
          </w:tcPr>
          <w:p>
            <w:pPr>
              <w:spacing w:before="40" w:after="40"/>
            </w:pPr>
            <w:r>
              <w:rPr>
                <w:rFonts w:ascii="Calibri" w:hAnsi="Calibri"/>
                <w:b/>
                <w:color w:val="FFFFFF"/>
                <w:sz w:val="18"/>
              </w:rPr>
            </w:r>
          </w:p>
        </w:tc>
        <w:tc>
          <w:tcPr>
            <w:tcW w:type="dxa" w:w="665"/>
            <w:shd w:fill="1F5F8B"/>
          </w:tcPr>
          <w:p>
            <w:pPr>
              <w:spacing w:before="40" w:after="40"/>
            </w:pPr>
            <w:r>
              <w:rPr>
                <w:rFonts w:ascii="Calibri" w:hAnsi="Calibri"/>
                <w:b/>
                <w:color w:val="FFFFFF"/>
                <w:sz w:val="18"/>
              </w:rPr>
              <w:t>Mar 2015</w:t>
            </w:r>
          </w:p>
        </w:tc>
        <w:tc>
          <w:tcPr>
            <w:tcW w:type="dxa" w:w="665"/>
            <w:shd w:fill="1F5F8B"/>
          </w:tcPr>
          <w:p>
            <w:pPr>
              <w:spacing w:before="40" w:after="40"/>
            </w:pPr>
            <w:r>
              <w:rPr>
                <w:rFonts w:ascii="Calibri" w:hAnsi="Calibri"/>
                <w:b/>
                <w:color w:val="FFFFFF"/>
                <w:sz w:val="18"/>
              </w:rPr>
              <w:t>Mar 2016</w:t>
            </w:r>
          </w:p>
        </w:tc>
        <w:tc>
          <w:tcPr>
            <w:tcW w:type="dxa" w:w="665"/>
            <w:shd w:fill="1F5F8B"/>
          </w:tcPr>
          <w:p>
            <w:pPr>
              <w:spacing w:before="40" w:after="40"/>
            </w:pPr>
            <w:r>
              <w:rPr>
                <w:rFonts w:ascii="Calibri" w:hAnsi="Calibri"/>
                <w:b/>
                <w:color w:val="FFFFFF"/>
                <w:sz w:val="18"/>
              </w:rPr>
              <w:t>Mar 2017</w:t>
            </w:r>
          </w:p>
        </w:tc>
        <w:tc>
          <w:tcPr>
            <w:tcW w:type="dxa" w:w="665"/>
            <w:shd w:fill="1F5F8B"/>
          </w:tcPr>
          <w:p>
            <w:pPr>
              <w:spacing w:before="40" w:after="40"/>
            </w:pPr>
            <w:r>
              <w:rPr>
                <w:rFonts w:ascii="Calibri" w:hAnsi="Calibri"/>
                <w:b/>
                <w:color w:val="FFFFFF"/>
                <w:sz w:val="18"/>
              </w:rPr>
              <w:t>Mar 2018</w:t>
            </w:r>
          </w:p>
        </w:tc>
        <w:tc>
          <w:tcPr>
            <w:tcW w:type="dxa" w:w="665"/>
            <w:shd w:fill="1F5F8B"/>
          </w:tcPr>
          <w:p>
            <w:pPr>
              <w:spacing w:before="40" w:after="40"/>
            </w:pPr>
            <w:r>
              <w:rPr>
                <w:rFonts w:ascii="Calibri" w:hAnsi="Calibri"/>
                <w:b/>
                <w:color w:val="FFFFFF"/>
                <w:sz w:val="18"/>
              </w:rPr>
              <w:t>Mar 2019</w:t>
            </w:r>
          </w:p>
        </w:tc>
        <w:tc>
          <w:tcPr>
            <w:tcW w:type="dxa" w:w="665"/>
            <w:shd w:fill="1F5F8B"/>
          </w:tcPr>
          <w:p>
            <w:pPr>
              <w:spacing w:before="40" w:after="40"/>
            </w:pPr>
            <w:r>
              <w:rPr>
                <w:rFonts w:ascii="Calibri" w:hAnsi="Calibri"/>
                <w:b/>
                <w:color w:val="FFFFFF"/>
                <w:sz w:val="18"/>
              </w:rPr>
              <w:t>Mar 2020</w:t>
            </w:r>
          </w:p>
        </w:tc>
        <w:tc>
          <w:tcPr>
            <w:tcW w:type="dxa" w:w="665"/>
            <w:shd w:fill="1F5F8B"/>
          </w:tcPr>
          <w:p>
            <w:pPr>
              <w:spacing w:before="40" w:after="40"/>
            </w:pPr>
            <w:r>
              <w:rPr>
                <w:rFonts w:ascii="Calibri" w:hAnsi="Calibri"/>
                <w:b/>
                <w:color w:val="FFFFFF"/>
                <w:sz w:val="18"/>
              </w:rPr>
              <w:t>Mar 2021</w:t>
            </w:r>
          </w:p>
        </w:tc>
        <w:tc>
          <w:tcPr>
            <w:tcW w:type="dxa" w:w="665"/>
            <w:shd w:fill="1F5F8B"/>
          </w:tcPr>
          <w:p>
            <w:pPr>
              <w:spacing w:before="40" w:after="40"/>
            </w:pPr>
            <w:r>
              <w:rPr>
                <w:rFonts w:ascii="Calibri" w:hAnsi="Calibri"/>
                <w:b/>
                <w:color w:val="FFFFFF"/>
                <w:sz w:val="18"/>
              </w:rPr>
              <w:t>Mar 2022</w:t>
            </w:r>
          </w:p>
        </w:tc>
        <w:tc>
          <w:tcPr>
            <w:tcW w:type="dxa" w:w="665"/>
            <w:shd w:fill="1F5F8B"/>
          </w:tcPr>
          <w:p>
            <w:pPr>
              <w:spacing w:before="40" w:after="40"/>
            </w:pPr>
            <w:r>
              <w:rPr>
                <w:rFonts w:ascii="Calibri" w:hAnsi="Calibri"/>
                <w:b/>
                <w:color w:val="FFFFFF"/>
                <w:sz w:val="18"/>
              </w:rPr>
              <w:t>Mar 2023</w:t>
            </w:r>
          </w:p>
        </w:tc>
        <w:tc>
          <w:tcPr>
            <w:tcW w:type="dxa" w:w="665"/>
            <w:shd w:fill="1F5F8B"/>
          </w:tcPr>
          <w:p>
            <w:pPr>
              <w:spacing w:before="40" w:after="40"/>
            </w:pPr>
            <w:r>
              <w:rPr>
                <w:rFonts w:ascii="Calibri" w:hAnsi="Calibri"/>
                <w:b/>
                <w:color w:val="FFFFFF"/>
                <w:sz w:val="18"/>
              </w:rPr>
              <w:t>Mar 2024</w:t>
            </w:r>
          </w:p>
        </w:tc>
        <w:tc>
          <w:tcPr>
            <w:tcW w:type="dxa" w:w="665"/>
            <w:shd w:fill="1F5F8B"/>
          </w:tcPr>
          <w:p>
            <w:pPr>
              <w:spacing w:before="40" w:after="40"/>
            </w:pPr>
            <w:r>
              <w:rPr>
                <w:rFonts w:ascii="Calibri" w:hAnsi="Calibri"/>
                <w:b/>
                <w:color w:val="FFFFFF"/>
                <w:sz w:val="18"/>
              </w:rPr>
              <w:t>Mar 2025</w:t>
            </w:r>
          </w:p>
        </w:tc>
        <w:tc>
          <w:tcPr>
            <w:tcW w:type="dxa" w:w="665"/>
            <w:shd w:fill="1F5F8B"/>
          </w:tcPr>
          <w:p>
            <w:pPr>
              <w:spacing w:before="40" w:after="40"/>
            </w:pPr>
            <w:r>
              <w:rPr>
                <w:rFonts w:ascii="Calibri" w:hAnsi="Calibri"/>
                <w:b/>
                <w:color w:val="FFFFFF"/>
                <w:sz w:val="18"/>
              </w:rPr>
              <w:t>Sep 2025</w:t>
            </w:r>
          </w:p>
        </w:tc>
      </w:tr>
      <w:tr>
        <w:tc>
          <w:tcPr>
            <w:tcW w:type="dxa" w:w="665"/>
          </w:tcPr>
          <w:p>
            <w:pPr>
              <w:spacing w:before="40" w:after="40"/>
            </w:pPr>
            <w:r>
              <w:rPr>
                <w:rFonts w:ascii="Calibri" w:hAnsi="Calibri"/>
                <w:b/>
                <w:sz w:val="18"/>
              </w:rPr>
              <w:t>Equity Capital</w:t>
            </w:r>
          </w:p>
        </w:tc>
        <w:tc>
          <w:tcPr>
            <w:tcW w:type="dxa" w:w="665"/>
          </w:tcPr>
          <w:p>
            <w:pPr>
              <w:spacing w:before="40" w:after="40"/>
            </w:pPr>
            <w:r>
              <w:rPr>
                <w:rFonts w:ascii="Calibri" w:hAnsi="Calibri"/>
                <w:sz w:val="18"/>
              </w:rPr>
              <w:t>41</w:t>
            </w:r>
          </w:p>
        </w:tc>
        <w:tc>
          <w:tcPr>
            <w:tcW w:type="dxa" w:w="665"/>
          </w:tcPr>
          <w:p>
            <w:pPr>
              <w:spacing w:before="40" w:after="40"/>
            </w:pPr>
            <w:r>
              <w:rPr>
                <w:rFonts w:ascii="Calibri" w:hAnsi="Calibri"/>
                <w:sz w:val="18"/>
              </w:rPr>
              <w:t>41</w:t>
            </w:r>
          </w:p>
        </w:tc>
        <w:tc>
          <w:tcPr>
            <w:tcW w:type="dxa" w:w="665"/>
          </w:tcPr>
          <w:p>
            <w:pPr>
              <w:spacing w:before="40" w:after="40"/>
            </w:pPr>
            <w:r>
              <w:rPr>
                <w:rFonts w:ascii="Calibri" w:hAnsi="Calibri"/>
                <w:sz w:val="18"/>
              </w:rPr>
              <w:t>41</w:t>
            </w:r>
          </w:p>
        </w:tc>
        <w:tc>
          <w:tcPr>
            <w:tcW w:type="dxa" w:w="665"/>
          </w:tcPr>
          <w:p>
            <w:pPr>
              <w:spacing w:before="40" w:after="40"/>
            </w:pPr>
            <w:r>
              <w:rPr>
                <w:rFonts w:ascii="Calibri" w:hAnsi="Calibri"/>
                <w:sz w:val="18"/>
              </w:rPr>
              <w:t>41</w:t>
            </w:r>
          </w:p>
        </w:tc>
        <w:tc>
          <w:tcPr>
            <w:tcW w:type="dxa" w:w="665"/>
          </w:tcPr>
          <w:p>
            <w:pPr>
              <w:spacing w:before="40" w:after="40"/>
            </w:pPr>
            <w:r>
              <w:rPr>
                <w:rFonts w:ascii="Calibri" w:hAnsi="Calibri"/>
                <w:sz w:val="18"/>
              </w:rPr>
              <w:t>41</w:t>
            </w:r>
          </w:p>
        </w:tc>
        <w:tc>
          <w:tcPr>
            <w:tcW w:type="dxa" w:w="665"/>
          </w:tcPr>
          <w:p>
            <w:pPr>
              <w:spacing w:before="40" w:after="40"/>
            </w:pPr>
            <w:r>
              <w:rPr>
                <w:rFonts w:ascii="Calibri" w:hAnsi="Calibri"/>
                <w:sz w:val="18"/>
              </w:rPr>
              <w:t>41</w:t>
            </w:r>
          </w:p>
        </w:tc>
        <w:tc>
          <w:tcPr>
            <w:tcW w:type="dxa" w:w="665"/>
          </w:tcPr>
          <w:p>
            <w:pPr>
              <w:spacing w:before="40" w:after="40"/>
            </w:pPr>
            <w:r>
              <w:rPr>
                <w:rFonts w:ascii="Calibri" w:hAnsi="Calibri"/>
                <w:sz w:val="18"/>
              </w:rPr>
              <w:t>41</w:t>
            </w:r>
          </w:p>
        </w:tc>
        <w:tc>
          <w:tcPr>
            <w:tcW w:type="dxa" w:w="665"/>
          </w:tcPr>
          <w:p>
            <w:pPr>
              <w:spacing w:before="40" w:after="40"/>
            </w:pPr>
            <w:r>
              <w:rPr>
                <w:rFonts w:ascii="Calibri" w:hAnsi="Calibri"/>
                <w:sz w:val="18"/>
              </w:rPr>
              <w:t>41</w:t>
            </w:r>
          </w:p>
        </w:tc>
        <w:tc>
          <w:tcPr>
            <w:tcW w:type="dxa" w:w="665"/>
          </w:tcPr>
          <w:p>
            <w:pPr>
              <w:spacing w:before="40" w:after="40"/>
            </w:pPr>
            <w:r>
              <w:rPr>
                <w:rFonts w:ascii="Calibri" w:hAnsi="Calibri"/>
                <w:sz w:val="18"/>
              </w:rPr>
              <w:t>41</w:t>
            </w:r>
          </w:p>
        </w:tc>
        <w:tc>
          <w:tcPr>
            <w:tcW w:type="dxa" w:w="665"/>
          </w:tcPr>
          <w:p>
            <w:pPr>
              <w:spacing w:before="40" w:after="40"/>
            </w:pPr>
            <w:r>
              <w:rPr>
                <w:rFonts w:ascii="Calibri" w:hAnsi="Calibri"/>
                <w:sz w:val="18"/>
              </w:rPr>
              <w:t>41</w:t>
            </w:r>
          </w:p>
        </w:tc>
        <w:tc>
          <w:tcPr>
            <w:tcW w:type="dxa" w:w="665"/>
          </w:tcPr>
          <w:p>
            <w:pPr>
              <w:spacing w:before="40" w:after="40"/>
            </w:pPr>
            <w:r>
              <w:rPr>
                <w:rFonts w:ascii="Calibri" w:hAnsi="Calibri"/>
                <w:sz w:val="18"/>
              </w:rPr>
              <w:t>41</w:t>
            </w:r>
          </w:p>
        </w:tc>
        <w:tc>
          <w:tcPr>
            <w:tcW w:type="dxa" w:w="665"/>
          </w:tcPr>
          <w:p>
            <w:pPr>
              <w:spacing w:before="40" w:after="40"/>
            </w:pPr>
            <w:r>
              <w:rPr>
                <w:rFonts w:ascii="Calibri" w:hAnsi="Calibri"/>
                <w:sz w:val="18"/>
              </w:rPr>
              <w:t>41</w:t>
            </w:r>
          </w:p>
        </w:tc>
      </w:tr>
      <w:tr>
        <w:tc>
          <w:tcPr>
            <w:tcW w:type="dxa" w:w="665"/>
            <w:shd w:fill="E8F0FE"/>
          </w:tcPr>
          <w:p>
            <w:pPr>
              <w:spacing w:before="40" w:after="40"/>
            </w:pPr>
            <w:r>
              <w:rPr>
                <w:rFonts w:ascii="Calibri" w:hAnsi="Calibri"/>
                <w:b/>
                <w:sz w:val="18"/>
              </w:rPr>
              <w:t>Reserves</w:t>
            </w:r>
          </w:p>
        </w:tc>
        <w:tc>
          <w:tcPr>
            <w:tcW w:type="dxa" w:w="665"/>
            <w:shd w:fill="E8F0FE"/>
          </w:tcPr>
          <w:p>
            <w:pPr>
              <w:spacing w:before="40" w:after="40"/>
            </w:pPr>
            <w:r>
              <w:rPr>
                <w:rFonts w:ascii="Calibri" w:hAnsi="Calibri"/>
                <w:sz w:val="18"/>
              </w:rPr>
              <w:t>1,511</w:t>
            </w:r>
          </w:p>
        </w:tc>
        <w:tc>
          <w:tcPr>
            <w:tcW w:type="dxa" w:w="665"/>
            <w:shd w:fill="E8F0FE"/>
          </w:tcPr>
          <w:p>
            <w:pPr>
              <w:spacing w:before="40" w:after="40"/>
            </w:pPr>
            <w:r>
              <w:rPr>
                <w:rFonts w:ascii="Calibri" w:hAnsi="Calibri"/>
                <w:sz w:val="18"/>
              </w:rPr>
              <w:t>1,245</w:t>
            </w:r>
          </w:p>
        </w:tc>
        <w:tc>
          <w:tcPr>
            <w:tcW w:type="dxa" w:w="665"/>
            <w:shd w:fill="E8F0FE"/>
          </w:tcPr>
          <w:p>
            <w:pPr>
              <w:spacing w:before="40" w:after="40"/>
            </w:pPr>
            <w:r>
              <w:rPr>
                <w:rFonts w:ascii="Calibri" w:hAnsi="Calibri"/>
                <w:sz w:val="18"/>
              </w:rPr>
              <w:t>293</w:t>
            </w:r>
          </w:p>
        </w:tc>
        <w:tc>
          <w:tcPr>
            <w:tcW w:type="dxa" w:w="665"/>
            <w:shd w:fill="E8F0FE"/>
          </w:tcPr>
          <w:p>
            <w:pPr>
              <w:spacing w:before="40" w:after="40"/>
            </w:pPr>
            <w:r>
              <w:rPr>
                <w:rFonts w:ascii="Calibri" w:hAnsi="Calibri"/>
                <w:sz w:val="18"/>
              </w:rPr>
              <w:t>596</w:t>
            </w:r>
          </w:p>
        </w:tc>
        <w:tc>
          <w:tcPr>
            <w:tcW w:type="dxa" w:w="665"/>
            <w:shd w:fill="E8F0FE"/>
          </w:tcPr>
          <w:p>
            <w:pPr>
              <w:spacing w:before="40" w:after="40"/>
            </w:pPr>
            <w:r>
              <w:rPr>
                <w:rFonts w:ascii="Calibri" w:hAnsi="Calibri"/>
                <w:sz w:val="18"/>
              </w:rPr>
              <w:t>168</w:t>
            </w:r>
          </w:p>
        </w:tc>
        <w:tc>
          <w:tcPr>
            <w:tcW w:type="dxa" w:w="665"/>
            <w:shd w:fill="E8F0FE"/>
          </w:tcPr>
          <w:p>
            <w:pPr>
              <w:spacing w:before="40" w:after="40"/>
            </w:pPr>
            <w:r>
              <w:rPr>
                <w:rFonts w:ascii="Calibri" w:hAnsi="Calibri"/>
                <w:sz w:val="18"/>
              </w:rPr>
              <w:t>46</w:t>
            </w:r>
          </w:p>
        </w:tc>
        <w:tc>
          <w:tcPr>
            <w:tcW w:type="dxa" w:w="665"/>
            <w:shd w:fill="E8F0FE"/>
          </w:tcPr>
          <w:p>
            <w:pPr>
              <w:spacing w:before="40" w:after="40"/>
            </w:pPr>
            <w:r>
              <w:rPr>
                <w:rFonts w:ascii="Calibri" w:hAnsi="Calibri"/>
                <w:sz w:val="18"/>
              </w:rPr>
              <w:t>-210</w:t>
            </w:r>
          </w:p>
        </w:tc>
        <w:tc>
          <w:tcPr>
            <w:tcW w:type="dxa" w:w="665"/>
            <w:shd w:fill="E8F0FE"/>
          </w:tcPr>
          <w:p>
            <w:pPr>
              <w:spacing w:before="40" w:after="40"/>
            </w:pPr>
            <w:r>
              <w:rPr>
                <w:rFonts w:ascii="Calibri" w:hAnsi="Calibri"/>
                <w:sz w:val="18"/>
              </w:rPr>
              <w:t>-772</w:t>
            </w:r>
          </w:p>
        </w:tc>
        <w:tc>
          <w:tcPr>
            <w:tcW w:type="dxa" w:w="665"/>
            <w:shd w:fill="E8F0FE"/>
          </w:tcPr>
          <w:p>
            <w:pPr>
              <w:spacing w:before="40" w:after="40"/>
            </w:pPr>
            <w:r>
              <w:rPr>
                <w:rFonts w:ascii="Calibri" w:hAnsi="Calibri"/>
                <w:sz w:val="18"/>
              </w:rPr>
              <w:t>-1,287</w:t>
            </w:r>
          </w:p>
        </w:tc>
        <w:tc>
          <w:tcPr>
            <w:tcW w:type="dxa" w:w="665"/>
            <w:shd w:fill="E8F0FE"/>
          </w:tcPr>
          <w:p>
            <w:pPr>
              <w:spacing w:before="40" w:after="40"/>
            </w:pPr>
            <w:r>
              <w:rPr>
                <w:rFonts w:ascii="Calibri" w:hAnsi="Calibri"/>
                <w:sz w:val="18"/>
              </w:rPr>
              <w:t>1,833</w:t>
            </w:r>
          </w:p>
        </w:tc>
        <w:tc>
          <w:tcPr>
            <w:tcW w:type="dxa" w:w="665"/>
            <w:shd w:fill="E8F0FE"/>
          </w:tcPr>
          <w:p>
            <w:pPr>
              <w:spacing w:before="40" w:after="40"/>
            </w:pPr>
            <w:r>
              <w:rPr>
                <w:rFonts w:ascii="Calibri" w:hAnsi="Calibri"/>
                <w:sz w:val="18"/>
              </w:rPr>
              <w:t>2,330</w:t>
            </w:r>
          </w:p>
        </w:tc>
        <w:tc>
          <w:tcPr>
            <w:tcW w:type="dxa" w:w="665"/>
            <w:shd w:fill="E8F0FE"/>
          </w:tcPr>
          <w:p>
            <w:pPr>
              <w:spacing w:before="40" w:after="40"/>
            </w:pPr>
            <w:r>
              <w:rPr>
                <w:rFonts w:ascii="Calibri" w:hAnsi="Calibri"/>
                <w:sz w:val="18"/>
              </w:rPr>
              <w:t>2,323</w:t>
            </w:r>
          </w:p>
        </w:tc>
      </w:tr>
      <w:tr>
        <w:tc>
          <w:tcPr>
            <w:tcW w:type="dxa" w:w="665"/>
          </w:tcPr>
          <w:p>
            <w:pPr>
              <w:spacing w:before="40" w:after="40"/>
            </w:pPr>
            <w:r>
              <w:rPr>
                <w:rFonts w:ascii="Calibri" w:hAnsi="Calibri"/>
                <w:b/>
                <w:sz w:val="18"/>
              </w:rPr>
              <w:t>Borrowings+</w:t>
            </w:r>
          </w:p>
        </w:tc>
        <w:tc>
          <w:tcPr>
            <w:tcW w:type="dxa" w:w="665"/>
          </w:tcPr>
          <w:p>
            <w:pPr>
              <w:spacing w:before="40" w:after="40"/>
            </w:pPr>
            <w:r>
              <w:rPr>
                <w:rFonts w:ascii="Calibri" w:hAnsi="Calibri"/>
                <w:sz w:val="18"/>
              </w:rPr>
              <w:t>1,835</w:t>
            </w:r>
          </w:p>
        </w:tc>
        <w:tc>
          <w:tcPr>
            <w:tcW w:type="dxa" w:w="665"/>
          </w:tcPr>
          <w:p>
            <w:pPr>
              <w:spacing w:before="40" w:after="40"/>
            </w:pPr>
            <w:r>
              <w:rPr>
                <w:rFonts w:ascii="Calibri" w:hAnsi="Calibri"/>
                <w:sz w:val="18"/>
              </w:rPr>
              <w:t>2,519</w:t>
            </w:r>
          </w:p>
        </w:tc>
        <w:tc>
          <w:tcPr>
            <w:tcW w:type="dxa" w:w="665"/>
          </w:tcPr>
          <w:p>
            <w:pPr>
              <w:spacing w:before="40" w:after="40"/>
            </w:pPr>
            <w:r>
              <w:rPr>
                <w:rFonts w:ascii="Calibri" w:hAnsi="Calibri"/>
                <w:sz w:val="18"/>
              </w:rPr>
              <w:t>2,542</w:t>
            </w:r>
          </w:p>
        </w:tc>
        <w:tc>
          <w:tcPr>
            <w:tcW w:type="dxa" w:w="665"/>
          </w:tcPr>
          <w:p>
            <w:pPr>
              <w:spacing w:before="40" w:after="40"/>
            </w:pPr>
            <w:r>
              <w:rPr>
                <w:rFonts w:ascii="Calibri" w:hAnsi="Calibri"/>
                <w:sz w:val="18"/>
              </w:rPr>
              <w:t>2,803</w:t>
            </w:r>
          </w:p>
        </w:tc>
        <w:tc>
          <w:tcPr>
            <w:tcW w:type="dxa" w:w="665"/>
          </w:tcPr>
          <w:p>
            <w:pPr>
              <w:spacing w:before="40" w:after="40"/>
            </w:pPr>
            <w:r>
              <w:rPr>
                <w:rFonts w:ascii="Calibri" w:hAnsi="Calibri"/>
                <w:sz w:val="18"/>
              </w:rPr>
              <w:t>3,971</w:t>
            </w:r>
          </w:p>
        </w:tc>
        <w:tc>
          <w:tcPr>
            <w:tcW w:type="dxa" w:w="665"/>
          </w:tcPr>
          <w:p>
            <w:pPr>
              <w:spacing w:before="40" w:after="40"/>
            </w:pPr>
            <w:r>
              <w:rPr>
                <w:rFonts w:ascii="Calibri" w:hAnsi="Calibri"/>
                <w:sz w:val="18"/>
              </w:rPr>
              <w:t>4,153</w:t>
            </w:r>
          </w:p>
        </w:tc>
        <w:tc>
          <w:tcPr>
            <w:tcW w:type="dxa" w:w="665"/>
          </w:tcPr>
          <w:p>
            <w:pPr>
              <w:spacing w:before="40" w:after="40"/>
            </w:pPr>
            <w:r>
              <w:rPr>
                <w:rFonts w:ascii="Calibri" w:hAnsi="Calibri"/>
                <w:sz w:val="18"/>
              </w:rPr>
              <w:t>4,172</w:t>
            </w:r>
          </w:p>
        </w:tc>
        <w:tc>
          <w:tcPr>
            <w:tcW w:type="dxa" w:w="665"/>
          </w:tcPr>
          <w:p>
            <w:pPr>
              <w:spacing w:before="40" w:after="40"/>
            </w:pPr>
            <w:r>
              <w:rPr>
                <w:rFonts w:ascii="Calibri" w:hAnsi="Calibri"/>
                <w:sz w:val="18"/>
              </w:rPr>
              <w:t>4,442</w:t>
            </w:r>
          </w:p>
        </w:tc>
        <w:tc>
          <w:tcPr>
            <w:tcW w:type="dxa" w:w="665"/>
          </w:tcPr>
          <w:p>
            <w:pPr>
              <w:spacing w:before="40" w:after="40"/>
            </w:pPr>
            <w:r>
              <w:rPr>
                <w:rFonts w:ascii="Calibri" w:hAnsi="Calibri"/>
                <w:sz w:val="18"/>
              </w:rPr>
              <w:t>3,642</w:t>
            </w:r>
          </w:p>
        </w:tc>
        <w:tc>
          <w:tcPr>
            <w:tcW w:type="dxa" w:w="665"/>
          </w:tcPr>
          <w:p>
            <w:pPr>
              <w:spacing w:before="40" w:after="40"/>
            </w:pPr>
            <w:r>
              <w:rPr>
                <w:rFonts w:ascii="Calibri" w:hAnsi="Calibri"/>
                <w:sz w:val="18"/>
              </w:rPr>
              <w:t>3</w:t>
            </w:r>
          </w:p>
        </w:tc>
        <w:tc>
          <w:tcPr>
            <w:tcW w:type="dxa" w:w="665"/>
          </w:tcPr>
          <w:p>
            <w:pPr>
              <w:spacing w:before="40" w:after="40"/>
            </w:pPr>
            <w:r>
              <w:rPr>
                <w:rFonts w:ascii="Calibri" w:hAnsi="Calibri"/>
                <w:sz w:val="18"/>
              </w:rPr>
              <w:t>3</w:t>
            </w:r>
          </w:p>
        </w:tc>
        <w:tc>
          <w:tcPr>
            <w:tcW w:type="dxa" w:w="665"/>
          </w:tcPr>
          <w:p>
            <w:pPr>
              <w:spacing w:before="40" w:after="40"/>
            </w:pPr>
            <w:r>
              <w:rPr>
                <w:rFonts w:ascii="Calibri" w:hAnsi="Calibri"/>
                <w:sz w:val="18"/>
              </w:rPr>
              <w:t>3</w:t>
            </w:r>
          </w:p>
        </w:tc>
      </w:tr>
      <w:tr>
        <w:tc>
          <w:tcPr>
            <w:tcW w:type="dxa" w:w="665"/>
            <w:shd w:fill="E8F0FE"/>
          </w:tcPr>
          <w:p>
            <w:pPr>
              <w:spacing w:before="40" w:after="40"/>
            </w:pPr>
            <w:r>
              <w:rPr>
                <w:rFonts w:ascii="Calibri" w:hAnsi="Calibri"/>
                <w:b/>
                <w:sz w:val="18"/>
              </w:rPr>
              <w:t>Other Liabilities+</w:t>
            </w:r>
          </w:p>
        </w:tc>
        <w:tc>
          <w:tcPr>
            <w:tcW w:type="dxa" w:w="665"/>
            <w:shd w:fill="E8F0FE"/>
          </w:tcPr>
          <w:p>
            <w:pPr>
              <w:spacing w:before="40" w:after="40"/>
            </w:pPr>
            <w:r>
              <w:rPr>
                <w:rFonts w:ascii="Calibri" w:hAnsi="Calibri"/>
                <w:sz w:val="18"/>
              </w:rPr>
              <w:t>698</w:t>
            </w:r>
          </w:p>
        </w:tc>
        <w:tc>
          <w:tcPr>
            <w:tcW w:type="dxa" w:w="665"/>
            <w:shd w:fill="E8F0FE"/>
          </w:tcPr>
          <w:p>
            <w:pPr>
              <w:spacing w:before="40" w:after="40"/>
            </w:pPr>
            <w:r>
              <w:rPr>
                <w:rFonts w:ascii="Calibri" w:hAnsi="Calibri"/>
                <w:sz w:val="18"/>
              </w:rPr>
              <w:t>654</w:t>
            </w:r>
          </w:p>
        </w:tc>
        <w:tc>
          <w:tcPr>
            <w:tcW w:type="dxa" w:w="665"/>
            <w:shd w:fill="E8F0FE"/>
          </w:tcPr>
          <w:p>
            <w:pPr>
              <w:spacing w:before="40" w:after="40"/>
            </w:pPr>
            <w:r>
              <w:rPr>
                <w:rFonts w:ascii="Calibri" w:hAnsi="Calibri"/>
                <w:sz w:val="18"/>
              </w:rPr>
              <w:t>761</w:t>
            </w:r>
          </w:p>
        </w:tc>
        <w:tc>
          <w:tcPr>
            <w:tcW w:type="dxa" w:w="665"/>
            <w:shd w:fill="E8F0FE"/>
          </w:tcPr>
          <w:p>
            <w:pPr>
              <w:spacing w:before="40" w:after="40"/>
            </w:pPr>
            <w:r>
              <w:rPr>
                <w:rFonts w:ascii="Calibri" w:hAnsi="Calibri"/>
                <w:sz w:val="18"/>
              </w:rPr>
              <w:t>707</w:t>
            </w:r>
          </w:p>
        </w:tc>
        <w:tc>
          <w:tcPr>
            <w:tcW w:type="dxa" w:w="665"/>
            <w:shd w:fill="E8F0FE"/>
          </w:tcPr>
          <w:p>
            <w:pPr>
              <w:spacing w:before="40" w:after="40"/>
            </w:pPr>
            <w:r>
              <w:rPr>
                <w:rFonts w:ascii="Calibri" w:hAnsi="Calibri"/>
                <w:sz w:val="18"/>
              </w:rPr>
              <w:t>1,000</w:t>
            </w:r>
          </w:p>
        </w:tc>
        <w:tc>
          <w:tcPr>
            <w:tcW w:type="dxa" w:w="665"/>
            <w:shd w:fill="E8F0FE"/>
          </w:tcPr>
          <w:p>
            <w:pPr>
              <w:spacing w:before="40" w:after="40"/>
            </w:pPr>
            <w:r>
              <w:rPr>
                <w:rFonts w:ascii="Calibri" w:hAnsi="Calibri"/>
                <w:sz w:val="18"/>
              </w:rPr>
              <w:t>561</w:t>
            </w:r>
          </w:p>
        </w:tc>
        <w:tc>
          <w:tcPr>
            <w:tcW w:type="dxa" w:w="665"/>
            <w:shd w:fill="E8F0FE"/>
          </w:tcPr>
          <w:p>
            <w:pPr>
              <w:spacing w:before="40" w:after="40"/>
            </w:pPr>
            <w:r>
              <w:rPr>
                <w:rFonts w:ascii="Calibri" w:hAnsi="Calibri"/>
                <w:sz w:val="18"/>
              </w:rPr>
              <w:t>635</w:t>
            </w:r>
          </w:p>
        </w:tc>
        <w:tc>
          <w:tcPr>
            <w:tcW w:type="dxa" w:w="665"/>
            <w:shd w:fill="E8F0FE"/>
          </w:tcPr>
          <w:p>
            <w:pPr>
              <w:spacing w:before="40" w:after="40"/>
            </w:pPr>
            <w:r>
              <w:rPr>
                <w:rFonts w:ascii="Calibri" w:hAnsi="Calibri"/>
                <w:sz w:val="18"/>
              </w:rPr>
              <w:t>520</w:t>
            </w:r>
          </w:p>
        </w:tc>
        <w:tc>
          <w:tcPr>
            <w:tcW w:type="dxa" w:w="665"/>
            <w:shd w:fill="E8F0FE"/>
          </w:tcPr>
          <w:p>
            <w:pPr>
              <w:spacing w:before="40" w:after="40"/>
            </w:pPr>
            <w:r>
              <w:rPr>
                <w:rFonts w:ascii="Calibri" w:hAnsi="Calibri"/>
                <w:sz w:val="18"/>
              </w:rPr>
              <w:t>598</w:t>
            </w:r>
          </w:p>
        </w:tc>
        <w:tc>
          <w:tcPr>
            <w:tcW w:type="dxa" w:w="665"/>
            <w:shd w:fill="E8F0FE"/>
          </w:tcPr>
          <w:p>
            <w:pPr>
              <w:spacing w:before="40" w:after="40"/>
            </w:pPr>
            <w:r>
              <w:rPr>
                <w:rFonts w:ascii="Calibri" w:hAnsi="Calibri"/>
                <w:sz w:val="18"/>
              </w:rPr>
              <w:t>684</w:t>
            </w:r>
          </w:p>
        </w:tc>
        <w:tc>
          <w:tcPr>
            <w:tcW w:type="dxa" w:w="665"/>
            <w:shd w:fill="E8F0FE"/>
          </w:tcPr>
          <w:p>
            <w:pPr>
              <w:spacing w:before="40" w:after="40"/>
            </w:pPr>
            <w:r>
              <w:rPr>
                <w:rFonts w:ascii="Calibri" w:hAnsi="Calibri"/>
                <w:sz w:val="18"/>
              </w:rPr>
              <w:t>622</w:t>
            </w:r>
          </w:p>
        </w:tc>
        <w:tc>
          <w:tcPr>
            <w:tcW w:type="dxa" w:w="665"/>
            <w:shd w:fill="E8F0FE"/>
          </w:tcPr>
          <w:p>
            <w:pPr>
              <w:spacing w:before="40" w:after="40"/>
            </w:pPr>
            <w:r>
              <w:rPr>
                <w:rFonts w:ascii="Calibri" w:hAnsi="Calibri"/>
                <w:sz w:val="18"/>
              </w:rPr>
              <w:t>571</w:t>
            </w:r>
          </w:p>
        </w:tc>
      </w:tr>
      <w:tr>
        <w:tc>
          <w:tcPr>
            <w:tcW w:type="dxa" w:w="665"/>
          </w:tcPr>
          <w:p>
            <w:pPr>
              <w:spacing w:before="40" w:after="40"/>
            </w:pPr>
            <w:r>
              <w:rPr>
                <w:rFonts w:ascii="Calibri" w:hAnsi="Calibri"/>
                <w:b/>
                <w:sz w:val="18"/>
              </w:rPr>
              <w:t>Total Liabilities</w:t>
            </w:r>
          </w:p>
        </w:tc>
        <w:tc>
          <w:tcPr>
            <w:tcW w:type="dxa" w:w="665"/>
          </w:tcPr>
          <w:p>
            <w:pPr>
              <w:spacing w:before="40" w:after="40"/>
            </w:pPr>
            <w:r>
              <w:rPr>
                <w:rFonts w:ascii="Calibri" w:hAnsi="Calibri"/>
                <w:sz w:val="18"/>
              </w:rPr>
              <w:t>4,085</w:t>
            </w:r>
          </w:p>
        </w:tc>
        <w:tc>
          <w:tcPr>
            <w:tcW w:type="dxa" w:w="665"/>
          </w:tcPr>
          <w:p>
            <w:pPr>
              <w:spacing w:before="40" w:after="40"/>
            </w:pPr>
            <w:r>
              <w:rPr>
                <w:rFonts w:ascii="Calibri" w:hAnsi="Calibri"/>
                <w:sz w:val="18"/>
              </w:rPr>
              <w:t>4,459</w:t>
            </w:r>
          </w:p>
        </w:tc>
        <w:tc>
          <w:tcPr>
            <w:tcW w:type="dxa" w:w="665"/>
          </w:tcPr>
          <w:p>
            <w:pPr>
              <w:spacing w:before="40" w:after="40"/>
            </w:pPr>
            <w:r>
              <w:rPr>
                <w:rFonts w:ascii="Calibri" w:hAnsi="Calibri"/>
                <w:sz w:val="18"/>
              </w:rPr>
              <w:t>3,637</w:t>
            </w:r>
          </w:p>
        </w:tc>
        <w:tc>
          <w:tcPr>
            <w:tcW w:type="dxa" w:w="665"/>
          </w:tcPr>
          <w:p>
            <w:pPr>
              <w:spacing w:before="40" w:after="40"/>
            </w:pPr>
            <w:r>
              <w:rPr>
                <w:rFonts w:ascii="Calibri" w:hAnsi="Calibri"/>
                <w:sz w:val="18"/>
              </w:rPr>
              <w:t>4,147</w:t>
            </w:r>
          </w:p>
        </w:tc>
        <w:tc>
          <w:tcPr>
            <w:tcW w:type="dxa" w:w="665"/>
          </w:tcPr>
          <w:p>
            <w:pPr>
              <w:spacing w:before="40" w:after="40"/>
            </w:pPr>
            <w:r>
              <w:rPr>
                <w:rFonts w:ascii="Calibri" w:hAnsi="Calibri"/>
                <w:sz w:val="18"/>
              </w:rPr>
              <w:t>5,181</w:t>
            </w:r>
          </w:p>
        </w:tc>
        <w:tc>
          <w:tcPr>
            <w:tcW w:type="dxa" w:w="665"/>
          </w:tcPr>
          <w:p>
            <w:pPr>
              <w:spacing w:before="40" w:after="40"/>
            </w:pPr>
            <w:r>
              <w:rPr>
                <w:rFonts w:ascii="Calibri" w:hAnsi="Calibri"/>
                <w:sz w:val="18"/>
              </w:rPr>
              <w:t>4,800</w:t>
            </w:r>
          </w:p>
        </w:tc>
        <w:tc>
          <w:tcPr>
            <w:tcW w:type="dxa" w:w="665"/>
          </w:tcPr>
          <w:p>
            <w:pPr>
              <w:spacing w:before="40" w:after="40"/>
            </w:pPr>
            <w:r>
              <w:rPr>
                <w:rFonts w:ascii="Calibri" w:hAnsi="Calibri"/>
                <w:sz w:val="18"/>
              </w:rPr>
              <w:t>4,639</w:t>
            </w:r>
          </w:p>
        </w:tc>
        <w:tc>
          <w:tcPr>
            <w:tcW w:type="dxa" w:w="665"/>
          </w:tcPr>
          <w:p>
            <w:pPr>
              <w:spacing w:before="40" w:after="40"/>
            </w:pPr>
            <w:r>
              <w:rPr>
                <w:rFonts w:ascii="Calibri" w:hAnsi="Calibri"/>
                <w:sz w:val="18"/>
              </w:rPr>
              <w:t>4,231</w:t>
            </w:r>
          </w:p>
        </w:tc>
        <w:tc>
          <w:tcPr>
            <w:tcW w:type="dxa" w:w="665"/>
          </w:tcPr>
          <w:p>
            <w:pPr>
              <w:spacing w:before="40" w:after="40"/>
            </w:pPr>
            <w:r>
              <w:rPr>
                <w:rFonts w:ascii="Calibri" w:hAnsi="Calibri"/>
                <w:sz w:val="18"/>
              </w:rPr>
              <w:t>2,994</w:t>
            </w:r>
          </w:p>
        </w:tc>
        <w:tc>
          <w:tcPr>
            <w:tcW w:type="dxa" w:w="665"/>
          </w:tcPr>
          <w:p>
            <w:pPr>
              <w:spacing w:before="40" w:after="40"/>
            </w:pPr>
            <w:r>
              <w:rPr>
                <w:rFonts w:ascii="Calibri" w:hAnsi="Calibri"/>
                <w:sz w:val="18"/>
              </w:rPr>
              <w:t>2,560</w:t>
            </w:r>
          </w:p>
        </w:tc>
        <w:tc>
          <w:tcPr>
            <w:tcW w:type="dxa" w:w="665"/>
          </w:tcPr>
          <w:p>
            <w:pPr>
              <w:spacing w:before="40" w:after="40"/>
            </w:pPr>
            <w:r>
              <w:rPr>
                <w:rFonts w:ascii="Calibri" w:hAnsi="Calibri"/>
                <w:sz w:val="18"/>
              </w:rPr>
              <w:t>2,995</w:t>
            </w:r>
          </w:p>
        </w:tc>
        <w:tc>
          <w:tcPr>
            <w:tcW w:type="dxa" w:w="665"/>
          </w:tcPr>
          <w:p>
            <w:pPr>
              <w:spacing w:before="40" w:after="40"/>
            </w:pPr>
            <w:r>
              <w:rPr>
                <w:rFonts w:ascii="Calibri" w:hAnsi="Calibri"/>
                <w:sz w:val="18"/>
              </w:rPr>
              <w:t>2,939</w:t>
            </w:r>
          </w:p>
        </w:tc>
      </w:tr>
      <w:tr>
        <w:tc>
          <w:tcPr>
            <w:tcW w:type="dxa" w:w="665"/>
            <w:shd w:fill="E8F0FE"/>
          </w:tcPr>
          <w:p>
            <w:pPr>
              <w:spacing w:before="40" w:after="40"/>
            </w:pPr>
            <w:r>
              <w:rPr>
                <w:rFonts w:ascii="Calibri" w:hAnsi="Calibri"/>
                <w:b/>
                <w:sz w:val="18"/>
              </w:rPr>
              <w:t>Fixed Assets+</w:t>
            </w:r>
          </w:p>
        </w:tc>
        <w:tc>
          <w:tcPr>
            <w:tcW w:type="dxa" w:w="665"/>
            <w:shd w:fill="E8F0FE"/>
          </w:tcPr>
          <w:p>
            <w:pPr>
              <w:spacing w:before="40" w:after="40"/>
            </w:pPr>
            <w:r>
              <w:rPr>
                <w:rFonts w:ascii="Calibri" w:hAnsi="Calibri"/>
                <w:sz w:val="18"/>
              </w:rPr>
              <w:t>879</w:t>
            </w:r>
          </w:p>
        </w:tc>
        <w:tc>
          <w:tcPr>
            <w:tcW w:type="dxa" w:w="665"/>
            <w:shd w:fill="E8F0FE"/>
          </w:tcPr>
          <w:p>
            <w:pPr>
              <w:spacing w:before="40" w:after="40"/>
            </w:pPr>
            <w:r>
              <w:rPr>
                <w:rFonts w:ascii="Calibri" w:hAnsi="Calibri"/>
                <w:sz w:val="18"/>
              </w:rPr>
              <w:t>631</w:t>
            </w:r>
          </w:p>
        </w:tc>
        <w:tc>
          <w:tcPr>
            <w:tcW w:type="dxa" w:w="665"/>
            <w:shd w:fill="E8F0FE"/>
          </w:tcPr>
          <w:p>
            <w:pPr>
              <w:spacing w:before="40" w:after="40"/>
            </w:pPr>
            <w:r>
              <w:rPr>
                <w:rFonts w:ascii="Calibri" w:hAnsi="Calibri"/>
                <w:sz w:val="18"/>
              </w:rPr>
              <w:t>572</w:t>
            </w:r>
          </w:p>
        </w:tc>
        <w:tc>
          <w:tcPr>
            <w:tcW w:type="dxa" w:w="665"/>
            <w:shd w:fill="E8F0FE"/>
          </w:tcPr>
          <w:p>
            <w:pPr>
              <w:spacing w:before="40" w:after="40"/>
            </w:pPr>
            <w:r>
              <w:rPr>
                <w:rFonts w:ascii="Calibri" w:hAnsi="Calibri"/>
                <w:sz w:val="18"/>
              </w:rPr>
              <w:t>556</w:t>
            </w:r>
          </w:p>
        </w:tc>
        <w:tc>
          <w:tcPr>
            <w:tcW w:type="dxa" w:w="665"/>
            <w:shd w:fill="E8F0FE"/>
          </w:tcPr>
          <w:p>
            <w:pPr>
              <w:spacing w:before="40" w:after="40"/>
            </w:pPr>
            <w:r>
              <w:rPr>
                <w:rFonts w:ascii="Calibri" w:hAnsi="Calibri"/>
                <w:sz w:val="18"/>
              </w:rPr>
              <w:t>528</w:t>
            </w:r>
          </w:p>
        </w:tc>
        <w:tc>
          <w:tcPr>
            <w:tcW w:type="dxa" w:w="665"/>
            <w:shd w:fill="E8F0FE"/>
          </w:tcPr>
          <w:p>
            <w:pPr>
              <w:spacing w:before="40" w:after="40"/>
            </w:pPr>
            <w:r>
              <w:rPr>
                <w:rFonts w:ascii="Calibri" w:hAnsi="Calibri"/>
                <w:sz w:val="18"/>
              </w:rPr>
              <w:t>521</w:t>
            </w:r>
          </w:p>
        </w:tc>
        <w:tc>
          <w:tcPr>
            <w:tcW w:type="dxa" w:w="665"/>
            <w:shd w:fill="E8F0FE"/>
          </w:tcPr>
          <w:p>
            <w:pPr>
              <w:spacing w:before="40" w:after="40"/>
            </w:pPr>
            <w:r>
              <w:rPr>
                <w:rFonts w:ascii="Calibri" w:hAnsi="Calibri"/>
                <w:sz w:val="18"/>
              </w:rPr>
              <w:t>488</w:t>
            </w:r>
          </w:p>
        </w:tc>
        <w:tc>
          <w:tcPr>
            <w:tcW w:type="dxa" w:w="665"/>
            <w:shd w:fill="E8F0FE"/>
          </w:tcPr>
          <w:p>
            <w:pPr>
              <w:spacing w:before="40" w:after="40"/>
            </w:pPr>
            <w:r>
              <w:rPr>
                <w:rFonts w:ascii="Calibri" w:hAnsi="Calibri"/>
                <w:sz w:val="18"/>
              </w:rPr>
              <w:t>466</w:t>
            </w:r>
          </w:p>
        </w:tc>
        <w:tc>
          <w:tcPr>
            <w:tcW w:type="dxa" w:w="665"/>
            <w:shd w:fill="E8F0FE"/>
          </w:tcPr>
          <w:p>
            <w:pPr>
              <w:spacing w:before="40" w:after="40"/>
            </w:pPr>
            <w:r>
              <w:rPr>
                <w:rFonts w:ascii="Calibri" w:hAnsi="Calibri"/>
                <w:sz w:val="18"/>
              </w:rPr>
              <w:t>442</w:t>
            </w:r>
          </w:p>
        </w:tc>
        <w:tc>
          <w:tcPr>
            <w:tcW w:type="dxa" w:w="665"/>
            <w:shd w:fill="E8F0FE"/>
          </w:tcPr>
          <w:p>
            <w:pPr>
              <w:spacing w:before="40" w:after="40"/>
            </w:pPr>
            <w:r>
              <w:rPr>
                <w:rFonts w:ascii="Calibri" w:hAnsi="Calibri"/>
                <w:sz w:val="18"/>
              </w:rPr>
              <w:t>575</w:t>
            </w:r>
          </w:p>
        </w:tc>
        <w:tc>
          <w:tcPr>
            <w:tcW w:type="dxa" w:w="665"/>
            <w:shd w:fill="E8F0FE"/>
          </w:tcPr>
          <w:p>
            <w:pPr>
              <w:spacing w:before="40" w:after="40"/>
            </w:pPr>
            <w:r>
              <w:rPr>
                <w:rFonts w:ascii="Calibri" w:hAnsi="Calibri"/>
                <w:sz w:val="18"/>
              </w:rPr>
              <w:t>583</w:t>
            </w:r>
          </w:p>
        </w:tc>
        <w:tc>
          <w:tcPr>
            <w:tcW w:type="dxa" w:w="665"/>
            <w:shd w:fill="E8F0FE"/>
          </w:tcPr>
          <w:p>
            <w:pPr>
              <w:spacing w:before="40" w:after="40"/>
            </w:pPr>
            <w:r>
              <w:rPr>
                <w:rFonts w:ascii="Calibri" w:hAnsi="Calibri"/>
                <w:sz w:val="18"/>
              </w:rPr>
              <w:t>586</w:t>
            </w:r>
          </w:p>
        </w:tc>
      </w:tr>
      <w:tr>
        <w:tc>
          <w:tcPr>
            <w:tcW w:type="dxa" w:w="665"/>
          </w:tcPr>
          <w:p>
            <w:pPr>
              <w:spacing w:before="40" w:after="40"/>
            </w:pPr>
            <w:r>
              <w:rPr>
                <w:rFonts w:ascii="Calibri" w:hAnsi="Calibri"/>
                <w:b/>
                <w:sz w:val="18"/>
              </w:rPr>
              <w:t>CWIP</w:t>
            </w:r>
          </w:p>
        </w:tc>
        <w:tc>
          <w:tcPr>
            <w:tcW w:type="dxa" w:w="665"/>
          </w:tcPr>
          <w:p>
            <w:pPr>
              <w:spacing w:before="40" w:after="40"/>
            </w:pPr>
            <w:r>
              <w:rPr>
                <w:rFonts w:ascii="Calibri" w:hAnsi="Calibri"/>
                <w:sz w:val="18"/>
              </w:rPr>
              <w:t>75</w:t>
            </w:r>
          </w:p>
        </w:tc>
        <w:tc>
          <w:tcPr>
            <w:tcW w:type="dxa" w:w="665"/>
          </w:tcPr>
          <w:p>
            <w:pPr>
              <w:spacing w:before="40" w:after="40"/>
            </w:pPr>
            <w:r>
              <w:rPr>
                <w:rFonts w:ascii="Calibri" w:hAnsi="Calibri"/>
                <w:sz w:val="18"/>
              </w:rPr>
              <w:t>72</w:t>
            </w:r>
          </w:p>
        </w:tc>
        <w:tc>
          <w:tcPr>
            <w:tcW w:type="dxa" w:w="665"/>
          </w:tcPr>
          <w:p>
            <w:pPr>
              <w:spacing w:before="40" w:after="40"/>
            </w:pPr>
            <w:r>
              <w:rPr>
                <w:rFonts w:ascii="Calibri" w:hAnsi="Calibri"/>
                <w:sz w:val="18"/>
              </w:rPr>
              <w:t>75</w:t>
            </w:r>
          </w:p>
        </w:tc>
        <w:tc>
          <w:tcPr>
            <w:tcW w:type="dxa" w:w="665"/>
          </w:tcPr>
          <w:p>
            <w:pPr>
              <w:spacing w:before="40" w:after="40"/>
            </w:pPr>
            <w:r>
              <w:rPr>
                <w:rFonts w:ascii="Calibri" w:hAnsi="Calibri"/>
                <w:sz w:val="18"/>
              </w:rPr>
              <w:t>74</w:t>
            </w:r>
          </w:p>
        </w:tc>
        <w:tc>
          <w:tcPr>
            <w:tcW w:type="dxa" w:w="665"/>
          </w:tcPr>
          <w:p>
            <w:pPr>
              <w:spacing w:before="40" w:after="40"/>
            </w:pPr>
            <w:r>
              <w:rPr>
                <w:rFonts w:ascii="Calibri" w:hAnsi="Calibri"/>
                <w:sz w:val="18"/>
              </w:rPr>
              <w:t>5</w:t>
            </w:r>
          </w:p>
        </w:tc>
        <w:tc>
          <w:tcPr>
            <w:tcW w:type="dxa" w:w="665"/>
          </w:tcPr>
          <w:p>
            <w:pPr>
              <w:spacing w:before="40" w:after="40"/>
            </w:pPr>
            <w:r>
              <w:rPr>
                <w:rFonts w:ascii="Calibri" w:hAnsi="Calibri"/>
                <w:sz w:val="18"/>
              </w:rPr>
              <w:t>1</w:t>
            </w:r>
          </w:p>
        </w:tc>
        <w:tc>
          <w:tcPr>
            <w:tcW w:type="dxa" w:w="665"/>
          </w:tcPr>
          <w:p>
            <w:pPr>
              <w:spacing w:before="40" w:after="40"/>
            </w:pPr>
            <w:r>
              <w:rPr>
                <w:rFonts w:ascii="Calibri" w:hAnsi="Calibri"/>
                <w:sz w:val="18"/>
              </w:rPr>
              <w:t>1</w:t>
            </w:r>
          </w:p>
        </w:tc>
        <w:tc>
          <w:tcPr>
            <w:tcW w:type="dxa" w:w="665"/>
          </w:tcPr>
          <w:p>
            <w:pPr>
              <w:spacing w:before="40" w:after="40"/>
            </w:pPr>
            <w:r>
              <w:rPr>
                <w:rFonts w:ascii="Calibri" w:hAnsi="Calibri"/>
                <w:sz w:val="18"/>
              </w:rPr>
              <w:t>0</w:t>
            </w:r>
          </w:p>
        </w:tc>
        <w:tc>
          <w:tcPr>
            <w:tcW w:type="dxa" w:w="665"/>
          </w:tcPr>
          <w:p>
            <w:pPr>
              <w:spacing w:before="40" w:after="40"/>
            </w:pPr>
            <w:r>
              <w:rPr>
                <w:rFonts w:ascii="Calibri" w:hAnsi="Calibri"/>
                <w:sz w:val="18"/>
              </w:rPr>
              <w:t>0</w:t>
            </w:r>
          </w:p>
        </w:tc>
        <w:tc>
          <w:tcPr>
            <w:tcW w:type="dxa" w:w="665"/>
          </w:tcPr>
          <w:p>
            <w:pPr>
              <w:spacing w:before="40" w:after="40"/>
            </w:pPr>
            <w:r>
              <w:rPr>
                <w:rFonts w:ascii="Calibri" w:hAnsi="Calibri"/>
                <w:sz w:val="18"/>
              </w:rPr>
              <w:t>14</w:t>
            </w:r>
          </w:p>
        </w:tc>
        <w:tc>
          <w:tcPr>
            <w:tcW w:type="dxa" w:w="665"/>
          </w:tcPr>
          <w:p>
            <w:pPr>
              <w:spacing w:before="40" w:after="40"/>
            </w:pPr>
            <w:r>
              <w:rPr>
                <w:rFonts w:ascii="Calibri" w:hAnsi="Calibri"/>
                <w:sz w:val="18"/>
              </w:rPr>
              <w:t>27</w:t>
            </w:r>
          </w:p>
        </w:tc>
        <w:tc>
          <w:tcPr>
            <w:tcW w:type="dxa" w:w="665"/>
          </w:tcPr>
          <w:p>
            <w:pPr>
              <w:spacing w:before="40" w:after="40"/>
            </w:pPr>
            <w:r>
              <w:rPr>
                <w:rFonts w:ascii="Calibri" w:hAnsi="Calibri"/>
                <w:sz w:val="18"/>
              </w:rPr>
              <w:t>55</w:t>
            </w:r>
          </w:p>
        </w:tc>
      </w:tr>
      <w:tr>
        <w:tc>
          <w:tcPr>
            <w:tcW w:type="dxa" w:w="665"/>
            <w:shd w:fill="E8F0FE"/>
          </w:tcPr>
          <w:p>
            <w:pPr>
              <w:spacing w:before="40" w:after="40"/>
            </w:pPr>
            <w:r>
              <w:rPr>
                <w:rFonts w:ascii="Calibri" w:hAnsi="Calibri"/>
                <w:b/>
                <w:sz w:val="18"/>
              </w:rPr>
              <w:t>Investments</w:t>
            </w:r>
          </w:p>
        </w:tc>
        <w:tc>
          <w:tcPr>
            <w:tcW w:type="dxa" w:w="665"/>
            <w:shd w:fill="E8F0FE"/>
          </w:tcPr>
          <w:p>
            <w:pPr>
              <w:spacing w:before="40" w:after="40"/>
            </w:pPr>
            <w:r>
              <w:rPr>
                <w:rFonts w:ascii="Calibri" w:hAnsi="Calibri"/>
                <w:sz w:val="18"/>
              </w:rPr>
              <w:t>54</w:t>
            </w:r>
          </w:p>
        </w:tc>
        <w:tc>
          <w:tcPr>
            <w:tcW w:type="dxa" w:w="665"/>
            <w:shd w:fill="E8F0FE"/>
          </w:tcPr>
          <w:p>
            <w:pPr>
              <w:spacing w:before="40" w:after="40"/>
            </w:pPr>
            <w:r>
              <w:rPr>
                <w:rFonts w:ascii="Calibri" w:hAnsi="Calibri"/>
                <w:sz w:val="18"/>
              </w:rPr>
              <w:t>54</w:t>
            </w:r>
          </w:p>
        </w:tc>
        <w:tc>
          <w:tcPr>
            <w:tcW w:type="dxa" w:w="665"/>
            <w:shd w:fill="E8F0FE"/>
          </w:tcPr>
          <w:p>
            <w:pPr>
              <w:spacing w:before="40" w:after="40"/>
            </w:pPr>
            <w:r>
              <w:rPr>
                <w:rFonts w:ascii="Calibri" w:hAnsi="Calibri"/>
                <w:sz w:val="18"/>
              </w:rPr>
              <w:t>773</w:t>
            </w:r>
          </w:p>
        </w:tc>
        <w:tc>
          <w:tcPr>
            <w:tcW w:type="dxa" w:w="665"/>
            <w:shd w:fill="E8F0FE"/>
          </w:tcPr>
          <w:p>
            <w:pPr>
              <w:spacing w:before="40" w:after="40"/>
            </w:pPr>
            <w:r>
              <w:rPr>
                <w:rFonts w:ascii="Calibri" w:hAnsi="Calibri"/>
                <w:sz w:val="18"/>
              </w:rPr>
              <w:t>950</w:t>
            </w:r>
          </w:p>
        </w:tc>
        <w:tc>
          <w:tcPr>
            <w:tcW w:type="dxa" w:w="665"/>
            <w:shd w:fill="E8F0FE"/>
          </w:tcPr>
          <w:p>
            <w:pPr>
              <w:spacing w:before="40" w:after="40"/>
            </w:pPr>
            <w:r>
              <w:rPr>
                <w:rFonts w:ascii="Calibri" w:hAnsi="Calibri"/>
                <w:sz w:val="18"/>
              </w:rPr>
              <w:t>1,062</w:t>
            </w:r>
          </w:p>
        </w:tc>
        <w:tc>
          <w:tcPr>
            <w:tcW w:type="dxa" w:w="665"/>
            <w:shd w:fill="E8F0FE"/>
          </w:tcPr>
          <w:p>
            <w:pPr>
              <w:spacing w:before="40" w:after="40"/>
            </w:pPr>
            <w:r>
              <w:rPr>
                <w:rFonts w:ascii="Calibri" w:hAnsi="Calibri"/>
                <w:sz w:val="18"/>
              </w:rPr>
              <w:t>377</w:t>
            </w:r>
          </w:p>
        </w:tc>
        <w:tc>
          <w:tcPr>
            <w:tcW w:type="dxa" w:w="665"/>
            <w:shd w:fill="E8F0FE"/>
          </w:tcPr>
          <w:p>
            <w:pPr>
              <w:spacing w:before="40" w:after="40"/>
            </w:pPr>
            <w:r>
              <w:rPr>
                <w:rFonts w:ascii="Calibri" w:hAnsi="Calibri"/>
                <w:sz w:val="18"/>
              </w:rPr>
              <w:t>474</w:t>
            </w:r>
          </w:p>
        </w:tc>
        <w:tc>
          <w:tcPr>
            <w:tcW w:type="dxa" w:w="665"/>
            <w:shd w:fill="E8F0FE"/>
          </w:tcPr>
          <w:p>
            <w:pPr>
              <w:spacing w:before="40" w:after="40"/>
            </w:pPr>
            <w:r>
              <w:rPr>
                <w:rFonts w:ascii="Calibri" w:hAnsi="Calibri"/>
                <w:sz w:val="18"/>
              </w:rPr>
              <w:t>367</w:t>
            </w:r>
          </w:p>
        </w:tc>
        <w:tc>
          <w:tcPr>
            <w:tcW w:type="dxa" w:w="665"/>
            <w:shd w:fill="E8F0FE"/>
          </w:tcPr>
          <w:p>
            <w:pPr>
              <w:spacing w:before="40" w:after="40"/>
            </w:pPr>
            <w:r>
              <w:rPr>
                <w:rFonts w:ascii="Calibri" w:hAnsi="Calibri"/>
                <w:sz w:val="18"/>
              </w:rPr>
              <w:t>194</w:t>
            </w:r>
          </w:p>
        </w:tc>
        <w:tc>
          <w:tcPr>
            <w:tcW w:type="dxa" w:w="665"/>
            <w:shd w:fill="E8F0FE"/>
          </w:tcPr>
          <w:p>
            <w:pPr>
              <w:spacing w:before="40" w:after="40"/>
            </w:pPr>
            <w:r>
              <w:rPr>
                <w:rFonts w:ascii="Calibri" w:hAnsi="Calibri"/>
                <w:sz w:val="18"/>
              </w:rPr>
              <w:t>747</w:t>
            </w:r>
          </w:p>
        </w:tc>
        <w:tc>
          <w:tcPr>
            <w:tcW w:type="dxa" w:w="665"/>
            <w:shd w:fill="E8F0FE"/>
          </w:tcPr>
          <w:p>
            <w:pPr>
              <w:spacing w:before="40" w:after="40"/>
            </w:pPr>
            <w:r>
              <w:rPr>
                <w:rFonts w:ascii="Calibri" w:hAnsi="Calibri"/>
                <w:sz w:val="18"/>
              </w:rPr>
              <w:t>1,467</w:t>
            </w:r>
          </w:p>
        </w:tc>
        <w:tc>
          <w:tcPr>
            <w:tcW w:type="dxa" w:w="665"/>
            <w:shd w:fill="E8F0FE"/>
          </w:tcPr>
          <w:p>
            <w:pPr>
              <w:spacing w:before="40" w:after="40"/>
            </w:pPr>
            <w:r>
              <w:rPr>
                <w:rFonts w:ascii="Calibri" w:hAnsi="Calibri"/>
                <w:sz w:val="18"/>
              </w:rPr>
              <w:t>1,472</w:t>
            </w:r>
          </w:p>
        </w:tc>
      </w:tr>
      <w:tr>
        <w:tc>
          <w:tcPr>
            <w:tcW w:type="dxa" w:w="665"/>
          </w:tcPr>
          <w:p>
            <w:pPr>
              <w:spacing w:before="40" w:after="40"/>
            </w:pPr>
            <w:r>
              <w:rPr>
                <w:rFonts w:ascii="Calibri" w:hAnsi="Calibri"/>
                <w:b/>
                <w:sz w:val="18"/>
              </w:rPr>
              <w:t>Other Assets+</w:t>
            </w:r>
          </w:p>
        </w:tc>
        <w:tc>
          <w:tcPr>
            <w:tcW w:type="dxa" w:w="665"/>
          </w:tcPr>
          <w:p>
            <w:pPr>
              <w:spacing w:before="40" w:after="40"/>
            </w:pPr>
            <w:r>
              <w:rPr>
                <w:rFonts w:ascii="Calibri" w:hAnsi="Calibri"/>
                <w:sz w:val="18"/>
              </w:rPr>
              <w:t>3,077</w:t>
            </w:r>
          </w:p>
        </w:tc>
        <w:tc>
          <w:tcPr>
            <w:tcW w:type="dxa" w:w="665"/>
          </w:tcPr>
          <w:p>
            <w:pPr>
              <w:spacing w:before="40" w:after="40"/>
            </w:pPr>
            <w:r>
              <w:rPr>
                <w:rFonts w:ascii="Calibri" w:hAnsi="Calibri"/>
                <w:sz w:val="18"/>
              </w:rPr>
              <w:t>3,701</w:t>
            </w:r>
          </w:p>
        </w:tc>
        <w:tc>
          <w:tcPr>
            <w:tcW w:type="dxa" w:w="665"/>
          </w:tcPr>
          <w:p>
            <w:pPr>
              <w:spacing w:before="40" w:after="40"/>
            </w:pPr>
            <w:r>
              <w:rPr>
                <w:rFonts w:ascii="Calibri" w:hAnsi="Calibri"/>
                <w:sz w:val="18"/>
              </w:rPr>
              <w:t>2,218</w:t>
            </w:r>
          </w:p>
        </w:tc>
        <w:tc>
          <w:tcPr>
            <w:tcW w:type="dxa" w:w="665"/>
          </w:tcPr>
          <w:p>
            <w:pPr>
              <w:spacing w:before="40" w:after="40"/>
            </w:pPr>
            <w:r>
              <w:rPr>
                <w:rFonts w:ascii="Calibri" w:hAnsi="Calibri"/>
                <w:sz w:val="18"/>
              </w:rPr>
              <w:t>2,566</w:t>
            </w:r>
          </w:p>
        </w:tc>
        <w:tc>
          <w:tcPr>
            <w:tcW w:type="dxa" w:w="665"/>
          </w:tcPr>
          <w:p>
            <w:pPr>
              <w:spacing w:before="40" w:after="40"/>
            </w:pPr>
            <w:r>
              <w:rPr>
                <w:rFonts w:ascii="Calibri" w:hAnsi="Calibri"/>
                <w:sz w:val="18"/>
              </w:rPr>
              <w:t>3,586</w:t>
            </w:r>
          </w:p>
        </w:tc>
        <w:tc>
          <w:tcPr>
            <w:tcW w:type="dxa" w:w="665"/>
          </w:tcPr>
          <w:p>
            <w:pPr>
              <w:spacing w:before="40" w:after="40"/>
            </w:pPr>
            <w:r>
              <w:rPr>
                <w:rFonts w:ascii="Calibri" w:hAnsi="Calibri"/>
                <w:sz w:val="18"/>
              </w:rPr>
              <w:t>3,901</w:t>
            </w:r>
          </w:p>
        </w:tc>
        <w:tc>
          <w:tcPr>
            <w:tcW w:type="dxa" w:w="665"/>
          </w:tcPr>
          <w:p>
            <w:pPr>
              <w:spacing w:before="40" w:after="40"/>
            </w:pPr>
            <w:r>
              <w:rPr>
                <w:rFonts w:ascii="Calibri" w:hAnsi="Calibri"/>
                <w:sz w:val="18"/>
              </w:rPr>
              <w:t>3,677</w:t>
            </w:r>
          </w:p>
        </w:tc>
        <w:tc>
          <w:tcPr>
            <w:tcW w:type="dxa" w:w="665"/>
          </w:tcPr>
          <w:p>
            <w:pPr>
              <w:spacing w:before="40" w:after="40"/>
            </w:pPr>
            <w:r>
              <w:rPr>
                <w:rFonts w:ascii="Calibri" w:hAnsi="Calibri"/>
                <w:sz w:val="18"/>
              </w:rPr>
              <w:t>3,397</w:t>
            </w:r>
          </w:p>
        </w:tc>
        <w:tc>
          <w:tcPr>
            <w:tcW w:type="dxa" w:w="665"/>
          </w:tcPr>
          <w:p>
            <w:pPr>
              <w:spacing w:before="40" w:after="40"/>
            </w:pPr>
            <w:r>
              <w:rPr>
                <w:rFonts w:ascii="Calibri" w:hAnsi="Calibri"/>
                <w:sz w:val="18"/>
              </w:rPr>
              <w:t>2,357</w:t>
            </w:r>
          </w:p>
        </w:tc>
        <w:tc>
          <w:tcPr>
            <w:tcW w:type="dxa" w:w="665"/>
          </w:tcPr>
          <w:p>
            <w:pPr>
              <w:spacing w:before="40" w:after="40"/>
            </w:pPr>
            <w:r>
              <w:rPr>
                <w:rFonts w:ascii="Calibri" w:hAnsi="Calibri"/>
                <w:sz w:val="18"/>
              </w:rPr>
              <w:t>1,225</w:t>
            </w:r>
          </w:p>
        </w:tc>
        <w:tc>
          <w:tcPr>
            <w:tcW w:type="dxa" w:w="665"/>
          </w:tcPr>
          <w:p>
            <w:pPr>
              <w:spacing w:before="40" w:after="40"/>
            </w:pPr>
            <w:r>
              <w:rPr>
                <w:rFonts w:ascii="Calibri" w:hAnsi="Calibri"/>
                <w:sz w:val="18"/>
              </w:rPr>
              <w:t>919</w:t>
            </w:r>
          </w:p>
        </w:tc>
        <w:tc>
          <w:tcPr>
            <w:tcW w:type="dxa" w:w="665"/>
          </w:tcPr>
          <w:p>
            <w:pPr>
              <w:spacing w:before="40" w:after="40"/>
            </w:pPr>
            <w:r>
              <w:rPr>
                <w:rFonts w:ascii="Calibri" w:hAnsi="Calibri"/>
                <w:sz w:val="18"/>
              </w:rPr>
              <w:t>826</w:t>
            </w:r>
          </w:p>
        </w:tc>
      </w:tr>
      <w:tr>
        <w:tc>
          <w:tcPr>
            <w:tcW w:type="dxa" w:w="665"/>
            <w:shd w:fill="E8F0FE"/>
          </w:tcPr>
          <w:p>
            <w:pPr>
              <w:spacing w:before="40" w:after="40"/>
            </w:pPr>
            <w:r>
              <w:rPr>
                <w:rFonts w:ascii="Calibri" w:hAnsi="Calibri"/>
                <w:b/>
                <w:sz w:val="18"/>
              </w:rPr>
              <w:t>Total Assets</w:t>
            </w:r>
          </w:p>
        </w:tc>
        <w:tc>
          <w:tcPr>
            <w:tcW w:type="dxa" w:w="665"/>
            <w:shd w:fill="E8F0FE"/>
          </w:tcPr>
          <w:p>
            <w:pPr>
              <w:spacing w:before="40" w:after="40"/>
            </w:pPr>
            <w:r>
              <w:rPr>
                <w:rFonts w:ascii="Calibri" w:hAnsi="Calibri"/>
                <w:sz w:val="18"/>
              </w:rPr>
              <w:t>4,085</w:t>
            </w:r>
          </w:p>
        </w:tc>
        <w:tc>
          <w:tcPr>
            <w:tcW w:type="dxa" w:w="665"/>
            <w:shd w:fill="E8F0FE"/>
          </w:tcPr>
          <w:p>
            <w:pPr>
              <w:spacing w:before="40" w:after="40"/>
            </w:pPr>
            <w:r>
              <w:rPr>
                <w:rFonts w:ascii="Calibri" w:hAnsi="Calibri"/>
                <w:sz w:val="18"/>
              </w:rPr>
              <w:t>4,459</w:t>
            </w:r>
          </w:p>
        </w:tc>
        <w:tc>
          <w:tcPr>
            <w:tcW w:type="dxa" w:w="665"/>
            <w:shd w:fill="E8F0FE"/>
          </w:tcPr>
          <w:p>
            <w:pPr>
              <w:spacing w:before="40" w:after="40"/>
            </w:pPr>
            <w:r>
              <w:rPr>
                <w:rFonts w:ascii="Calibri" w:hAnsi="Calibri"/>
                <w:sz w:val="18"/>
              </w:rPr>
              <w:t>3,637</w:t>
            </w:r>
          </w:p>
        </w:tc>
        <w:tc>
          <w:tcPr>
            <w:tcW w:type="dxa" w:w="665"/>
            <w:shd w:fill="E8F0FE"/>
          </w:tcPr>
          <w:p>
            <w:pPr>
              <w:spacing w:before="40" w:after="40"/>
            </w:pPr>
            <w:r>
              <w:rPr>
                <w:rFonts w:ascii="Calibri" w:hAnsi="Calibri"/>
                <w:sz w:val="18"/>
              </w:rPr>
              <w:t>4,147</w:t>
            </w:r>
          </w:p>
        </w:tc>
        <w:tc>
          <w:tcPr>
            <w:tcW w:type="dxa" w:w="665"/>
            <w:shd w:fill="E8F0FE"/>
          </w:tcPr>
          <w:p>
            <w:pPr>
              <w:spacing w:before="40" w:after="40"/>
            </w:pPr>
            <w:r>
              <w:rPr>
                <w:rFonts w:ascii="Calibri" w:hAnsi="Calibri"/>
                <w:sz w:val="18"/>
              </w:rPr>
              <w:t>5,181</w:t>
            </w:r>
          </w:p>
        </w:tc>
        <w:tc>
          <w:tcPr>
            <w:tcW w:type="dxa" w:w="665"/>
            <w:shd w:fill="E8F0FE"/>
          </w:tcPr>
          <w:p>
            <w:pPr>
              <w:spacing w:before="40" w:after="40"/>
            </w:pPr>
            <w:r>
              <w:rPr>
                <w:rFonts w:ascii="Calibri" w:hAnsi="Calibri"/>
                <w:sz w:val="18"/>
              </w:rPr>
              <w:t>4,800</w:t>
            </w:r>
          </w:p>
        </w:tc>
        <w:tc>
          <w:tcPr>
            <w:tcW w:type="dxa" w:w="665"/>
            <w:shd w:fill="E8F0FE"/>
          </w:tcPr>
          <w:p>
            <w:pPr>
              <w:spacing w:before="40" w:after="40"/>
            </w:pPr>
            <w:r>
              <w:rPr>
                <w:rFonts w:ascii="Calibri" w:hAnsi="Calibri"/>
                <w:sz w:val="18"/>
              </w:rPr>
              <w:t>4,639</w:t>
            </w:r>
          </w:p>
        </w:tc>
        <w:tc>
          <w:tcPr>
            <w:tcW w:type="dxa" w:w="665"/>
            <w:shd w:fill="E8F0FE"/>
          </w:tcPr>
          <w:p>
            <w:pPr>
              <w:spacing w:before="40" w:after="40"/>
            </w:pPr>
            <w:r>
              <w:rPr>
                <w:rFonts w:ascii="Calibri" w:hAnsi="Calibri"/>
                <w:sz w:val="18"/>
              </w:rPr>
              <w:t>4,231</w:t>
            </w:r>
          </w:p>
        </w:tc>
        <w:tc>
          <w:tcPr>
            <w:tcW w:type="dxa" w:w="665"/>
            <w:shd w:fill="E8F0FE"/>
          </w:tcPr>
          <w:p>
            <w:pPr>
              <w:spacing w:before="40" w:after="40"/>
            </w:pPr>
            <w:r>
              <w:rPr>
                <w:rFonts w:ascii="Calibri" w:hAnsi="Calibri"/>
                <w:sz w:val="18"/>
              </w:rPr>
              <w:t>2,994</w:t>
            </w:r>
          </w:p>
        </w:tc>
        <w:tc>
          <w:tcPr>
            <w:tcW w:type="dxa" w:w="665"/>
            <w:shd w:fill="E8F0FE"/>
          </w:tcPr>
          <w:p>
            <w:pPr>
              <w:spacing w:before="40" w:after="40"/>
            </w:pPr>
            <w:r>
              <w:rPr>
                <w:rFonts w:ascii="Calibri" w:hAnsi="Calibri"/>
                <w:sz w:val="18"/>
              </w:rPr>
              <w:t>2,560</w:t>
            </w:r>
          </w:p>
        </w:tc>
        <w:tc>
          <w:tcPr>
            <w:tcW w:type="dxa" w:w="665"/>
            <w:shd w:fill="E8F0FE"/>
          </w:tcPr>
          <w:p>
            <w:pPr>
              <w:spacing w:before="40" w:after="40"/>
            </w:pPr>
            <w:r>
              <w:rPr>
                <w:rFonts w:ascii="Calibri" w:hAnsi="Calibri"/>
                <w:sz w:val="18"/>
              </w:rPr>
              <w:t>2,995</w:t>
            </w:r>
          </w:p>
        </w:tc>
        <w:tc>
          <w:tcPr>
            <w:tcW w:type="dxa" w:w="665"/>
            <w:shd w:fill="E8F0FE"/>
          </w:tcPr>
          <w:p>
            <w:pPr>
              <w:spacing w:before="40" w:after="40"/>
            </w:pPr>
            <w:r>
              <w:rPr>
                <w:rFonts w:ascii="Calibri" w:hAnsi="Calibri"/>
                <w:sz w:val="18"/>
              </w:rPr>
              <w:t>2,939</w:t>
            </w:r>
          </w:p>
        </w:tc>
      </w:tr>
    </w:tbl>
    <w:p/>
    <w:p>
      <w:pPr>
        <w:pStyle w:val="Heading2"/>
      </w:pPr>
      <w:r>
        <w:rPr>
          <w:rFonts w:ascii="Calibri" w:hAnsi="Calibri"/>
          <w:color w:val="1F5F8B"/>
          <w:sz w:val="26"/>
        </w:rPr>
        <w:t>3.3 Consolidated Cash Flow Statement (Rs. in Crores)</w:t>
      </w:r>
    </w:p>
    <w:p>
      <w:pPr>
        <w:spacing w:after="80"/>
      </w:pPr>
      <w:r>
        <w:rPr>
          <w:rFonts w:ascii="Calibri" w:hAnsi="Calibri"/>
          <w:color w:val="333333"/>
          <w:sz w:val="20"/>
        </w:rPr>
        <w:t>(Source: Screener.in)</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720"/>
        <w:gridCol w:w="720"/>
        <w:gridCol w:w="720"/>
        <w:gridCol w:w="720"/>
        <w:gridCol w:w="720"/>
        <w:gridCol w:w="720"/>
        <w:gridCol w:w="720"/>
        <w:gridCol w:w="720"/>
        <w:gridCol w:w="720"/>
        <w:gridCol w:w="720"/>
        <w:gridCol w:w="720"/>
        <w:gridCol w:w="720"/>
      </w:tblGrid>
      <w:tr>
        <w:tc>
          <w:tcPr>
            <w:tcW w:type="dxa" w:w="720"/>
            <w:shd w:fill="1F5F8B"/>
          </w:tcPr>
          <w:p>
            <w:pPr>
              <w:spacing w:before="40" w:after="40"/>
            </w:pPr>
            <w:r>
              <w:rPr>
                <w:rFonts w:ascii="Calibri" w:hAnsi="Calibri"/>
                <w:b/>
                <w:color w:val="FFFFFF"/>
                <w:sz w:val="18"/>
              </w:rPr>
            </w:r>
          </w:p>
        </w:tc>
        <w:tc>
          <w:tcPr>
            <w:tcW w:type="dxa" w:w="720"/>
            <w:shd w:fill="1F5F8B"/>
          </w:tcPr>
          <w:p>
            <w:pPr>
              <w:spacing w:before="40" w:after="40"/>
            </w:pPr>
            <w:r>
              <w:rPr>
                <w:rFonts w:ascii="Calibri" w:hAnsi="Calibri"/>
                <w:b/>
                <w:color w:val="FFFFFF"/>
                <w:sz w:val="18"/>
              </w:rPr>
              <w:t>Mar 2015</w:t>
            </w:r>
          </w:p>
        </w:tc>
        <w:tc>
          <w:tcPr>
            <w:tcW w:type="dxa" w:w="720"/>
            <w:shd w:fill="1F5F8B"/>
          </w:tcPr>
          <w:p>
            <w:pPr>
              <w:spacing w:before="40" w:after="40"/>
            </w:pPr>
            <w:r>
              <w:rPr>
                <w:rFonts w:ascii="Calibri" w:hAnsi="Calibri"/>
                <w:b/>
                <w:color w:val="FFFFFF"/>
                <w:sz w:val="18"/>
              </w:rPr>
              <w:t>Mar 2016</w:t>
            </w:r>
          </w:p>
        </w:tc>
        <w:tc>
          <w:tcPr>
            <w:tcW w:type="dxa" w:w="720"/>
            <w:shd w:fill="1F5F8B"/>
          </w:tcPr>
          <w:p>
            <w:pPr>
              <w:spacing w:before="40" w:after="40"/>
            </w:pPr>
            <w:r>
              <w:rPr>
                <w:rFonts w:ascii="Calibri" w:hAnsi="Calibri"/>
                <w:b/>
                <w:color w:val="FFFFFF"/>
                <w:sz w:val="18"/>
              </w:rPr>
              <w:t>Mar 2017</w:t>
            </w:r>
          </w:p>
        </w:tc>
        <w:tc>
          <w:tcPr>
            <w:tcW w:type="dxa" w:w="720"/>
            <w:shd w:fill="1F5F8B"/>
          </w:tcPr>
          <w:p>
            <w:pPr>
              <w:spacing w:before="40" w:after="40"/>
            </w:pPr>
            <w:r>
              <w:rPr>
                <w:rFonts w:ascii="Calibri" w:hAnsi="Calibri"/>
                <w:b/>
                <w:color w:val="FFFFFF"/>
                <w:sz w:val="18"/>
              </w:rPr>
              <w:t>Mar 2018</w:t>
            </w:r>
          </w:p>
        </w:tc>
        <w:tc>
          <w:tcPr>
            <w:tcW w:type="dxa" w:w="720"/>
            <w:shd w:fill="1F5F8B"/>
          </w:tcPr>
          <w:p>
            <w:pPr>
              <w:spacing w:before="40" w:after="40"/>
            </w:pPr>
            <w:r>
              <w:rPr>
                <w:rFonts w:ascii="Calibri" w:hAnsi="Calibri"/>
                <w:b/>
                <w:color w:val="FFFFFF"/>
                <w:sz w:val="18"/>
              </w:rPr>
              <w:t>Mar 2019</w:t>
            </w:r>
          </w:p>
        </w:tc>
        <w:tc>
          <w:tcPr>
            <w:tcW w:type="dxa" w:w="720"/>
            <w:shd w:fill="1F5F8B"/>
          </w:tcPr>
          <w:p>
            <w:pPr>
              <w:spacing w:before="40" w:after="40"/>
            </w:pPr>
            <w:r>
              <w:rPr>
                <w:rFonts w:ascii="Calibri" w:hAnsi="Calibri"/>
                <w:b/>
                <w:color w:val="FFFFFF"/>
                <w:sz w:val="18"/>
              </w:rPr>
              <w:t>Mar 2020</w:t>
            </w:r>
          </w:p>
        </w:tc>
        <w:tc>
          <w:tcPr>
            <w:tcW w:type="dxa" w:w="720"/>
            <w:shd w:fill="1F5F8B"/>
          </w:tcPr>
          <w:p>
            <w:pPr>
              <w:spacing w:before="40" w:after="40"/>
            </w:pPr>
            <w:r>
              <w:rPr>
                <w:rFonts w:ascii="Calibri" w:hAnsi="Calibri"/>
                <w:b/>
                <w:color w:val="FFFFFF"/>
                <w:sz w:val="18"/>
              </w:rPr>
              <w:t>Mar 2021</w:t>
            </w:r>
          </w:p>
        </w:tc>
        <w:tc>
          <w:tcPr>
            <w:tcW w:type="dxa" w:w="720"/>
            <w:shd w:fill="1F5F8B"/>
          </w:tcPr>
          <w:p>
            <w:pPr>
              <w:spacing w:before="40" w:after="40"/>
            </w:pPr>
            <w:r>
              <w:rPr>
                <w:rFonts w:ascii="Calibri" w:hAnsi="Calibri"/>
                <w:b/>
                <w:color w:val="FFFFFF"/>
                <w:sz w:val="18"/>
              </w:rPr>
              <w:t>Mar 2022</w:t>
            </w:r>
          </w:p>
        </w:tc>
        <w:tc>
          <w:tcPr>
            <w:tcW w:type="dxa" w:w="720"/>
            <w:shd w:fill="1F5F8B"/>
          </w:tcPr>
          <w:p>
            <w:pPr>
              <w:spacing w:before="40" w:after="40"/>
            </w:pPr>
            <w:r>
              <w:rPr>
                <w:rFonts w:ascii="Calibri" w:hAnsi="Calibri"/>
                <w:b/>
                <w:color w:val="FFFFFF"/>
                <w:sz w:val="18"/>
              </w:rPr>
              <w:t>Mar 2023</w:t>
            </w:r>
          </w:p>
        </w:tc>
        <w:tc>
          <w:tcPr>
            <w:tcW w:type="dxa" w:w="720"/>
            <w:shd w:fill="1F5F8B"/>
          </w:tcPr>
          <w:p>
            <w:pPr>
              <w:spacing w:before="40" w:after="40"/>
            </w:pPr>
            <w:r>
              <w:rPr>
                <w:rFonts w:ascii="Calibri" w:hAnsi="Calibri"/>
                <w:b/>
                <w:color w:val="FFFFFF"/>
                <w:sz w:val="18"/>
              </w:rPr>
              <w:t>Mar 2024</w:t>
            </w:r>
          </w:p>
        </w:tc>
        <w:tc>
          <w:tcPr>
            <w:tcW w:type="dxa" w:w="720"/>
            <w:shd w:fill="1F5F8B"/>
          </w:tcPr>
          <w:p>
            <w:pPr>
              <w:spacing w:before="40" w:after="40"/>
            </w:pPr>
            <w:r>
              <w:rPr>
                <w:rFonts w:ascii="Calibri" w:hAnsi="Calibri"/>
                <w:b/>
                <w:color w:val="FFFFFF"/>
                <w:sz w:val="18"/>
              </w:rPr>
              <w:t>Mar 2025</w:t>
            </w:r>
          </w:p>
        </w:tc>
      </w:tr>
      <w:tr>
        <w:tc>
          <w:tcPr>
            <w:tcW w:type="dxa" w:w="720"/>
          </w:tcPr>
          <w:p>
            <w:pPr>
              <w:spacing w:before="40" w:after="40"/>
            </w:pPr>
            <w:r>
              <w:rPr>
                <w:rFonts w:ascii="Calibri" w:hAnsi="Calibri"/>
                <w:b/>
                <w:sz w:val="18"/>
              </w:rPr>
              <w:t>Cash from Operating Activity+</w:t>
            </w:r>
          </w:p>
        </w:tc>
        <w:tc>
          <w:tcPr>
            <w:tcW w:type="dxa" w:w="720"/>
          </w:tcPr>
          <w:p>
            <w:pPr>
              <w:spacing w:before="40" w:after="40"/>
            </w:pPr>
            <w:r>
              <w:rPr>
                <w:rFonts w:ascii="Calibri" w:hAnsi="Calibri"/>
                <w:sz w:val="18"/>
              </w:rPr>
              <w:t>48</w:t>
            </w:r>
          </w:p>
        </w:tc>
        <w:tc>
          <w:tcPr>
            <w:tcW w:type="dxa" w:w="720"/>
          </w:tcPr>
          <w:p>
            <w:pPr>
              <w:spacing w:before="40" w:after="40"/>
            </w:pPr>
            <w:r>
              <w:rPr>
                <w:rFonts w:ascii="Calibri" w:hAnsi="Calibri"/>
                <w:sz w:val="18"/>
              </w:rPr>
              <w:t>-436</w:t>
            </w:r>
          </w:p>
        </w:tc>
        <w:tc>
          <w:tcPr>
            <w:tcW w:type="dxa" w:w="720"/>
          </w:tcPr>
          <w:p>
            <w:pPr>
              <w:spacing w:before="40" w:after="40"/>
            </w:pPr>
            <w:r>
              <w:rPr>
                <w:rFonts w:ascii="Calibri" w:hAnsi="Calibri"/>
                <w:sz w:val="18"/>
              </w:rPr>
              <w:t>169</w:t>
            </w:r>
          </w:p>
        </w:tc>
        <w:tc>
          <w:tcPr>
            <w:tcW w:type="dxa" w:w="720"/>
          </w:tcPr>
          <w:p>
            <w:pPr>
              <w:spacing w:before="40" w:after="40"/>
            </w:pPr>
            <w:r>
              <w:rPr>
                <w:rFonts w:ascii="Calibri" w:hAnsi="Calibri"/>
                <w:sz w:val="18"/>
              </w:rPr>
              <w:t>-451</w:t>
            </w:r>
          </w:p>
        </w:tc>
        <w:tc>
          <w:tcPr>
            <w:tcW w:type="dxa" w:w="720"/>
          </w:tcPr>
          <w:p>
            <w:pPr>
              <w:spacing w:before="40" w:after="40"/>
            </w:pPr>
            <w:r>
              <w:rPr>
                <w:rFonts w:ascii="Calibri" w:hAnsi="Calibri"/>
                <w:sz w:val="18"/>
              </w:rPr>
              <w:t>-774</w:t>
            </w:r>
          </w:p>
        </w:tc>
        <w:tc>
          <w:tcPr>
            <w:tcW w:type="dxa" w:w="720"/>
          </w:tcPr>
          <w:p>
            <w:pPr>
              <w:spacing w:before="40" w:after="40"/>
            </w:pPr>
            <w:r>
              <w:rPr>
                <w:rFonts w:ascii="Calibri" w:hAnsi="Calibri"/>
                <w:sz w:val="18"/>
              </w:rPr>
              <w:t>99</w:t>
            </w:r>
          </w:p>
        </w:tc>
        <w:tc>
          <w:tcPr>
            <w:tcW w:type="dxa" w:w="720"/>
          </w:tcPr>
          <w:p>
            <w:pPr>
              <w:spacing w:before="40" w:after="40"/>
            </w:pPr>
            <w:r>
              <w:rPr>
                <w:rFonts w:ascii="Calibri" w:hAnsi="Calibri"/>
                <w:sz w:val="18"/>
              </w:rPr>
              <w:t>604</w:t>
            </w:r>
          </w:p>
        </w:tc>
        <w:tc>
          <w:tcPr>
            <w:tcW w:type="dxa" w:w="720"/>
          </w:tcPr>
          <w:p>
            <w:pPr>
              <w:spacing w:before="40" w:after="40"/>
            </w:pPr>
            <w:r>
              <w:rPr>
                <w:rFonts w:ascii="Calibri" w:hAnsi="Calibri"/>
                <w:sz w:val="18"/>
              </w:rPr>
              <w:t>522</w:t>
            </w:r>
          </w:p>
        </w:tc>
        <w:tc>
          <w:tcPr>
            <w:tcW w:type="dxa" w:w="720"/>
          </w:tcPr>
          <w:p>
            <w:pPr>
              <w:spacing w:before="40" w:after="40"/>
            </w:pPr>
            <w:r>
              <w:rPr>
                <w:rFonts w:ascii="Calibri" w:hAnsi="Calibri"/>
                <w:sz w:val="18"/>
              </w:rPr>
              <w:t>861</w:t>
            </w:r>
          </w:p>
        </w:tc>
        <w:tc>
          <w:tcPr>
            <w:tcW w:type="dxa" w:w="720"/>
          </w:tcPr>
          <w:p>
            <w:pPr>
              <w:spacing w:before="40" w:after="40"/>
            </w:pPr>
            <w:r>
              <w:rPr>
                <w:rFonts w:ascii="Calibri" w:hAnsi="Calibri"/>
                <w:sz w:val="18"/>
              </w:rPr>
              <w:t>355</w:t>
            </w:r>
          </w:p>
        </w:tc>
        <w:tc>
          <w:tcPr>
            <w:tcW w:type="dxa" w:w="720"/>
          </w:tcPr>
          <w:p>
            <w:pPr>
              <w:spacing w:before="40" w:after="40"/>
            </w:pPr>
            <w:r>
              <w:rPr>
                <w:rFonts w:ascii="Calibri" w:hAnsi="Calibri"/>
                <w:sz w:val="18"/>
              </w:rPr>
              <w:t>-17</w:t>
            </w:r>
          </w:p>
        </w:tc>
      </w:tr>
      <w:tr>
        <w:tc>
          <w:tcPr>
            <w:tcW w:type="dxa" w:w="720"/>
            <w:shd w:fill="E8F0FE"/>
          </w:tcPr>
          <w:p>
            <w:pPr>
              <w:spacing w:before="40" w:after="40"/>
            </w:pPr>
            <w:r>
              <w:rPr>
                <w:rFonts w:ascii="Calibri" w:hAnsi="Calibri"/>
                <w:b/>
                <w:sz w:val="18"/>
              </w:rPr>
              <w:t>Cash from Investing Activity+</w:t>
            </w:r>
          </w:p>
        </w:tc>
        <w:tc>
          <w:tcPr>
            <w:tcW w:type="dxa" w:w="720"/>
            <w:shd w:fill="E8F0FE"/>
          </w:tcPr>
          <w:p>
            <w:pPr>
              <w:spacing w:before="40" w:after="40"/>
            </w:pPr>
            <w:r>
              <w:rPr>
                <w:rFonts w:ascii="Calibri" w:hAnsi="Calibri"/>
                <w:sz w:val="18"/>
              </w:rPr>
              <w:t>-89</w:t>
            </w:r>
          </w:p>
        </w:tc>
        <w:tc>
          <w:tcPr>
            <w:tcW w:type="dxa" w:w="720"/>
            <w:shd w:fill="E8F0FE"/>
          </w:tcPr>
          <w:p>
            <w:pPr>
              <w:spacing w:before="40" w:after="40"/>
            </w:pPr>
            <w:r>
              <w:rPr>
                <w:rFonts w:ascii="Calibri" w:hAnsi="Calibri"/>
                <w:sz w:val="18"/>
              </w:rPr>
              <w:t>49</w:t>
            </w:r>
          </w:p>
        </w:tc>
        <w:tc>
          <w:tcPr>
            <w:tcW w:type="dxa" w:w="720"/>
            <w:shd w:fill="E8F0FE"/>
          </w:tcPr>
          <w:p>
            <w:pPr>
              <w:spacing w:before="40" w:after="40"/>
            </w:pPr>
            <w:r>
              <w:rPr>
                <w:rFonts w:ascii="Calibri" w:hAnsi="Calibri"/>
                <w:sz w:val="18"/>
              </w:rPr>
              <w:t>120</w:t>
            </w:r>
          </w:p>
        </w:tc>
        <w:tc>
          <w:tcPr>
            <w:tcW w:type="dxa" w:w="720"/>
            <w:shd w:fill="E8F0FE"/>
          </w:tcPr>
          <w:p>
            <w:pPr>
              <w:spacing w:before="40" w:after="40"/>
            </w:pPr>
            <w:r>
              <w:rPr>
                <w:rFonts w:ascii="Calibri" w:hAnsi="Calibri"/>
                <w:sz w:val="18"/>
              </w:rPr>
              <w:t>559</w:t>
            </w:r>
          </w:p>
        </w:tc>
        <w:tc>
          <w:tcPr>
            <w:tcW w:type="dxa" w:w="720"/>
            <w:shd w:fill="E8F0FE"/>
          </w:tcPr>
          <w:p>
            <w:pPr>
              <w:spacing w:before="40" w:after="40"/>
            </w:pPr>
            <w:r>
              <w:rPr>
                <w:rFonts w:ascii="Calibri" w:hAnsi="Calibri"/>
                <w:sz w:val="18"/>
              </w:rPr>
              <w:t>190</w:t>
            </w:r>
          </w:p>
        </w:tc>
        <w:tc>
          <w:tcPr>
            <w:tcW w:type="dxa" w:w="720"/>
            <w:shd w:fill="E8F0FE"/>
          </w:tcPr>
          <w:p>
            <w:pPr>
              <w:spacing w:before="40" w:after="40"/>
            </w:pPr>
            <w:r>
              <w:rPr>
                <w:rFonts w:ascii="Calibri" w:hAnsi="Calibri"/>
                <w:sz w:val="18"/>
              </w:rPr>
              <w:t>271</w:t>
            </w:r>
          </w:p>
        </w:tc>
        <w:tc>
          <w:tcPr>
            <w:tcW w:type="dxa" w:w="720"/>
            <w:shd w:fill="E8F0FE"/>
          </w:tcPr>
          <w:p>
            <w:pPr>
              <w:spacing w:before="40" w:after="40"/>
            </w:pPr>
            <w:r>
              <w:rPr>
                <w:rFonts w:ascii="Calibri" w:hAnsi="Calibri"/>
                <w:sz w:val="18"/>
              </w:rPr>
              <w:t>141</w:t>
            </w:r>
          </w:p>
        </w:tc>
        <w:tc>
          <w:tcPr>
            <w:tcW w:type="dxa" w:w="720"/>
            <w:shd w:fill="E8F0FE"/>
          </w:tcPr>
          <w:p>
            <w:pPr>
              <w:spacing w:before="40" w:after="40"/>
            </w:pPr>
            <w:r>
              <w:rPr>
                <w:rFonts w:ascii="Calibri" w:hAnsi="Calibri"/>
                <w:sz w:val="18"/>
              </w:rPr>
              <w:t>6</w:t>
            </w:r>
          </w:p>
        </w:tc>
        <w:tc>
          <w:tcPr>
            <w:tcW w:type="dxa" w:w="720"/>
            <w:shd w:fill="E8F0FE"/>
          </w:tcPr>
          <w:p>
            <w:pPr>
              <w:spacing w:before="40" w:after="40"/>
            </w:pPr>
            <w:r>
              <w:rPr>
                <w:rFonts w:ascii="Calibri" w:hAnsi="Calibri"/>
                <w:sz w:val="18"/>
              </w:rPr>
              <w:t>177</w:t>
            </w:r>
          </w:p>
        </w:tc>
        <w:tc>
          <w:tcPr>
            <w:tcW w:type="dxa" w:w="720"/>
            <w:shd w:fill="E8F0FE"/>
          </w:tcPr>
          <w:p>
            <w:pPr>
              <w:spacing w:before="40" w:after="40"/>
            </w:pPr>
            <w:r>
              <w:rPr>
                <w:rFonts w:ascii="Calibri" w:hAnsi="Calibri"/>
                <w:sz w:val="18"/>
              </w:rPr>
              <w:t>3,532</w:t>
            </w:r>
          </w:p>
        </w:tc>
        <w:tc>
          <w:tcPr>
            <w:tcW w:type="dxa" w:w="720"/>
            <w:shd w:fill="E8F0FE"/>
          </w:tcPr>
          <w:p>
            <w:pPr>
              <w:spacing w:before="40" w:after="40"/>
            </w:pPr>
            <w:r>
              <w:rPr>
                <w:rFonts w:ascii="Calibri" w:hAnsi="Calibri"/>
                <w:sz w:val="18"/>
              </w:rPr>
              <w:t>35</w:t>
            </w:r>
          </w:p>
        </w:tc>
      </w:tr>
      <w:tr>
        <w:tc>
          <w:tcPr>
            <w:tcW w:type="dxa" w:w="720"/>
          </w:tcPr>
          <w:p>
            <w:pPr>
              <w:spacing w:before="40" w:after="40"/>
            </w:pPr>
            <w:r>
              <w:rPr>
                <w:rFonts w:ascii="Calibri" w:hAnsi="Calibri"/>
                <w:b/>
                <w:sz w:val="18"/>
              </w:rPr>
              <w:t>Cash from Financing Activity+</w:t>
            </w:r>
          </w:p>
        </w:tc>
        <w:tc>
          <w:tcPr>
            <w:tcW w:type="dxa" w:w="720"/>
          </w:tcPr>
          <w:p>
            <w:pPr>
              <w:spacing w:before="40" w:after="40"/>
            </w:pPr>
            <w:r>
              <w:rPr>
                <w:rFonts w:ascii="Calibri" w:hAnsi="Calibri"/>
                <w:sz w:val="18"/>
              </w:rPr>
              <w:t>29</w:t>
            </w:r>
          </w:p>
        </w:tc>
        <w:tc>
          <w:tcPr>
            <w:tcW w:type="dxa" w:w="720"/>
          </w:tcPr>
          <w:p>
            <w:pPr>
              <w:spacing w:before="40" w:after="40"/>
            </w:pPr>
            <w:r>
              <w:rPr>
                <w:rFonts w:ascii="Calibri" w:hAnsi="Calibri"/>
                <w:sz w:val="18"/>
              </w:rPr>
              <w:t>405</w:t>
            </w:r>
          </w:p>
        </w:tc>
        <w:tc>
          <w:tcPr>
            <w:tcW w:type="dxa" w:w="720"/>
          </w:tcPr>
          <w:p>
            <w:pPr>
              <w:spacing w:before="40" w:after="40"/>
            </w:pPr>
            <w:r>
              <w:rPr>
                <w:rFonts w:ascii="Calibri" w:hAnsi="Calibri"/>
                <w:sz w:val="18"/>
              </w:rPr>
              <w:t>-254</w:t>
            </w:r>
          </w:p>
        </w:tc>
        <w:tc>
          <w:tcPr>
            <w:tcW w:type="dxa" w:w="720"/>
          </w:tcPr>
          <w:p>
            <w:pPr>
              <w:spacing w:before="40" w:after="40"/>
            </w:pPr>
            <w:r>
              <w:rPr>
                <w:rFonts w:ascii="Calibri" w:hAnsi="Calibri"/>
                <w:sz w:val="18"/>
              </w:rPr>
              <w:t>-154</w:t>
            </w:r>
          </w:p>
        </w:tc>
        <w:tc>
          <w:tcPr>
            <w:tcW w:type="dxa" w:w="720"/>
          </w:tcPr>
          <w:p>
            <w:pPr>
              <w:spacing w:before="40" w:after="40"/>
            </w:pPr>
            <w:r>
              <w:rPr>
                <w:rFonts w:ascii="Calibri" w:hAnsi="Calibri"/>
                <w:sz w:val="18"/>
              </w:rPr>
              <w:t>600</w:t>
            </w:r>
          </w:p>
        </w:tc>
        <w:tc>
          <w:tcPr>
            <w:tcW w:type="dxa" w:w="720"/>
          </w:tcPr>
          <w:p>
            <w:pPr>
              <w:spacing w:before="40" w:after="40"/>
            </w:pPr>
            <w:r>
              <w:rPr>
                <w:rFonts w:ascii="Calibri" w:hAnsi="Calibri"/>
                <w:sz w:val="18"/>
              </w:rPr>
              <w:t>-398</w:t>
            </w:r>
          </w:p>
        </w:tc>
        <w:tc>
          <w:tcPr>
            <w:tcW w:type="dxa" w:w="720"/>
          </w:tcPr>
          <w:p>
            <w:pPr>
              <w:spacing w:before="40" w:after="40"/>
            </w:pPr>
            <w:r>
              <w:rPr>
                <w:rFonts w:ascii="Calibri" w:hAnsi="Calibri"/>
                <w:sz w:val="18"/>
              </w:rPr>
              <w:t>-591</w:t>
            </w:r>
          </w:p>
        </w:tc>
        <w:tc>
          <w:tcPr>
            <w:tcW w:type="dxa" w:w="720"/>
          </w:tcPr>
          <w:p>
            <w:pPr>
              <w:spacing w:before="40" w:after="40"/>
            </w:pPr>
            <w:r>
              <w:rPr>
                <w:rFonts w:ascii="Calibri" w:hAnsi="Calibri"/>
                <w:sz w:val="18"/>
              </w:rPr>
              <w:t>-268</w:t>
            </w:r>
          </w:p>
        </w:tc>
        <w:tc>
          <w:tcPr>
            <w:tcW w:type="dxa" w:w="720"/>
          </w:tcPr>
          <w:p>
            <w:pPr>
              <w:spacing w:before="40" w:after="40"/>
            </w:pPr>
            <w:r>
              <w:rPr>
                <w:rFonts w:ascii="Calibri" w:hAnsi="Calibri"/>
                <w:sz w:val="18"/>
              </w:rPr>
              <w:t>-1,320</w:t>
            </w:r>
          </w:p>
        </w:tc>
        <w:tc>
          <w:tcPr>
            <w:tcW w:type="dxa" w:w="720"/>
          </w:tcPr>
          <w:p>
            <w:pPr>
              <w:spacing w:before="40" w:after="40"/>
            </w:pPr>
            <w:r>
              <w:rPr>
                <w:rFonts w:ascii="Calibri" w:hAnsi="Calibri"/>
                <w:sz w:val="18"/>
              </w:rPr>
              <w:t>-3,965</w:t>
            </w:r>
          </w:p>
        </w:tc>
        <w:tc>
          <w:tcPr>
            <w:tcW w:type="dxa" w:w="720"/>
          </w:tcPr>
          <w:p>
            <w:pPr>
              <w:spacing w:before="40" w:after="40"/>
            </w:pPr>
            <w:r>
              <w:rPr>
                <w:rFonts w:ascii="Calibri" w:hAnsi="Calibri"/>
                <w:sz w:val="18"/>
              </w:rPr>
              <w:t>-41</w:t>
            </w:r>
          </w:p>
        </w:tc>
      </w:tr>
      <w:tr>
        <w:tc>
          <w:tcPr>
            <w:tcW w:type="dxa" w:w="720"/>
            <w:shd w:fill="E8F0FE"/>
          </w:tcPr>
          <w:p>
            <w:pPr>
              <w:spacing w:before="40" w:after="40"/>
            </w:pPr>
            <w:r>
              <w:rPr>
                <w:rFonts w:ascii="Calibri" w:hAnsi="Calibri"/>
                <w:b/>
                <w:sz w:val="18"/>
              </w:rPr>
              <w:t>Net Cash Flow</w:t>
            </w:r>
          </w:p>
        </w:tc>
        <w:tc>
          <w:tcPr>
            <w:tcW w:type="dxa" w:w="720"/>
            <w:shd w:fill="E8F0FE"/>
          </w:tcPr>
          <w:p>
            <w:pPr>
              <w:spacing w:before="40" w:after="40"/>
            </w:pPr>
            <w:r>
              <w:rPr>
                <w:rFonts w:ascii="Calibri" w:hAnsi="Calibri"/>
                <w:sz w:val="18"/>
              </w:rPr>
              <w:t>-12</w:t>
            </w:r>
          </w:p>
        </w:tc>
        <w:tc>
          <w:tcPr>
            <w:tcW w:type="dxa" w:w="720"/>
            <w:shd w:fill="E8F0FE"/>
          </w:tcPr>
          <w:p>
            <w:pPr>
              <w:spacing w:before="40" w:after="40"/>
            </w:pPr>
            <w:r>
              <w:rPr>
                <w:rFonts w:ascii="Calibri" w:hAnsi="Calibri"/>
                <w:sz w:val="18"/>
              </w:rPr>
              <w:t>18</w:t>
            </w:r>
          </w:p>
        </w:tc>
        <w:tc>
          <w:tcPr>
            <w:tcW w:type="dxa" w:w="720"/>
            <w:shd w:fill="E8F0FE"/>
          </w:tcPr>
          <w:p>
            <w:pPr>
              <w:spacing w:before="40" w:after="40"/>
            </w:pPr>
            <w:r>
              <w:rPr>
                <w:rFonts w:ascii="Calibri" w:hAnsi="Calibri"/>
                <w:sz w:val="18"/>
              </w:rPr>
              <w:t>36</w:t>
            </w:r>
          </w:p>
        </w:tc>
        <w:tc>
          <w:tcPr>
            <w:tcW w:type="dxa" w:w="720"/>
            <w:shd w:fill="E8F0FE"/>
          </w:tcPr>
          <w:p>
            <w:pPr>
              <w:spacing w:before="40" w:after="40"/>
            </w:pPr>
            <w:r>
              <w:rPr>
                <w:rFonts w:ascii="Calibri" w:hAnsi="Calibri"/>
                <w:sz w:val="18"/>
              </w:rPr>
              <w:t>-47</w:t>
            </w:r>
          </w:p>
        </w:tc>
        <w:tc>
          <w:tcPr>
            <w:tcW w:type="dxa" w:w="720"/>
            <w:shd w:fill="E8F0FE"/>
          </w:tcPr>
          <w:p>
            <w:pPr>
              <w:spacing w:before="40" w:after="40"/>
            </w:pPr>
            <w:r>
              <w:rPr>
                <w:rFonts w:ascii="Calibri" w:hAnsi="Calibri"/>
                <w:sz w:val="18"/>
              </w:rPr>
              <w:t>16</w:t>
            </w:r>
          </w:p>
        </w:tc>
        <w:tc>
          <w:tcPr>
            <w:tcW w:type="dxa" w:w="720"/>
            <w:shd w:fill="E8F0FE"/>
          </w:tcPr>
          <w:p>
            <w:pPr>
              <w:spacing w:before="40" w:after="40"/>
            </w:pPr>
            <w:r>
              <w:rPr>
                <w:rFonts w:ascii="Calibri" w:hAnsi="Calibri"/>
                <w:sz w:val="18"/>
              </w:rPr>
              <w:t>-28</w:t>
            </w:r>
          </w:p>
        </w:tc>
        <w:tc>
          <w:tcPr>
            <w:tcW w:type="dxa" w:w="720"/>
            <w:shd w:fill="E8F0FE"/>
          </w:tcPr>
          <w:p>
            <w:pPr>
              <w:spacing w:before="40" w:after="40"/>
            </w:pPr>
            <w:r>
              <w:rPr>
                <w:rFonts w:ascii="Calibri" w:hAnsi="Calibri"/>
                <w:sz w:val="18"/>
              </w:rPr>
              <w:t>153</w:t>
            </w:r>
          </w:p>
        </w:tc>
        <w:tc>
          <w:tcPr>
            <w:tcW w:type="dxa" w:w="720"/>
            <w:shd w:fill="E8F0FE"/>
          </w:tcPr>
          <w:p>
            <w:pPr>
              <w:spacing w:before="40" w:after="40"/>
            </w:pPr>
            <w:r>
              <w:rPr>
                <w:rFonts w:ascii="Calibri" w:hAnsi="Calibri"/>
                <w:sz w:val="18"/>
              </w:rPr>
              <w:t>260</w:t>
            </w:r>
          </w:p>
        </w:tc>
        <w:tc>
          <w:tcPr>
            <w:tcW w:type="dxa" w:w="720"/>
            <w:shd w:fill="E8F0FE"/>
          </w:tcPr>
          <w:p>
            <w:pPr>
              <w:spacing w:before="40" w:after="40"/>
            </w:pPr>
            <w:r>
              <w:rPr>
                <w:rFonts w:ascii="Calibri" w:hAnsi="Calibri"/>
                <w:sz w:val="18"/>
              </w:rPr>
              <w:t>-282</w:t>
            </w:r>
          </w:p>
        </w:tc>
        <w:tc>
          <w:tcPr>
            <w:tcW w:type="dxa" w:w="720"/>
            <w:shd w:fill="E8F0FE"/>
          </w:tcPr>
          <w:p>
            <w:pPr>
              <w:spacing w:before="40" w:after="40"/>
            </w:pPr>
            <w:r>
              <w:rPr>
                <w:rFonts w:ascii="Calibri" w:hAnsi="Calibri"/>
                <w:sz w:val="18"/>
              </w:rPr>
              <w:t>-78</w:t>
            </w:r>
          </w:p>
        </w:tc>
        <w:tc>
          <w:tcPr>
            <w:tcW w:type="dxa" w:w="720"/>
            <w:shd w:fill="E8F0FE"/>
          </w:tcPr>
          <w:p>
            <w:pPr>
              <w:spacing w:before="40" w:after="40"/>
            </w:pPr>
            <w:r>
              <w:rPr>
                <w:rFonts w:ascii="Calibri" w:hAnsi="Calibri"/>
                <w:sz w:val="18"/>
              </w:rPr>
              <w:t>-23</w:t>
            </w:r>
          </w:p>
        </w:tc>
      </w:tr>
      <w:tr>
        <w:tc>
          <w:tcPr>
            <w:tcW w:type="dxa" w:w="720"/>
          </w:tcPr>
          <w:p>
            <w:pPr>
              <w:spacing w:before="40" w:after="40"/>
            </w:pPr>
            <w:r>
              <w:rPr>
                <w:rFonts w:ascii="Calibri" w:hAnsi="Calibri"/>
                <w:b/>
                <w:sz w:val="18"/>
              </w:rPr>
              <w:t>Free Cash Flow</w:t>
            </w:r>
          </w:p>
        </w:tc>
        <w:tc>
          <w:tcPr>
            <w:tcW w:type="dxa" w:w="720"/>
          </w:tcPr>
          <w:p>
            <w:pPr>
              <w:spacing w:before="40" w:after="40"/>
            </w:pPr>
            <w:r>
              <w:rPr>
                <w:rFonts w:ascii="Calibri" w:hAnsi="Calibri"/>
                <w:sz w:val="18"/>
              </w:rPr>
              <w:t>51</w:t>
            </w:r>
          </w:p>
        </w:tc>
        <w:tc>
          <w:tcPr>
            <w:tcW w:type="dxa" w:w="720"/>
          </w:tcPr>
          <w:p>
            <w:pPr>
              <w:spacing w:before="40" w:after="40"/>
            </w:pPr>
            <w:r>
              <w:rPr>
                <w:rFonts w:ascii="Calibri" w:hAnsi="Calibri"/>
                <w:sz w:val="18"/>
              </w:rPr>
              <w:t>-438</w:t>
            </w:r>
          </w:p>
        </w:tc>
        <w:tc>
          <w:tcPr>
            <w:tcW w:type="dxa" w:w="720"/>
          </w:tcPr>
          <w:p>
            <w:pPr>
              <w:spacing w:before="40" w:after="40"/>
            </w:pPr>
            <w:r>
              <w:rPr>
                <w:rFonts w:ascii="Calibri" w:hAnsi="Calibri"/>
                <w:sz w:val="18"/>
              </w:rPr>
              <w:t>171</w:t>
            </w:r>
          </w:p>
        </w:tc>
        <w:tc>
          <w:tcPr>
            <w:tcW w:type="dxa" w:w="720"/>
          </w:tcPr>
          <w:p>
            <w:pPr>
              <w:spacing w:before="40" w:after="40"/>
            </w:pPr>
            <w:r>
              <w:rPr>
                <w:rFonts w:ascii="Calibri" w:hAnsi="Calibri"/>
                <w:sz w:val="18"/>
              </w:rPr>
              <w:t>-257</w:t>
            </w:r>
          </w:p>
        </w:tc>
        <w:tc>
          <w:tcPr>
            <w:tcW w:type="dxa" w:w="720"/>
          </w:tcPr>
          <w:p>
            <w:pPr>
              <w:spacing w:before="40" w:after="40"/>
            </w:pPr>
            <w:r>
              <w:rPr>
                <w:rFonts w:ascii="Calibri" w:hAnsi="Calibri"/>
                <w:sz w:val="18"/>
              </w:rPr>
              <w:t>-674</w:t>
            </w:r>
          </w:p>
        </w:tc>
        <w:tc>
          <w:tcPr>
            <w:tcW w:type="dxa" w:w="720"/>
          </w:tcPr>
          <w:p>
            <w:pPr>
              <w:spacing w:before="40" w:after="40"/>
            </w:pPr>
            <w:r>
              <w:rPr>
                <w:rFonts w:ascii="Calibri" w:hAnsi="Calibri"/>
                <w:sz w:val="18"/>
              </w:rPr>
              <w:t>88</w:t>
            </w:r>
          </w:p>
        </w:tc>
        <w:tc>
          <w:tcPr>
            <w:tcW w:type="dxa" w:w="720"/>
          </w:tcPr>
          <w:p>
            <w:pPr>
              <w:spacing w:before="40" w:after="40"/>
            </w:pPr>
            <w:r>
              <w:rPr>
                <w:rFonts w:ascii="Calibri" w:hAnsi="Calibri"/>
                <w:sz w:val="18"/>
              </w:rPr>
              <w:t>659</w:t>
            </w:r>
          </w:p>
        </w:tc>
        <w:tc>
          <w:tcPr>
            <w:tcW w:type="dxa" w:w="720"/>
          </w:tcPr>
          <w:p>
            <w:pPr>
              <w:spacing w:before="40" w:after="40"/>
            </w:pPr>
            <w:r>
              <w:rPr>
                <w:rFonts w:ascii="Calibri" w:hAnsi="Calibri"/>
                <w:sz w:val="18"/>
              </w:rPr>
              <w:t>512</w:t>
            </w:r>
          </w:p>
        </w:tc>
        <w:tc>
          <w:tcPr>
            <w:tcW w:type="dxa" w:w="720"/>
          </w:tcPr>
          <w:p>
            <w:pPr>
              <w:spacing w:before="40" w:after="40"/>
            </w:pPr>
            <w:r>
              <w:rPr>
                <w:rFonts w:ascii="Calibri" w:hAnsi="Calibri"/>
                <w:sz w:val="18"/>
              </w:rPr>
              <w:t>855</w:t>
            </w:r>
          </w:p>
        </w:tc>
        <w:tc>
          <w:tcPr>
            <w:tcW w:type="dxa" w:w="720"/>
          </w:tcPr>
          <w:p>
            <w:pPr>
              <w:spacing w:before="40" w:after="40"/>
            </w:pPr>
            <w:r>
              <w:rPr>
                <w:rFonts w:ascii="Calibri" w:hAnsi="Calibri"/>
                <w:sz w:val="18"/>
              </w:rPr>
              <w:t>4,591</w:t>
            </w:r>
          </w:p>
        </w:tc>
        <w:tc>
          <w:tcPr>
            <w:tcW w:type="dxa" w:w="720"/>
          </w:tcPr>
          <w:p>
            <w:pPr>
              <w:spacing w:before="40" w:after="40"/>
            </w:pPr>
            <w:r>
              <w:rPr>
                <w:rFonts w:ascii="Calibri" w:hAnsi="Calibri"/>
                <w:sz w:val="18"/>
              </w:rPr>
              <w:t>467</w:t>
            </w:r>
          </w:p>
        </w:tc>
      </w:tr>
      <w:tr>
        <w:tc>
          <w:tcPr>
            <w:tcW w:type="dxa" w:w="720"/>
            <w:shd w:fill="E8F0FE"/>
          </w:tcPr>
          <w:p>
            <w:pPr>
              <w:spacing w:before="40" w:after="40"/>
            </w:pPr>
            <w:r>
              <w:rPr>
                <w:rFonts w:ascii="Calibri" w:hAnsi="Calibri"/>
                <w:b/>
                <w:sz w:val="18"/>
              </w:rPr>
              <w:t>CFO/OP</w:t>
            </w:r>
          </w:p>
        </w:tc>
        <w:tc>
          <w:tcPr>
            <w:tcW w:type="dxa" w:w="720"/>
            <w:shd w:fill="E8F0FE"/>
          </w:tcPr>
          <w:p>
            <w:pPr>
              <w:spacing w:before="40" w:after="40"/>
            </w:pPr>
            <w:r>
              <w:rPr>
                <w:rFonts w:ascii="Calibri" w:hAnsi="Calibri"/>
                <w:sz w:val="18"/>
              </w:rPr>
              <w:t>21%</w:t>
            </w:r>
          </w:p>
        </w:tc>
        <w:tc>
          <w:tcPr>
            <w:tcW w:type="dxa" w:w="720"/>
            <w:shd w:fill="E8F0FE"/>
          </w:tcPr>
          <w:p>
            <w:pPr>
              <w:spacing w:before="40" w:after="40"/>
            </w:pPr>
            <w:r>
              <w:rPr>
                <w:rFonts w:ascii="Calibri" w:hAnsi="Calibri"/>
                <w:sz w:val="18"/>
              </w:rPr>
              <w:t>-228%</w:t>
            </w:r>
          </w:p>
        </w:tc>
        <w:tc>
          <w:tcPr>
            <w:tcW w:type="dxa" w:w="720"/>
            <w:shd w:fill="E8F0FE"/>
          </w:tcPr>
          <w:p>
            <w:pPr>
              <w:spacing w:before="40" w:after="40"/>
            </w:pPr>
            <w:r>
              <w:rPr>
                <w:rFonts w:ascii="Calibri" w:hAnsi="Calibri"/>
                <w:sz w:val="18"/>
              </w:rPr>
              <w:t>65%</w:t>
            </w:r>
          </w:p>
        </w:tc>
        <w:tc>
          <w:tcPr>
            <w:tcW w:type="dxa" w:w="720"/>
            <w:shd w:fill="E8F0FE"/>
          </w:tcPr>
          <w:p>
            <w:pPr>
              <w:spacing w:before="40" w:after="40"/>
            </w:pPr>
            <w:r>
              <w:rPr>
                <w:rFonts w:ascii="Calibri" w:hAnsi="Calibri"/>
                <w:sz w:val="18"/>
              </w:rPr>
              <w:t>-70%</w:t>
            </w:r>
          </w:p>
        </w:tc>
        <w:tc>
          <w:tcPr>
            <w:tcW w:type="dxa" w:w="720"/>
            <w:shd w:fill="E8F0FE"/>
          </w:tcPr>
          <w:p>
            <w:pPr>
              <w:spacing w:before="40" w:after="40"/>
            </w:pPr>
            <w:r>
              <w:rPr>
                <w:rFonts w:ascii="Calibri" w:hAnsi="Calibri"/>
                <w:sz w:val="18"/>
              </w:rPr>
              <w:t>-45%</w:t>
            </w:r>
          </w:p>
        </w:tc>
        <w:tc>
          <w:tcPr>
            <w:tcW w:type="dxa" w:w="720"/>
            <w:shd w:fill="E8F0FE"/>
          </w:tcPr>
          <w:p>
            <w:pPr>
              <w:spacing w:before="40" w:after="40"/>
            </w:pPr>
            <w:r>
              <w:rPr>
                <w:rFonts w:ascii="Calibri" w:hAnsi="Calibri"/>
                <w:sz w:val="18"/>
              </w:rPr>
              <w:t>32%</w:t>
            </w:r>
          </w:p>
        </w:tc>
        <w:tc>
          <w:tcPr>
            <w:tcW w:type="dxa" w:w="720"/>
            <w:shd w:fill="E8F0FE"/>
          </w:tcPr>
          <w:p>
            <w:pPr>
              <w:spacing w:before="40" w:after="40"/>
            </w:pPr>
            <w:r>
              <w:rPr>
                <w:rFonts w:ascii="Calibri" w:hAnsi="Calibri"/>
                <w:sz w:val="18"/>
              </w:rPr>
              <w:t>2,334%</w:t>
            </w:r>
          </w:p>
        </w:tc>
        <w:tc>
          <w:tcPr>
            <w:tcW w:type="dxa" w:w="720"/>
            <w:shd w:fill="E8F0FE"/>
          </w:tcPr>
          <w:p>
            <w:pPr>
              <w:spacing w:before="40" w:after="40"/>
            </w:pPr>
            <w:r>
              <w:rPr>
                <w:rFonts w:ascii="Calibri" w:hAnsi="Calibri"/>
                <w:sz w:val="18"/>
              </w:rPr>
              <w:t>352%</w:t>
            </w:r>
          </w:p>
        </w:tc>
        <w:tc>
          <w:tcPr>
            <w:tcW w:type="dxa" w:w="720"/>
            <w:shd w:fill="E8F0FE"/>
          </w:tcPr>
          <w:p>
            <w:pPr>
              <w:spacing w:before="40" w:after="40"/>
            </w:pPr>
            <w:r>
              <w:rPr>
                <w:rFonts w:ascii="Calibri" w:hAnsi="Calibri"/>
                <w:sz w:val="18"/>
              </w:rPr>
              <w:t>-2,517%</w:t>
            </w:r>
          </w:p>
        </w:tc>
        <w:tc>
          <w:tcPr>
            <w:tcW w:type="dxa" w:w="720"/>
            <w:shd w:fill="E8F0FE"/>
          </w:tcPr>
          <w:p>
            <w:pPr>
              <w:spacing w:before="40" w:after="40"/>
            </w:pPr>
            <w:r>
              <w:rPr>
                <w:rFonts w:ascii="Calibri" w:hAnsi="Calibri"/>
                <w:sz w:val="18"/>
              </w:rPr>
              <w:t>-1,064%</w:t>
            </w:r>
          </w:p>
        </w:tc>
        <w:tc>
          <w:tcPr>
            <w:tcW w:type="dxa" w:w="720"/>
            <w:shd w:fill="E8F0FE"/>
          </w:tcPr>
          <w:p>
            <w:pPr>
              <w:spacing w:before="40" w:after="40"/>
            </w:pPr>
            <w:r>
              <w:rPr>
                <w:rFonts w:ascii="Calibri" w:hAnsi="Calibri"/>
                <w:sz w:val="18"/>
              </w:rPr>
              <w:t>-73%</w:t>
            </w:r>
          </w:p>
        </w:tc>
      </w:tr>
    </w:tbl>
    <w:p/>
    <w:p>
      <w:pPr>
        <w:pStyle w:val="Heading1"/>
      </w:pPr>
      <w:r>
        <w:rPr>
          <w:rFonts w:ascii="Calibri" w:hAnsi="Calibri"/>
          <w:color w:val="1F5F8B"/>
          <w:sz w:val="32"/>
        </w:rPr>
        <w:t>4. Corporate Governance Assessment</w:t>
      </w:r>
    </w:p>
    <w:p>
      <w:pPr>
        <w:spacing w:before="0" w:after="120"/>
      </w:pPr>
    </w:p>
    <w:p>
      <w:pPr>
        <w:pStyle w:val="Heading2"/>
      </w:pPr>
      <w:r>
        <w:rPr>
          <w:rFonts w:ascii="Calibri" w:hAnsi="Calibri"/>
          <w:color w:val="1F5F8B"/>
          <w:sz w:val="26"/>
        </w:rPr>
        <w:t>4.1 Board Composition</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1F5F8B"/>
          </w:tcPr>
          <w:p>
            <w:pPr>
              <w:spacing w:before="40" w:after="40"/>
            </w:pPr>
            <w:r>
              <w:rPr>
                <w:rFonts w:ascii="Calibri" w:hAnsi="Calibri"/>
                <w:b/>
                <w:color w:val="FFFFFF"/>
                <w:sz w:val="18"/>
              </w:rPr>
              <w:t>Name</w:t>
            </w:r>
          </w:p>
        </w:tc>
        <w:tc>
          <w:tcPr>
            <w:tcW w:type="dxa" w:w="2880"/>
            <w:shd w:fill="1F5F8B"/>
          </w:tcPr>
          <w:p>
            <w:pPr>
              <w:spacing w:before="40" w:after="40"/>
            </w:pPr>
            <w:r>
              <w:rPr>
                <w:rFonts w:ascii="Calibri" w:hAnsi="Calibri"/>
                <w:b/>
                <w:color w:val="FFFFFF"/>
                <w:sz w:val="18"/>
              </w:rPr>
              <w:t>Designation</w:t>
            </w:r>
          </w:p>
        </w:tc>
        <w:tc>
          <w:tcPr>
            <w:tcW w:type="dxa" w:w="2880"/>
            <w:shd w:fill="1F5F8B"/>
          </w:tcPr>
          <w:p>
            <w:pPr>
              <w:spacing w:before="40" w:after="40"/>
            </w:pPr>
            <w:r>
              <w:rPr>
                <w:rFonts w:ascii="Calibri" w:hAnsi="Calibri"/>
                <w:b/>
                <w:color w:val="FFFFFF"/>
                <w:sz w:val="18"/>
              </w:rPr>
              <w:t>Category</w:t>
            </w:r>
          </w:p>
        </w:tc>
      </w:tr>
      <w:tr>
        <w:tc>
          <w:tcPr>
            <w:tcW w:type="dxa" w:w="2880"/>
          </w:tcPr>
          <w:p>
            <w:pPr>
              <w:spacing w:before="40" w:after="40"/>
            </w:pPr>
            <w:r>
              <w:rPr>
                <w:rFonts w:ascii="Calibri" w:hAnsi="Calibri"/>
                <w:b/>
                <w:sz w:val="18"/>
              </w:rPr>
              <w:t>Mr. Nusli N. Wadia</w:t>
            </w:r>
          </w:p>
        </w:tc>
        <w:tc>
          <w:tcPr>
            <w:tcW w:type="dxa" w:w="2880"/>
          </w:tcPr>
          <w:p>
            <w:pPr>
              <w:spacing w:before="40" w:after="40"/>
            </w:pPr>
            <w:r>
              <w:rPr>
                <w:rFonts w:ascii="Calibri" w:hAnsi="Calibri"/>
                <w:sz w:val="18"/>
              </w:rPr>
              <w:t>Chairman</w:t>
            </w:r>
          </w:p>
        </w:tc>
        <w:tc>
          <w:tcPr>
            <w:tcW w:type="dxa" w:w="2880"/>
          </w:tcPr>
          <w:p>
            <w:pPr>
              <w:spacing w:before="40" w:after="40"/>
            </w:pPr>
            <w:r>
              <w:rPr>
                <w:rFonts w:ascii="Calibri" w:hAnsi="Calibri"/>
                <w:sz w:val="18"/>
              </w:rPr>
              <w:t>Non-Executive Promoter Director</w:t>
            </w:r>
          </w:p>
        </w:tc>
      </w:tr>
      <w:tr>
        <w:tc>
          <w:tcPr>
            <w:tcW w:type="dxa" w:w="2880"/>
            <w:shd w:fill="E8F0FE"/>
          </w:tcPr>
          <w:p>
            <w:pPr>
              <w:spacing w:before="40" w:after="40"/>
            </w:pPr>
            <w:r>
              <w:rPr>
                <w:rFonts w:ascii="Calibri" w:hAnsi="Calibri"/>
                <w:b/>
                <w:sz w:val="18"/>
              </w:rPr>
              <w:t>Mr. Ness N. Wadia</w:t>
            </w:r>
          </w:p>
        </w:tc>
        <w:tc>
          <w:tcPr>
            <w:tcW w:type="dxa" w:w="2880"/>
            <w:shd w:fill="E8F0FE"/>
          </w:tcPr>
          <w:p>
            <w:pPr>
              <w:spacing w:before="40" w:after="40"/>
            </w:pPr>
            <w:r>
              <w:rPr>
                <w:rFonts w:ascii="Calibri" w:hAnsi="Calibri"/>
                <w:sz w:val="18"/>
              </w:rPr>
              <w:t>Director</w:t>
            </w:r>
          </w:p>
        </w:tc>
        <w:tc>
          <w:tcPr>
            <w:tcW w:type="dxa" w:w="2880"/>
            <w:shd w:fill="E8F0FE"/>
          </w:tcPr>
          <w:p>
            <w:pPr>
              <w:spacing w:before="40" w:after="40"/>
            </w:pPr>
            <w:r>
              <w:rPr>
                <w:rFonts w:ascii="Calibri" w:hAnsi="Calibri"/>
                <w:sz w:val="18"/>
              </w:rPr>
              <w:t>Non-Executive Promoter Director</w:t>
            </w:r>
          </w:p>
        </w:tc>
      </w:tr>
      <w:tr>
        <w:tc>
          <w:tcPr>
            <w:tcW w:type="dxa" w:w="2880"/>
          </w:tcPr>
          <w:p>
            <w:pPr>
              <w:spacing w:before="40" w:after="40"/>
            </w:pPr>
            <w:r>
              <w:rPr>
                <w:rFonts w:ascii="Calibri" w:hAnsi="Calibri"/>
                <w:b/>
                <w:sz w:val="18"/>
              </w:rPr>
              <w:t>Mr. Jehangir N. Wadia</w:t>
            </w:r>
          </w:p>
        </w:tc>
        <w:tc>
          <w:tcPr>
            <w:tcW w:type="dxa" w:w="2880"/>
          </w:tcPr>
          <w:p>
            <w:pPr>
              <w:spacing w:before="40" w:after="40"/>
            </w:pPr>
            <w:r>
              <w:rPr>
                <w:rFonts w:ascii="Calibri" w:hAnsi="Calibri"/>
                <w:sz w:val="18"/>
              </w:rPr>
              <w:t>Director</w:t>
            </w:r>
          </w:p>
        </w:tc>
        <w:tc>
          <w:tcPr>
            <w:tcW w:type="dxa" w:w="2880"/>
          </w:tcPr>
          <w:p>
            <w:pPr>
              <w:spacing w:before="40" w:after="40"/>
            </w:pPr>
            <w:r>
              <w:rPr>
                <w:rFonts w:ascii="Calibri" w:hAnsi="Calibri"/>
                <w:sz w:val="18"/>
              </w:rPr>
              <w:t>Non-Executive Promoter Director</w:t>
            </w:r>
          </w:p>
        </w:tc>
      </w:tr>
      <w:tr>
        <w:tc>
          <w:tcPr>
            <w:tcW w:type="dxa" w:w="2880"/>
            <w:shd w:fill="E8F0FE"/>
          </w:tcPr>
          <w:p>
            <w:pPr>
              <w:spacing w:before="40" w:after="40"/>
            </w:pPr>
            <w:r>
              <w:rPr>
                <w:rFonts w:ascii="Calibri" w:hAnsi="Calibri"/>
                <w:b/>
                <w:sz w:val="18"/>
              </w:rPr>
              <w:t>Dr. (Mrs.) Minnie Bodhanwala</w:t>
            </w:r>
          </w:p>
        </w:tc>
        <w:tc>
          <w:tcPr>
            <w:tcW w:type="dxa" w:w="2880"/>
            <w:shd w:fill="E8F0FE"/>
          </w:tcPr>
          <w:p>
            <w:pPr>
              <w:spacing w:before="40" w:after="40"/>
            </w:pPr>
            <w:r>
              <w:rPr>
                <w:rFonts w:ascii="Calibri" w:hAnsi="Calibri"/>
                <w:sz w:val="18"/>
              </w:rPr>
              <w:t>Director</w:t>
            </w:r>
          </w:p>
        </w:tc>
        <w:tc>
          <w:tcPr>
            <w:tcW w:type="dxa" w:w="2880"/>
            <w:shd w:fill="E8F0FE"/>
          </w:tcPr>
          <w:p>
            <w:pPr>
              <w:spacing w:before="40" w:after="40"/>
            </w:pPr>
            <w:r>
              <w:rPr>
                <w:rFonts w:ascii="Calibri" w:hAnsi="Calibri"/>
                <w:sz w:val="18"/>
              </w:rPr>
              <w:t>Non-Executive, Non-Independent Director</w:t>
            </w:r>
          </w:p>
        </w:tc>
      </w:tr>
      <w:tr>
        <w:tc>
          <w:tcPr>
            <w:tcW w:type="dxa" w:w="2880"/>
          </w:tcPr>
          <w:p>
            <w:pPr>
              <w:spacing w:before="40" w:after="40"/>
            </w:pPr>
            <w:r>
              <w:rPr>
                <w:rFonts w:ascii="Calibri" w:hAnsi="Calibri"/>
                <w:b/>
                <w:sz w:val="18"/>
              </w:rPr>
              <w:t>Mr. Sunil S. Lalbhai</w:t>
            </w:r>
          </w:p>
        </w:tc>
        <w:tc>
          <w:tcPr>
            <w:tcW w:type="dxa" w:w="2880"/>
          </w:tcPr>
          <w:p>
            <w:pPr>
              <w:spacing w:before="40" w:after="40"/>
            </w:pPr>
            <w:r>
              <w:rPr>
                <w:rFonts w:ascii="Calibri" w:hAnsi="Calibri"/>
                <w:sz w:val="18"/>
              </w:rPr>
              <w:t>Director</w:t>
            </w:r>
          </w:p>
        </w:tc>
        <w:tc>
          <w:tcPr>
            <w:tcW w:type="dxa" w:w="2880"/>
          </w:tcPr>
          <w:p>
            <w:pPr>
              <w:spacing w:before="40" w:after="40"/>
            </w:pPr>
            <w:r>
              <w:rPr>
                <w:rFonts w:ascii="Calibri" w:hAnsi="Calibri"/>
                <w:sz w:val="18"/>
              </w:rPr>
              <w:t>Non-Executive Independent Director</w:t>
            </w:r>
          </w:p>
        </w:tc>
      </w:tr>
      <w:tr>
        <w:tc>
          <w:tcPr>
            <w:tcW w:type="dxa" w:w="2880"/>
            <w:shd w:fill="E8F0FE"/>
          </w:tcPr>
          <w:p>
            <w:pPr>
              <w:spacing w:before="40" w:after="40"/>
            </w:pPr>
            <w:r>
              <w:rPr>
                <w:rFonts w:ascii="Calibri" w:hAnsi="Calibri"/>
                <w:b/>
                <w:sz w:val="18"/>
              </w:rPr>
              <w:t>Mr. Rajesh Batra</w:t>
            </w:r>
          </w:p>
        </w:tc>
        <w:tc>
          <w:tcPr>
            <w:tcW w:type="dxa" w:w="2880"/>
            <w:shd w:fill="E8F0FE"/>
          </w:tcPr>
          <w:p>
            <w:pPr>
              <w:spacing w:before="40" w:after="40"/>
            </w:pPr>
            <w:r>
              <w:rPr>
                <w:rFonts w:ascii="Calibri" w:hAnsi="Calibri"/>
                <w:sz w:val="18"/>
              </w:rPr>
              <w:t>Director</w:t>
            </w:r>
          </w:p>
        </w:tc>
        <w:tc>
          <w:tcPr>
            <w:tcW w:type="dxa" w:w="2880"/>
            <w:shd w:fill="E8F0FE"/>
          </w:tcPr>
          <w:p>
            <w:pPr>
              <w:spacing w:before="40" w:after="40"/>
            </w:pPr>
            <w:r>
              <w:rPr>
                <w:rFonts w:ascii="Calibri" w:hAnsi="Calibri"/>
                <w:sz w:val="18"/>
              </w:rPr>
              <w:t>Non-Executive Independent Director</w:t>
            </w:r>
          </w:p>
        </w:tc>
      </w:tr>
      <w:tr>
        <w:tc>
          <w:tcPr>
            <w:tcW w:type="dxa" w:w="2880"/>
          </w:tcPr>
          <w:p>
            <w:pPr>
              <w:spacing w:before="40" w:after="40"/>
            </w:pPr>
            <w:r>
              <w:rPr>
                <w:rFonts w:ascii="Calibri" w:hAnsi="Calibri"/>
                <w:b/>
                <w:sz w:val="18"/>
              </w:rPr>
              <w:t>Mrs. Chandra Iyengar</w:t>
            </w:r>
          </w:p>
        </w:tc>
        <w:tc>
          <w:tcPr>
            <w:tcW w:type="dxa" w:w="2880"/>
          </w:tcPr>
          <w:p>
            <w:pPr>
              <w:spacing w:before="40" w:after="40"/>
            </w:pPr>
            <w:r>
              <w:rPr>
                <w:rFonts w:ascii="Calibri" w:hAnsi="Calibri"/>
                <w:sz w:val="18"/>
              </w:rPr>
              <w:t>Director</w:t>
            </w:r>
          </w:p>
        </w:tc>
        <w:tc>
          <w:tcPr>
            <w:tcW w:type="dxa" w:w="2880"/>
          </w:tcPr>
          <w:p>
            <w:pPr>
              <w:spacing w:before="40" w:after="40"/>
            </w:pPr>
            <w:r>
              <w:rPr>
                <w:rFonts w:ascii="Calibri" w:hAnsi="Calibri"/>
                <w:sz w:val="18"/>
              </w:rPr>
              <w:t>Non-Executive Independent Director</w:t>
            </w:r>
          </w:p>
        </w:tc>
      </w:tr>
      <w:tr>
        <w:tc>
          <w:tcPr>
            <w:tcW w:type="dxa" w:w="2880"/>
            <w:shd w:fill="E8F0FE"/>
          </w:tcPr>
          <w:p>
            <w:pPr>
              <w:spacing w:before="40" w:after="40"/>
            </w:pPr>
            <w:r>
              <w:rPr>
                <w:rFonts w:ascii="Calibri" w:hAnsi="Calibri"/>
                <w:b/>
                <w:sz w:val="18"/>
              </w:rPr>
              <w:t>Mr. Natarajan Venkataraman</w:t>
            </w:r>
          </w:p>
        </w:tc>
        <w:tc>
          <w:tcPr>
            <w:tcW w:type="dxa" w:w="2880"/>
            <w:shd w:fill="E8F0FE"/>
          </w:tcPr>
          <w:p>
            <w:pPr>
              <w:spacing w:before="40" w:after="40"/>
            </w:pPr>
            <w:r>
              <w:rPr>
                <w:rFonts w:ascii="Calibri" w:hAnsi="Calibri"/>
                <w:sz w:val="18"/>
              </w:rPr>
              <w:t>Director</w:t>
            </w:r>
          </w:p>
        </w:tc>
        <w:tc>
          <w:tcPr>
            <w:tcW w:type="dxa" w:w="2880"/>
            <w:shd w:fill="E8F0FE"/>
          </w:tcPr>
          <w:p>
            <w:pPr>
              <w:spacing w:before="40" w:after="40"/>
            </w:pPr>
            <w:r>
              <w:rPr>
                <w:rFonts w:ascii="Calibri" w:hAnsi="Calibri"/>
                <w:sz w:val="18"/>
              </w:rPr>
              <w:t>Non-Executive, Non-Independent Director</w:t>
            </w:r>
          </w:p>
        </w:tc>
      </w:tr>
      <w:tr>
        <w:tc>
          <w:tcPr>
            <w:tcW w:type="dxa" w:w="2880"/>
          </w:tcPr>
          <w:p>
            <w:pPr>
              <w:spacing w:before="40" w:after="40"/>
            </w:pPr>
            <w:r>
              <w:rPr>
                <w:rFonts w:ascii="Calibri" w:hAnsi="Calibri"/>
                <w:b/>
                <w:sz w:val="18"/>
              </w:rPr>
              <w:t>Mr. Sujal A. Shah</w:t>
            </w:r>
          </w:p>
        </w:tc>
        <w:tc>
          <w:tcPr>
            <w:tcW w:type="dxa" w:w="2880"/>
          </w:tcPr>
          <w:p>
            <w:pPr>
              <w:spacing w:before="40" w:after="40"/>
            </w:pPr>
            <w:r>
              <w:rPr>
                <w:rFonts w:ascii="Calibri" w:hAnsi="Calibri"/>
                <w:sz w:val="18"/>
              </w:rPr>
              <w:t>Director</w:t>
            </w:r>
          </w:p>
        </w:tc>
        <w:tc>
          <w:tcPr>
            <w:tcW w:type="dxa" w:w="2880"/>
          </w:tcPr>
          <w:p>
            <w:pPr>
              <w:spacing w:before="40" w:after="40"/>
            </w:pPr>
            <w:r>
              <w:rPr>
                <w:rFonts w:ascii="Calibri" w:hAnsi="Calibri"/>
                <w:sz w:val="18"/>
              </w:rPr>
              <w:t>Non-Executive Independent Director</w:t>
            </w:r>
          </w:p>
        </w:tc>
      </w:tr>
      <w:tr>
        <w:tc>
          <w:tcPr>
            <w:tcW w:type="dxa" w:w="2880"/>
            <w:shd w:fill="E8F0FE"/>
          </w:tcPr>
          <w:p>
            <w:pPr>
              <w:spacing w:before="40" w:after="40"/>
            </w:pPr>
            <w:r>
              <w:rPr>
                <w:rFonts w:ascii="Calibri" w:hAnsi="Calibri"/>
                <w:b/>
                <w:sz w:val="18"/>
              </w:rPr>
              <w:t>Mr. Srinivasan Vishwanathan</w:t>
            </w:r>
          </w:p>
        </w:tc>
        <w:tc>
          <w:tcPr>
            <w:tcW w:type="dxa" w:w="2880"/>
            <w:shd w:fill="E8F0FE"/>
          </w:tcPr>
          <w:p>
            <w:pPr>
              <w:spacing w:before="40" w:after="40"/>
            </w:pPr>
            <w:r>
              <w:rPr>
                <w:rFonts w:ascii="Calibri" w:hAnsi="Calibri"/>
                <w:sz w:val="18"/>
              </w:rPr>
              <w:t>Director</w:t>
            </w:r>
          </w:p>
        </w:tc>
        <w:tc>
          <w:tcPr>
            <w:tcW w:type="dxa" w:w="2880"/>
            <w:shd w:fill="E8F0FE"/>
          </w:tcPr>
          <w:p>
            <w:pPr>
              <w:spacing w:before="40" w:after="40"/>
            </w:pPr>
            <w:r>
              <w:rPr>
                <w:rFonts w:ascii="Calibri" w:hAnsi="Calibri"/>
                <w:sz w:val="18"/>
              </w:rPr>
              <w:t>Non-Executive Independent Director</w:t>
            </w:r>
          </w:p>
        </w:tc>
      </w:tr>
      <w:tr>
        <w:tc>
          <w:tcPr>
            <w:tcW w:type="dxa" w:w="2880"/>
          </w:tcPr>
          <w:p>
            <w:pPr>
              <w:spacing w:before="40" w:after="40"/>
            </w:pPr>
            <w:r>
              <w:rPr>
                <w:rFonts w:ascii="Calibri" w:hAnsi="Calibri"/>
                <w:b/>
                <w:sz w:val="18"/>
              </w:rPr>
              <w:t>Mr. Varun Berry</w:t>
            </w:r>
          </w:p>
        </w:tc>
        <w:tc>
          <w:tcPr>
            <w:tcW w:type="dxa" w:w="2880"/>
          </w:tcPr>
          <w:p>
            <w:pPr>
              <w:spacing w:before="40" w:after="40"/>
            </w:pPr>
            <w:r>
              <w:rPr>
                <w:rFonts w:ascii="Calibri" w:hAnsi="Calibri"/>
                <w:sz w:val="18"/>
              </w:rPr>
              <w:t>Director</w:t>
            </w:r>
          </w:p>
        </w:tc>
        <w:tc>
          <w:tcPr>
            <w:tcW w:type="dxa" w:w="2880"/>
          </w:tcPr>
          <w:p>
            <w:pPr>
              <w:spacing w:before="40" w:after="40"/>
            </w:pPr>
            <w:r>
              <w:rPr>
                <w:rFonts w:ascii="Calibri" w:hAnsi="Calibri"/>
                <w:sz w:val="18"/>
              </w:rPr>
              <w:t>Non-Executive, Non-Independent Director</w:t>
            </w:r>
          </w:p>
        </w:tc>
      </w:tr>
      <w:tr>
        <w:tc>
          <w:tcPr>
            <w:tcW w:type="dxa" w:w="2880"/>
            <w:shd w:fill="E8F0FE"/>
          </w:tcPr>
          <w:p>
            <w:pPr>
              <w:spacing w:before="40" w:after="40"/>
            </w:pPr>
            <w:r>
              <w:rPr>
                <w:rFonts w:ascii="Calibri" w:hAnsi="Calibri"/>
                <w:b/>
                <w:sz w:val="18"/>
              </w:rPr>
              <w:t>Dr. Y.S.P . Thorat</w:t>
            </w:r>
          </w:p>
        </w:tc>
        <w:tc>
          <w:tcPr>
            <w:tcW w:type="dxa" w:w="2880"/>
            <w:shd w:fill="E8F0FE"/>
          </w:tcPr>
          <w:p>
            <w:pPr>
              <w:spacing w:before="40" w:after="40"/>
            </w:pPr>
            <w:r>
              <w:rPr>
                <w:rFonts w:ascii="Calibri" w:hAnsi="Calibri"/>
                <w:sz w:val="18"/>
              </w:rPr>
              <w:t>Director</w:t>
            </w:r>
          </w:p>
        </w:tc>
        <w:tc>
          <w:tcPr>
            <w:tcW w:type="dxa" w:w="2880"/>
            <w:shd w:fill="E8F0FE"/>
          </w:tcPr>
          <w:p>
            <w:pPr>
              <w:spacing w:before="40" w:after="40"/>
            </w:pPr>
            <w:r>
              <w:rPr>
                <w:rFonts w:ascii="Calibri" w:hAnsi="Calibri"/>
                <w:sz w:val="18"/>
              </w:rPr>
              <w:t>Non-Executive Independent Director</w:t>
            </w:r>
          </w:p>
        </w:tc>
      </w:tr>
    </w:tbl>
    <w:p/>
    <w:p>
      <w:pPr>
        <w:pStyle w:val="Heading2"/>
      </w:pPr>
      <w:r>
        <w:rPr>
          <w:rFonts w:ascii="Calibri" w:hAnsi="Calibri"/>
          <w:color w:val="1F5F8B"/>
          <w:sz w:val="26"/>
        </w:rPr>
        <w:t>4.2 Governance Strengths</w:t>
      </w:r>
    </w:p>
    <w:p>
      <w:pPr>
        <w:pStyle w:val="ListBullet"/>
        <w:spacing w:after="80"/>
      </w:pPr>
      <w:r>
        <w:rPr>
          <w:rFonts w:ascii="Calibri" w:hAnsi="Calibri"/>
          <w:color w:val="333333"/>
          <w:sz w:val="20"/>
        </w:rPr>
        <w:t xml:space="preserve">  </w:t>
      </w:r>
      <w:r>
        <w:rPr>
          <w:rFonts w:ascii="Calibri" w:hAnsi="Calibri"/>
          <w:b/>
          <w:color w:val="333333"/>
          <w:sz w:val="20"/>
        </w:rPr>
        <w:t>Unmodified Auditor Opinions:</w:t>
      </w:r>
      <w:r>
        <w:rPr>
          <w:rFonts w:ascii="Calibri" w:hAnsi="Calibri"/>
          <w:color w:val="333333"/>
          <w:sz w:val="20"/>
        </w:rPr>
        <w:t xml:space="preserve"> The statutory auditors have provided unmodified opinions on both standalone and consolidated financial statements for FY25, indicating compliance with accounting standards and fair presentation.</w:t>
      </w:r>
    </w:p>
    <w:p>
      <w:pPr>
        <w:pStyle w:val="ListBullet"/>
        <w:spacing w:after="80"/>
      </w:pPr>
      <w:r>
        <w:rPr>
          <w:rFonts w:ascii="Calibri" w:hAnsi="Calibri"/>
          <w:color w:val="333333"/>
          <w:sz w:val="20"/>
        </w:rPr>
        <w:t xml:space="preserve">  </w:t>
      </w:r>
      <w:r>
        <w:rPr>
          <w:rFonts w:ascii="Calibri" w:hAnsi="Calibri"/>
          <w:b/>
          <w:color w:val="333333"/>
          <w:sz w:val="20"/>
        </w:rPr>
        <w:t>Adequate Internal Financial Controls:</w:t>
      </w:r>
      <w:r>
        <w:rPr>
          <w:rFonts w:ascii="Calibri" w:hAnsi="Calibri"/>
          <w:color w:val="333333"/>
          <w:sz w:val="20"/>
        </w:rPr>
        <w:t xml:space="preserve"> The company has been reported to have adequate internal financial controls over financial reporting, operating effectively as of March 31, 2025.</w:t>
      </w:r>
    </w:p>
    <w:p>
      <w:pPr>
        <w:pStyle w:val="ListBullet"/>
        <w:spacing w:after="80"/>
      </w:pPr>
      <w:r>
        <w:rPr>
          <w:rFonts w:ascii="Calibri" w:hAnsi="Calibri"/>
          <w:color w:val="333333"/>
          <w:sz w:val="20"/>
        </w:rPr>
        <w:t xml:space="preserve">  </w:t>
      </w:r>
      <w:r>
        <w:rPr>
          <w:rFonts w:ascii="Calibri" w:hAnsi="Calibri"/>
          <w:b/>
          <w:color w:val="333333"/>
          <w:sz w:val="20"/>
        </w:rPr>
        <w:t>Independent Directors:</w:t>
      </w:r>
      <w:r>
        <w:rPr>
          <w:rFonts w:ascii="Calibri" w:hAnsi="Calibri"/>
          <w:color w:val="333333"/>
          <w:sz w:val="20"/>
        </w:rPr>
        <w:t xml:space="preserve"> The Board composition includes a significant proportion of independent directors, with regular confirmations of their independence and adherence to the Code of Independent Directors.</w:t>
      </w:r>
    </w:p>
    <w:p>
      <w:pPr>
        <w:pStyle w:val="ListBullet"/>
        <w:spacing w:after="80"/>
      </w:pPr>
      <w:r>
        <w:rPr>
          <w:rFonts w:ascii="Calibri" w:hAnsi="Calibri"/>
          <w:color w:val="333333"/>
          <w:sz w:val="20"/>
        </w:rPr>
        <w:t xml:space="preserve">  </w:t>
      </w:r>
      <w:r>
        <w:rPr>
          <w:rFonts w:ascii="Calibri" w:hAnsi="Calibri"/>
          <w:b/>
          <w:color w:val="333333"/>
          <w:sz w:val="20"/>
        </w:rPr>
        <w:t>Board Committees:</w:t>
      </w:r>
      <w:r>
        <w:rPr>
          <w:rFonts w:ascii="Calibri" w:hAnsi="Calibri"/>
          <w:color w:val="333333"/>
          <w:sz w:val="20"/>
        </w:rPr>
        <w:t xml:space="preserve"> The company has well-constituted committees, including Audit, Nomination &amp; Remuneration, Stakeholders Relationship, and Risk Management, with clear terms of reference and regular meeting schedules.</w:t>
      </w:r>
    </w:p>
    <w:p>
      <w:pPr>
        <w:pStyle w:val="ListBullet"/>
        <w:spacing w:after="80"/>
      </w:pPr>
      <w:r>
        <w:rPr>
          <w:rFonts w:ascii="Calibri" w:hAnsi="Calibri"/>
          <w:color w:val="333333"/>
          <w:sz w:val="20"/>
        </w:rPr>
        <w:t xml:space="preserve">  </w:t>
      </w:r>
      <w:r>
        <w:rPr>
          <w:rFonts w:ascii="Calibri" w:hAnsi="Calibri"/>
          <w:b/>
          <w:color w:val="333333"/>
          <w:sz w:val="20"/>
        </w:rPr>
        <w:t>Whistleblower Policy:</w:t>
      </w:r>
      <w:r>
        <w:rPr>
          <w:rFonts w:ascii="Calibri" w:hAnsi="Calibri"/>
          <w:color w:val="333333"/>
          <w:sz w:val="20"/>
        </w:rPr>
        <w:t xml:space="preserve"> The company has a functional Whistleblower Policy and Vigil Mechanism to encourage reporting of genuine concerns and ensure ethical conduct.</w:t>
      </w:r>
    </w:p>
    <w:p>
      <w:pPr>
        <w:pStyle w:val="ListBullet"/>
        <w:spacing w:after="80"/>
      </w:pPr>
      <w:r>
        <w:rPr>
          <w:rFonts w:ascii="Calibri" w:hAnsi="Calibri"/>
          <w:color w:val="333333"/>
          <w:sz w:val="20"/>
        </w:rPr>
        <w:t xml:space="preserve">  </w:t>
      </w:r>
      <w:r>
        <w:rPr>
          <w:rFonts w:ascii="Calibri" w:hAnsi="Calibri"/>
          <w:b/>
          <w:color w:val="333333"/>
          <w:sz w:val="20"/>
        </w:rPr>
        <w:t>Compliance with SEBI Regulations:</w:t>
      </w:r>
      <w:r>
        <w:rPr>
          <w:rFonts w:ascii="Calibri" w:hAnsi="Calibri"/>
          <w:color w:val="333333"/>
          <w:sz w:val="20"/>
        </w:rPr>
        <w:t xml:space="preserve"> The company generally complies with SEBI (Listing Obligations and Disclosure Requirements) Regulations, 2015, as evidenced by the secretarial audit report.</w:t>
      </w:r>
    </w:p>
    <w:p>
      <w:pPr>
        <w:pStyle w:val="ListBullet"/>
        <w:spacing w:after="80"/>
      </w:pPr>
      <w:r>
        <w:rPr>
          <w:rFonts w:ascii="Calibri" w:hAnsi="Calibri"/>
          <w:color w:val="333333"/>
          <w:sz w:val="20"/>
        </w:rPr>
        <w:t xml:space="preserve">  </w:t>
      </w:r>
      <w:r>
        <w:rPr>
          <w:rFonts w:ascii="Calibri" w:hAnsi="Calibri"/>
          <w:b/>
          <w:color w:val="333333"/>
          <w:sz w:val="20"/>
        </w:rPr>
        <w:t>Proactive Risk Management:</w:t>
      </w:r>
      <w:r>
        <w:rPr>
          <w:rFonts w:ascii="Calibri" w:hAnsi="Calibri"/>
          <w:color w:val="333333"/>
          <w:sz w:val="20"/>
        </w:rPr>
        <w:t xml:space="preserve"> The company has a Risk Management Committee and a Risk Assessment &amp; Management Policy in place.</w:t>
      </w:r>
    </w:p>
    <w:p>
      <w:pPr>
        <w:pStyle w:val="ListBullet"/>
        <w:spacing w:after="80"/>
      </w:pPr>
      <w:r>
        <w:rPr>
          <w:rFonts w:ascii="Calibri" w:hAnsi="Calibri"/>
          <w:color w:val="333333"/>
          <w:sz w:val="20"/>
        </w:rPr>
        <w:t xml:space="preserve">  </w:t>
      </w:r>
      <w:r>
        <w:rPr>
          <w:rFonts w:ascii="Calibri" w:hAnsi="Calibri"/>
          <w:b/>
          <w:color w:val="333333"/>
          <w:sz w:val="20"/>
        </w:rPr>
        <w:t>Transparency in Disclosures:</w:t>
      </w:r>
      <w:r>
        <w:rPr>
          <w:rFonts w:ascii="Calibri" w:hAnsi="Calibri"/>
          <w:color w:val="333333"/>
          <w:sz w:val="20"/>
        </w:rPr>
        <w:t xml:space="preserve"> The company demonstrates transparency through its comprehensive Annual Reports and adherence to disclosure requirements.</w:t>
      </w:r>
    </w:p>
    <w:p>
      <w:pPr>
        <w:pStyle w:val="Heading2"/>
      </w:pPr>
      <w:r>
        <w:rPr>
          <w:rFonts w:ascii="Calibri" w:hAnsi="Calibri"/>
          <w:color w:val="1F5F8B"/>
          <w:sz w:val="26"/>
        </w:rPr>
        <w:t>4.3 Governance Concerns / Watchpoints</w:t>
      </w:r>
    </w:p>
    <w:p>
      <w:pPr>
        <w:pStyle w:val="ListBullet"/>
        <w:spacing w:after="80"/>
      </w:pPr>
      <w:r>
        <w:rPr>
          <w:rFonts w:ascii="Calibri" w:hAnsi="Calibri"/>
          <w:color w:val="333333"/>
          <w:sz w:val="20"/>
        </w:rPr>
        <w:t xml:space="preserve">  </w:t>
      </w:r>
      <w:r>
        <w:rPr>
          <w:rFonts w:ascii="Calibri" w:hAnsi="Calibri"/>
          <w:b/>
          <w:color w:val="333333"/>
          <w:sz w:val="20"/>
        </w:rPr>
        <w:t>SEBI Order and Appeal:</w:t>
      </w:r>
      <w:r>
        <w:rPr>
          <w:rFonts w:ascii="Calibri" w:hAnsi="Calibri"/>
          <w:color w:val="333333"/>
          <w:sz w:val="20"/>
        </w:rPr>
        <w:t xml:space="preserve"> The company is subject to an ongoing appeal with the Securities Appellate Tribunal (SAT) against a SEBI order imposing penalties and market access restrictions. While SAT has granted a stay, the uncertainty remains until the final resolution.</w:t>
      </w:r>
    </w:p>
    <w:p>
      <w:pPr>
        <w:pStyle w:val="ListBullet"/>
        <w:spacing w:after="80"/>
      </w:pPr>
      <w:r>
        <w:rPr>
          <w:rFonts w:ascii="Calibri" w:hAnsi="Calibri"/>
          <w:color w:val="333333"/>
          <w:sz w:val="20"/>
        </w:rPr>
        <w:t xml:space="preserve">  </w:t>
      </w:r>
      <w:r>
        <w:rPr>
          <w:rFonts w:ascii="Calibri" w:hAnsi="Calibri"/>
          <w:b/>
          <w:color w:val="333333"/>
          <w:sz w:val="20"/>
        </w:rPr>
        <w:t>Stock Exchange Fines:</w:t>
      </w:r>
      <w:r>
        <w:rPr>
          <w:rFonts w:ascii="Calibri" w:hAnsi="Calibri"/>
          <w:color w:val="333333"/>
          <w:sz w:val="20"/>
        </w:rPr>
        <w:t xml:space="preserve"> The company paid fines to NSE and BSE under protest for alleged non-compliance with Regulation 17(1A) regarding Independent Director appointment, indicating potential procedural lapses or interpretation differences.</w:t>
      </w:r>
    </w:p>
    <w:p>
      <w:pPr>
        <w:pStyle w:val="ListBullet"/>
        <w:spacing w:after="80"/>
      </w:pPr>
      <w:r>
        <w:rPr>
          <w:rFonts w:ascii="Calibri" w:hAnsi="Calibri"/>
          <w:color w:val="333333"/>
          <w:sz w:val="20"/>
        </w:rPr>
        <w:t xml:space="preserve">  </w:t>
      </w:r>
      <w:r>
        <w:rPr>
          <w:rFonts w:ascii="Calibri" w:hAnsi="Calibri"/>
          <w:b/>
          <w:color w:val="333333"/>
          <w:sz w:val="20"/>
        </w:rPr>
        <w:t>Related Party Transactions:</w:t>
      </w:r>
      <w:r>
        <w:rPr>
          <w:rFonts w:ascii="Calibri" w:hAnsi="Calibri"/>
          <w:color w:val="333333"/>
          <w:sz w:val="20"/>
        </w:rPr>
        <w:t xml:space="preserve"> While transactions are stated to be at arm's length, the significant number of related parties and inter-company transactions warrant continuous monitoring for any potential conflicts of interest.</w:t>
      </w:r>
    </w:p>
    <w:p>
      <w:pPr>
        <w:pStyle w:val="ListBullet"/>
        <w:spacing w:after="80"/>
      </w:pPr>
      <w:r>
        <w:rPr>
          <w:rFonts w:ascii="Calibri" w:hAnsi="Calibri"/>
          <w:color w:val="333333"/>
          <w:sz w:val="20"/>
        </w:rPr>
        <w:t xml:space="preserve">  </w:t>
      </w:r>
      <w:r>
        <w:rPr>
          <w:rFonts w:ascii="Calibri" w:hAnsi="Calibri"/>
          <w:b/>
          <w:color w:val="333333"/>
          <w:sz w:val="20"/>
        </w:rPr>
        <w:t>Management Remuneration:</w:t>
      </w:r>
      <w:r>
        <w:rPr>
          <w:rFonts w:ascii="Calibri" w:hAnsi="Calibri"/>
          <w:color w:val="333333"/>
          <w:sz w:val="20"/>
        </w:rPr>
        <w:t xml:space="preserve"> While within limits, the remuneration ratios for some directors to median employee remuneration are on the higher side, and changes in remuneration for KMPs and directors during the year are substantial, requiring scrutiny against performance.</w:t>
      </w:r>
    </w:p>
    <w:p>
      <w:pPr>
        <w:pStyle w:val="ListBullet"/>
        <w:spacing w:after="80"/>
      </w:pPr>
      <w:r>
        <w:rPr>
          <w:rFonts w:ascii="Calibri" w:hAnsi="Calibri"/>
          <w:color w:val="333333"/>
          <w:sz w:val="20"/>
        </w:rPr>
        <w:t xml:space="preserve">  </w:t>
      </w:r>
      <w:r>
        <w:rPr>
          <w:rFonts w:ascii="Calibri" w:hAnsi="Calibri"/>
          <w:b/>
          <w:color w:val="333333"/>
          <w:sz w:val="20"/>
        </w:rPr>
        <w:t>Uncertain Tax Positions:</w:t>
      </w:r>
      <w:r>
        <w:rPr>
          <w:rFonts w:ascii="Calibri" w:hAnsi="Calibri"/>
          <w:color w:val="333333"/>
          <w:sz w:val="20"/>
        </w:rPr>
        <w:t xml:space="preserve"> The company has significant pending litigations related to direct and indirect taxes, which represent a contingent liability and could impact future financial performance.</w:t>
      </w:r>
    </w:p>
    <w:p>
      <w:pPr>
        <w:pStyle w:val="ListBullet"/>
        <w:spacing w:after="80"/>
      </w:pPr>
      <w:r>
        <w:rPr>
          <w:rFonts w:ascii="Calibri" w:hAnsi="Calibri"/>
          <w:color w:val="333333"/>
          <w:sz w:val="20"/>
        </w:rPr>
        <w:t xml:space="preserve">  </w:t>
      </w:r>
      <w:r>
        <w:rPr>
          <w:rFonts w:ascii="Calibri" w:hAnsi="Calibri"/>
          <w:b/>
          <w:color w:val="333333"/>
          <w:sz w:val="20"/>
        </w:rPr>
        <w:t>Reliance on Management Estimates:</w:t>
      </w:r>
      <w:r>
        <w:rPr>
          <w:rFonts w:ascii="Calibri" w:hAnsi="Calibri"/>
          <w:color w:val="333333"/>
          <w:sz w:val="20"/>
        </w:rPr>
        <w:t xml:space="preserve"> The valuation of inventories, particularly for real estate, and the assessment of uncertain tax positions involve significant management judgment, which inherently carries estimation risk.</w:t>
      </w:r>
    </w:p>
    <w:p>
      <w:pPr>
        <w:pStyle w:val="Heading2"/>
      </w:pPr>
      <w:r>
        <w:rPr>
          <w:rFonts w:ascii="Calibri" w:hAnsi="Calibri"/>
          <w:color w:val="1F5F8B"/>
          <w:sz w:val="26"/>
        </w:rPr>
        <w:t>4.4 Shareholding Pattern</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1F5F8B"/>
          </w:tcPr>
          <w:p>
            <w:pPr>
              <w:spacing w:before="40" w:after="40"/>
            </w:pPr>
            <w:r>
              <w:rPr>
                <w:rFonts w:ascii="Calibri" w:hAnsi="Calibri"/>
                <w:b/>
                <w:color w:val="FFFFFF"/>
                <w:sz w:val="18"/>
              </w:rPr>
              <w:t>Category</w:t>
            </w:r>
          </w:p>
        </w:tc>
        <w:tc>
          <w:tcPr>
            <w:tcW w:type="dxa" w:w="2880"/>
            <w:shd w:fill="1F5F8B"/>
          </w:tcPr>
          <w:p>
            <w:pPr>
              <w:spacing w:before="40" w:after="40"/>
            </w:pPr>
            <w:r>
              <w:rPr>
                <w:rFonts w:ascii="Calibri" w:hAnsi="Calibri"/>
                <w:b/>
                <w:color w:val="FFFFFF"/>
                <w:sz w:val="18"/>
              </w:rPr>
              <w:t>No. of Shares</w:t>
            </w:r>
          </w:p>
        </w:tc>
        <w:tc>
          <w:tcPr>
            <w:tcW w:type="dxa" w:w="2880"/>
            <w:shd w:fill="1F5F8B"/>
          </w:tcPr>
          <w:p>
            <w:pPr>
              <w:spacing w:before="40" w:after="40"/>
            </w:pPr>
            <w:r>
              <w:rPr>
                <w:rFonts w:ascii="Calibri" w:hAnsi="Calibri"/>
                <w:b/>
                <w:color w:val="FFFFFF"/>
                <w:sz w:val="18"/>
              </w:rPr>
              <w:t>% Holding</w:t>
            </w:r>
          </w:p>
        </w:tc>
      </w:tr>
      <w:tr>
        <w:tc>
          <w:tcPr>
            <w:tcW w:type="dxa" w:w="2880"/>
          </w:tcPr>
          <w:p>
            <w:pPr>
              <w:spacing w:before="40" w:after="40"/>
            </w:pPr>
            <w:r>
              <w:rPr>
                <w:rFonts w:ascii="Calibri" w:hAnsi="Calibri"/>
                <w:b/>
                <w:sz w:val="18"/>
              </w:rPr>
              <w:t>Promoters &amp; PAIC</w:t>
            </w:r>
          </w:p>
        </w:tc>
        <w:tc>
          <w:tcPr>
            <w:tcW w:type="dxa" w:w="2880"/>
          </w:tcPr>
          <w:p>
            <w:pPr>
              <w:spacing w:before="40" w:after="40"/>
            </w:pPr>
            <w:r>
              <w:rPr>
                <w:rFonts w:ascii="Calibri" w:hAnsi="Calibri"/>
                <w:sz w:val="18"/>
              </w:rPr>
              <w:t>110,658,618</w:t>
            </w:r>
          </w:p>
        </w:tc>
        <w:tc>
          <w:tcPr>
            <w:tcW w:type="dxa" w:w="2880"/>
          </w:tcPr>
          <w:p>
            <w:pPr>
              <w:spacing w:before="40" w:after="40"/>
            </w:pPr>
            <w:r>
              <w:rPr>
                <w:rFonts w:ascii="Calibri" w:hAnsi="Calibri"/>
                <w:sz w:val="18"/>
              </w:rPr>
              <w:t>53.58%</w:t>
            </w:r>
          </w:p>
        </w:tc>
      </w:tr>
      <w:tr>
        <w:tc>
          <w:tcPr>
            <w:tcW w:type="dxa" w:w="2880"/>
            <w:shd w:fill="E8F0FE"/>
          </w:tcPr>
          <w:p>
            <w:pPr>
              <w:spacing w:before="40" w:after="40"/>
            </w:pPr>
            <w:r>
              <w:rPr>
                <w:rFonts w:ascii="Calibri" w:hAnsi="Calibri"/>
                <w:b/>
                <w:sz w:val="18"/>
              </w:rPr>
              <w:t>Insurance Companies</w:t>
            </w:r>
          </w:p>
        </w:tc>
        <w:tc>
          <w:tcPr>
            <w:tcW w:type="dxa" w:w="2880"/>
            <w:shd w:fill="E8F0FE"/>
          </w:tcPr>
          <w:p>
            <w:pPr>
              <w:spacing w:before="40" w:after="40"/>
            </w:pPr>
            <w:r>
              <w:rPr>
                <w:rFonts w:ascii="Calibri" w:hAnsi="Calibri"/>
                <w:sz w:val="18"/>
              </w:rPr>
              <w:t>493,765</w:t>
            </w:r>
          </w:p>
        </w:tc>
        <w:tc>
          <w:tcPr>
            <w:tcW w:type="dxa" w:w="2880"/>
            <w:shd w:fill="E8F0FE"/>
          </w:tcPr>
          <w:p>
            <w:pPr>
              <w:spacing w:before="40" w:after="40"/>
            </w:pPr>
            <w:r>
              <w:rPr>
                <w:rFonts w:ascii="Calibri" w:hAnsi="Calibri"/>
                <w:sz w:val="18"/>
              </w:rPr>
              <w:t>0.24%</w:t>
            </w:r>
          </w:p>
        </w:tc>
      </w:tr>
      <w:tr>
        <w:tc>
          <w:tcPr>
            <w:tcW w:type="dxa" w:w="2880"/>
          </w:tcPr>
          <w:p>
            <w:pPr>
              <w:spacing w:before="40" w:after="40"/>
            </w:pPr>
            <w:r>
              <w:rPr>
                <w:rFonts w:ascii="Calibri" w:hAnsi="Calibri"/>
                <w:b/>
                <w:sz w:val="18"/>
              </w:rPr>
              <w:t>Nationalised Banks</w:t>
            </w:r>
          </w:p>
        </w:tc>
        <w:tc>
          <w:tcPr>
            <w:tcW w:type="dxa" w:w="2880"/>
          </w:tcPr>
          <w:p>
            <w:pPr>
              <w:spacing w:before="40" w:after="40"/>
            </w:pPr>
            <w:r>
              <w:rPr>
                <w:rFonts w:ascii="Calibri" w:hAnsi="Calibri"/>
                <w:sz w:val="18"/>
              </w:rPr>
              <w:t>124,370</w:t>
            </w:r>
          </w:p>
        </w:tc>
        <w:tc>
          <w:tcPr>
            <w:tcW w:type="dxa" w:w="2880"/>
          </w:tcPr>
          <w:p>
            <w:pPr>
              <w:spacing w:before="40" w:after="40"/>
            </w:pPr>
            <w:r>
              <w:rPr>
                <w:rFonts w:ascii="Calibri" w:hAnsi="Calibri"/>
                <w:sz w:val="18"/>
              </w:rPr>
              <w:t>0.06%</w:t>
            </w:r>
          </w:p>
        </w:tc>
      </w:tr>
      <w:tr>
        <w:tc>
          <w:tcPr>
            <w:tcW w:type="dxa" w:w="2880"/>
            <w:shd w:fill="E8F0FE"/>
          </w:tcPr>
          <w:p>
            <w:pPr>
              <w:spacing w:before="40" w:after="40"/>
            </w:pPr>
            <w:r>
              <w:rPr>
                <w:rFonts w:ascii="Calibri" w:hAnsi="Calibri"/>
                <w:b/>
                <w:sz w:val="18"/>
              </w:rPr>
              <w:t>Mutual Funds</w:t>
            </w:r>
          </w:p>
        </w:tc>
        <w:tc>
          <w:tcPr>
            <w:tcW w:type="dxa" w:w="2880"/>
            <w:shd w:fill="E8F0FE"/>
          </w:tcPr>
          <w:p>
            <w:pPr>
              <w:spacing w:before="40" w:after="40"/>
            </w:pPr>
            <w:r>
              <w:rPr>
                <w:rFonts w:ascii="Calibri" w:hAnsi="Calibri"/>
                <w:sz w:val="18"/>
              </w:rPr>
              <w:t>267,005</w:t>
            </w:r>
          </w:p>
        </w:tc>
        <w:tc>
          <w:tcPr>
            <w:tcW w:type="dxa" w:w="2880"/>
            <w:shd w:fill="E8F0FE"/>
          </w:tcPr>
          <w:p>
            <w:pPr>
              <w:spacing w:before="40" w:after="40"/>
            </w:pPr>
            <w:r>
              <w:rPr>
                <w:rFonts w:ascii="Calibri" w:hAnsi="Calibri"/>
                <w:sz w:val="18"/>
              </w:rPr>
              <w:t>0.13%</w:t>
            </w:r>
          </w:p>
        </w:tc>
      </w:tr>
      <w:tr>
        <w:tc>
          <w:tcPr>
            <w:tcW w:type="dxa" w:w="2880"/>
          </w:tcPr>
          <w:p>
            <w:pPr>
              <w:spacing w:before="40" w:after="40"/>
            </w:pPr>
            <w:r>
              <w:rPr>
                <w:rFonts w:ascii="Calibri" w:hAnsi="Calibri"/>
                <w:b/>
                <w:sz w:val="18"/>
              </w:rPr>
              <w:t>FIIs, NRIs &amp; FPI</w:t>
            </w:r>
          </w:p>
        </w:tc>
        <w:tc>
          <w:tcPr>
            <w:tcW w:type="dxa" w:w="2880"/>
          </w:tcPr>
          <w:p>
            <w:pPr>
              <w:spacing w:before="40" w:after="40"/>
            </w:pPr>
            <w:r>
              <w:rPr>
                <w:rFonts w:ascii="Calibri" w:hAnsi="Calibri"/>
                <w:sz w:val="18"/>
              </w:rPr>
              <w:t>84,085</w:t>
            </w:r>
          </w:p>
        </w:tc>
        <w:tc>
          <w:tcPr>
            <w:tcW w:type="dxa" w:w="2880"/>
          </w:tcPr>
          <w:p>
            <w:pPr>
              <w:spacing w:before="40" w:after="40"/>
            </w:pPr>
            <w:r>
              <w:rPr>
                <w:rFonts w:ascii="Calibri" w:hAnsi="Calibri"/>
                <w:sz w:val="18"/>
              </w:rPr>
              <w:t>0.04%</w:t>
            </w:r>
          </w:p>
        </w:tc>
      </w:tr>
      <w:tr>
        <w:tc>
          <w:tcPr>
            <w:tcW w:type="dxa" w:w="2880"/>
            <w:shd w:fill="E8F0FE"/>
          </w:tcPr>
          <w:p>
            <w:pPr>
              <w:spacing w:before="40" w:after="40"/>
            </w:pPr>
            <w:r>
              <w:rPr>
                <w:rFonts w:ascii="Calibri" w:hAnsi="Calibri"/>
                <w:b/>
                <w:sz w:val="18"/>
              </w:rPr>
              <w:t>Private Corporate Bodies</w:t>
            </w:r>
          </w:p>
        </w:tc>
        <w:tc>
          <w:tcPr>
            <w:tcW w:type="dxa" w:w="2880"/>
            <w:shd w:fill="E8F0FE"/>
          </w:tcPr>
          <w:p>
            <w:pPr>
              <w:spacing w:before="40" w:after="40"/>
            </w:pPr>
            <w:r>
              <w:rPr>
                <w:rFonts w:ascii="Calibri" w:hAnsi="Calibri"/>
                <w:sz w:val="18"/>
              </w:rPr>
              <w:t>10,283,790</w:t>
            </w:r>
          </w:p>
        </w:tc>
        <w:tc>
          <w:tcPr>
            <w:tcW w:type="dxa" w:w="2880"/>
            <w:shd w:fill="E8F0FE"/>
          </w:tcPr>
          <w:p>
            <w:pPr>
              <w:spacing w:before="40" w:after="40"/>
            </w:pPr>
            <w:r>
              <w:rPr>
                <w:rFonts w:ascii="Calibri" w:hAnsi="Calibri"/>
                <w:sz w:val="18"/>
              </w:rPr>
              <w:t>4.98%</w:t>
            </w:r>
          </w:p>
        </w:tc>
      </w:tr>
      <w:tr>
        <w:tc>
          <w:tcPr>
            <w:tcW w:type="dxa" w:w="2880"/>
          </w:tcPr>
          <w:p>
            <w:pPr>
              <w:spacing w:before="40" w:after="40"/>
            </w:pPr>
            <w:r>
              <w:rPr>
                <w:rFonts w:ascii="Calibri" w:hAnsi="Calibri"/>
                <w:b/>
                <w:sz w:val="18"/>
              </w:rPr>
              <w:t>Indian Public &amp; Others</w:t>
            </w:r>
          </w:p>
        </w:tc>
        <w:tc>
          <w:tcPr>
            <w:tcW w:type="dxa" w:w="2880"/>
          </w:tcPr>
          <w:p>
            <w:pPr>
              <w:spacing w:before="40" w:after="40"/>
            </w:pPr>
            <w:r>
              <w:rPr>
                <w:rFonts w:ascii="Calibri" w:hAnsi="Calibri"/>
                <w:sz w:val="18"/>
              </w:rPr>
              <w:t>94,907,057</w:t>
            </w:r>
          </w:p>
        </w:tc>
        <w:tc>
          <w:tcPr>
            <w:tcW w:type="dxa" w:w="2880"/>
          </w:tcPr>
          <w:p>
            <w:pPr>
              <w:spacing w:before="40" w:after="40"/>
            </w:pPr>
            <w:r>
              <w:rPr>
                <w:rFonts w:ascii="Calibri" w:hAnsi="Calibri"/>
                <w:sz w:val="18"/>
              </w:rPr>
              <w:t>45.95%</w:t>
            </w:r>
          </w:p>
        </w:tc>
      </w:tr>
      <w:tr>
        <w:tc>
          <w:tcPr>
            <w:tcW w:type="dxa" w:w="2880"/>
            <w:shd w:fill="E8F0FE"/>
          </w:tcPr>
          <w:p>
            <w:pPr>
              <w:spacing w:before="40" w:after="40"/>
            </w:pPr>
            <w:r>
              <w:rPr>
                <w:rFonts w:ascii="Calibri" w:hAnsi="Calibri"/>
                <w:b/>
                <w:sz w:val="18"/>
              </w:rPr>
              <w:t>Total</w:t>
            </w:r>
          </w:p>
        </w:tc>
        <w:tc>
          <w:tcPr>
            <w:tcW w:type="dxa" w:w="2880"/>
            <w:shd w:fill="E8F0FE"/>
          </w:tcPr>
          <w:p>
            <w:pPr>
              <w:spacing w:before="40" w:after="40"/>
            </w:pPr>
            <w:r>
              <w:rPr>
                <w:rFonts w:ascii="Calibri" w:hAnsi="Calibri"/>
                <w:sz w:val="18"/>
              </w:rPr>
              <w:t>206,534,900</w:t>
            </w:r>
          </w:p>
        </w:tc>
        <w:tc>
          <w:tcPr>
            <w:tcW w:type="dxa" w:w="2880"/>
            <w:shd w:fill="E8F0FE"/>
          </w:tcPr>
          <w:p>
            <w:pPr>
              <w:spacing w:before="40" w:after="40"/>
            </w:pPr>
            <w:r>
              <w:rPr>
                <w:rFonts w:ascii="Calibri" w:hAnsi="Calibri"/>
                <w:sz w:val="18"/>
              </w:rPr>
              <w:t>100.00%</w:t>
            </w:r>
          </w:p>
        </w:tc>
      </w:tr>
    </w:tbl>
    <w:p/>
    <w:p>
      <w:pPr>
        <w:spacing w:after="80"/>
      </w:pPr>
      <w:r>
        <w:rPr>
          <w:rFonts w:ascii="Calibri" w:hAnsi="Calibri"/>
          <w:b/>
          <w:color w:val="333333"/>
          <w:sz w:val="20"/>
        </w:rPr>
        <w:t>Notes on Shareholding:</w:t>
      </w:r>
    </w:p>
    <w:p>
      <w:pPr>
        <w:pStyle w:val="ListBullet"/>
        <w:spacing w:after="80"/>
      </w:pPr>
      <w:r>
        <w:rPr>
          <w:rFonts w:ascii="Calibri" w:hAnsi="Calibri"/>
          <w:color w:val="333333"/>
          <w:sz w:val="20"/>
        </w:rPr>
        <w:t xml:space="preserve">  The Promoter Group, led by Baymanco Investments Limited and The Bombay Burmah Trading Corporation Limited, holds a significant stake of approximately 43.04% in the company.</w:t>
      </w:r>
    </w:p>
    <w:p>
      <w:pPr>
        <w:pStyle w:val="ListBullet"/>
        <w:spacing w:after="80"/>
      </w:pPr>
      <w:r>
        <w:rPr>
          <w:rFonts w:ascii="Calibri" w:hAnsi="Calibri"/>
          <w:color w:val="333333"/>
          <w:sz w:val="20"/>
        </w:rPr>
        <w:t xml:space="preserve">  The Wadia family entities collectively hold a substantial portion of the promoter stake, indicating strong family control.</w:t>
      </w:r>
    </w:p>
    <w:p>
      <w:pPr>
        <w:pStyle w:val="ListBullet"/>
        <w:spacing w:after="80"/>
      </w:pPr>
      <w:r>
        <w:rPr>
          <w:rFonts w:ascii="Calibri" w:hAnsi="Calibri"/>
          <w:color w:val="333333"/>
          <w:sz w:val="20"/>
        </w:rPr>
        <w:t xml:space="preserve">  The increase in Naperol Investments Limited's holding by 27.27% during FY25 is notable.</w:t>
      </w:r>
    </w:p>
    <w:p>
      <w:pPr>
        <w:pStyle w:val="Heading2"/>
      </w:pPr>
      <w:r>
        <w:rPr>
          <w:rFonts w:ascii="Calibri" w:hAnsi="Calibri"/>
          <w:color w:val="1F5F8B"/>
          <w:sz w:val="26"/>
        </w:rPr>
        <w:t>4.5 Insider Trading Activity (Last 3 Years)</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1F5F8B"/>
          </w:tcPr>
          <w:p>
            <w:pPr>
              <w:spacing w:before="40" w:after="40"/>
            </w:pPr>
            <w:r>
              <w:rPr>
                <w:rFonts w:ascii="Calibri" w:hAnsi="Calibri"/>
                <w:b/>
                <w:color w:val="FFFFFF"/>
                <w:sz w:val="18"/>
              </w:rPr>
              <w:t>Transaction Type</w:t>
            </w:r>
          </w:p>
        </w:tc>
        <w:tc>
          <w:tcPr>
            <w:tcW w:type="dxa" w:w="2880"/>
            <w:shd w:fill="1F5F8B"/>
          </w:tcPr>
          <w:p>
            <w:pPr>
              <w:spacing w:before="40" w:after="40"/>
            </w:pPr>
            <w:r>
              <w:rPr>
                <w:rFonts w:ascii="Calibri" w:hAnsi="Calibri"/>
                <w:b/>
                <w:color w:val="FFFFFF"/>
                <w:sz w:val="18"/>
              </w:rPr>
              <w:t>Total Shares</w:t>
            </w:r>
          </w:p>
        </w:tc>
        <w:tc>
          <w:tcPr>
            <w:tcW w:type="dxa" w:w="2880"/>
            <w:shd w:fill="1F5F8B"/>
          </w:tcPr>
          <w:p>
            <w:pPr>
              <w:spacing w:before="40" w:after="40"/>
            </w:pPr>
            <w:r>
              <w:rPr>
                <w:rFonts w:ascii="Calibri" w:hAnsi="Calibri"/>
                <w:b/>
                <w:color w:val="FFFFFF"/>
                <w:sz w:val="18"/>
              </w:rPr>
              <w:t>Total Value (Rs.)</w:t>
            </w:r>
          </w:p>
        </w:tc>
      </w:tr>
      <w:tr>
        <w:tc>
          <w:tcPr>
            <w:tcW w:type="dxa" w:w="2880"/>
          </w:tcPr>
          <w:p>
            <w:pPr>
              <w:spacing w:before="40" w:after="40"/>
            </w:pPr>
            <w:r>
              <w:rPr>
                <w:rFonts w:ascii="Calibri" w:hAnsi="Calibri"/>
                <w:b/>
                <w:sz w:val="18"/>
              </w:rPr>
              <w:t>Market Purchases</w:t>
            </w:r>
          </w:p>
        </w:tc>
        <w:tc>
          <w:tcPr>
            <w:tcW w:type="dxa" w:w="2880"/>
          </w:tcPr>
          <w:p>
            <w:pPr>
              <w:spacing w:before="40" w:after="40"/>
            </w:pPr>
            <w:r>
              <w:rPr>
                <w:rFonts w:ascii="Calibri" w:hAnsi="Calibri"/>
                <w:sz w:val="18"/>
              </w:rPr>
              <w:t>0</w:t>
            </w:r>
          </w:p>
        </w:tc>
        <w:tc>
          <w:tcPr>
            <w:tcW w:type="dxa" w:w="2880"/>
          </w:tcPr>
          <w:p>
            <w:pPr>
              <w:spacing w:before="40" w:after="40"/>
            </w:pPr>
            <w:r>
              <w:rPr>
                <w:rFonts w:ascii="Calibri" w:hAnsi="Calibri"/>
                <w:sz w:val="18"/>
              </w:rPr>
              <w:t>0</w:t>
            </w:r>
          </w:p>
        </w:tc>
      </w:tr>
      <w:tr>
        <w:tc>
          <w:tcPr>
            <w:tcW w:type="dxa" w:w="2880"/>
            <w:shd w:fill="E8F0FE"/>
          </w:tcPr>
          <w:p>
            <w:pPr>
              <w:spacing w:before="40" w:after="40"/>
            </w:pPr>
            <w:r>
              <w:rPr>
                <w:rFonts w:ascii="Calibri" w:hAnsi="Calibri"/>
                <w:b/>
                <w:sz w:val="18"/>
              </w:rPr>
              <w:t>Market Sales</w:t>
            </w:r>
          </w:p>
        </w:tc>
        <w:tc>
          <w:tcPr>
            <w:tcW w:type="dxa" w:w="2880"/>
            <w:shd w:fill="E8F0FE"/>
          </w:tcPr>
          <w:p>
            <w:pPr>
              <w:spacing w:before="40" w:after="40"/>
            </w:pPr>
            <w:r>
              <w:rPr>
                <w:rFonts w:ascii="Calibri" w:hAnsi="Calibri"/>
                <w:sz w:val="18"/>
              </w:rPr>
              <w:t>0</w:t>
            </w:r>
          </w:p>
        </w:tc>
        <w:tc>
          <w:tcPr>
            <w:tcW w:type="dxa" w:w="2880"/>
            <w:shd w:fill="E8F0FE"/>
          </w:tcPr>
          <w:p>
            <w:pPr>
              <w:spacing w:before="40" w:after="40"/>
            </w:pPr>
            <w:r>
              <w:rPr>
                <w:rFonts w:ascii="Calibri" w:hAnsi="Calibri"/>
                <w:sz w:val="18"/>
              </w:rPr>
              <w:t>0</w:t>
            </w:r>
          </w:p>
        </w:tc>
      </w:tr>
      <w:tr>
        <w:tc>
          <w:tcPr>
            <w:tcW w:type="dxa" w:w="2880"/>
          </w:tcPr>
          <w:p>
            <w:pPr>
              <w:spacing w:before="40" w:after="40"/>
            </w:pPr>
            <w:r>
              <w:rPr>
                <w:rFonts w:ascii="Calibri" w:hAnsi="Calibri"/>
                <w:b/>
                <w:sz w:val="18"/>
              </w:rPr>
              <w:t>**Net Position**</w:t>
            </w:r>
          </w:p>
        </w:tc>
        <w:tc>
          <w:tcPr>
            <w:tcW w:type="dxa" w:w="2880"/>
          </w:tcPr>
          <w:p>
            <w:pPr>
              <w:spacing w:before="40" w:after="40"/>
            </w:pPr>
            <w:r>
              <w:rPr>
                <w:rFonts w:ascii="Calibri" w:hAnsi="Calibri"/>
                <w:sz w:val="18"/>
              </w:rPr>
              <w:t>**0**</w:t>
            </w:r>
          </w:p>
        </w:tc>
        <w:tc>
          <w:tcPr>
            <w:tcW w:type="dxa" w:w="2880"/>
          </w:tcPr>
          <w:p>
            <w:pPr>
              <w:spacing w:before="40" w:after="40"/>
            </w:pPr>
            <w:r>
              <w:rPr>
                <w:rFonts w:ascii="Calibri" w:hAnsi="Calibri"/>
                <w:sz w:val="18"/>
              </w:rPr>
              <w:t>**0**</w:t>
            </w:r>
          </w:p>
        </w:tc>
      </w:tr>
    </w:tbl>
    <w:p/>
    <w:p>
      <w:pPr>
        <w:spacing w:after="80"/>
      </w:pPr>
      <w:r>
        <w:rPr>
          <w:rFonts w:ascii="Calibri" w:hAnsi="Calibri"/>
          <w:b/>
          <w:color w:val="333333"/>
          <w:sz w:val="20"/>
        </w:rPr>
        <w:t>Insider Trading Note:</w:t>
      </w:r>
      <w:r>
        <w:rPr>
          <w:rFonts w:ascii="Calibri" w:hAnsi="Calibri"/>
          <w:color w:val="333333"/>
          <w:sz w:val="20"/>
        </w:rPr>
        <w:t xml:space="preserve"> There have been no recorded market purchases or sales by insiders in the last three years based on the provided data. This lack of activity could indicate stable insider confidence or a lack of significant open market transactions.</w:t>
      </w:r>
    </w:p>
    <w:p>
      <w:pPr>
        <w:pStyle w:val="Heading1"/>
      </w:pPr>
      <w:r>
        <w:rPr>
          <w:rFonts w:ascii="Calibri" w:hAnsi="Calibri"/>
          <w:color w:val="1F5F8B"/>
          <w:sz w:val="32"/>
        </w:rPr>
        <w:t>5. Company &amp; Business Quality Assessment</w:t>
      </w:r>
    </w:p>
    <w:p>
      <w:pPr>
        <w:spacing w:before="0" w:after="120"/>
      </w:pPr>
    </w:p>
    <w:p>
      <w:pPr>
        <w:pStyle w:val="Heading2"/>
      </w:pPr>
      <w:r>
        <w:rPr>
          <w:rFonts w:ascii="Calibri" w:hAnsi="Calibri"/>
          <w:color w:val="1F5F8B"/>
          <w:sz w:val="26"/>
        </w:rPr>
        <w:t>5.1 Business Model</w:t>
      </w:r>
    </w:p>
    <w:p>
      <w:pPr>
        <w:spacing w:after="80"/>
      </w:pPr>
      <w:r>
        <w:rPr>
          <w:rFonts w:ascii="Calibri" w:hAnsi="Calibri"/>
          <w:color w:val="333333"/>
          <w:sz w:val="20"/>
        </w:rPr>
        <w:t>Bombay Dyeing &amp; Manufacturing Company Ltd. operates a diversified business model with three primary verticals:</w:t>
      </w:r>
    </w:p>
    <w:p>
      <w:pPr>
        <w:pStyle w:val="ListBullet"/>
        <w:spacing w:after="80"/>
      </w:pPr>
      <w:r>
        <w:rPr>
          <w:rFonts w:ascii="Calibri" w:hAnsi="Calibri"/>
          <w:color w:val="333333"/>
          <w:sz w:val="20"/>
        </w:rPr>
        <w:t xml:space="preserve">  </w:t>
      </w:r>
      <w:r>
        <w:rPr>
          <w:rFonts w:ascii="Calibri" w:hAnsi="Calibri"/>
          <w:b/>
          <w:color w:val="333333"/>
          <w:sz w:val="20"/>
        </w:rPr>
        <w:t>Real Estate Development:</w:t>
      </w:r>
      <w:r>
        <w:rPr>
          <w:rFonts w:ascii="Calibri" w:hAnsi="Calibri"/>
          <w:color w:val="333333"/>
          <w:sz w:val="20"/>
        </w:rPr>
        <w:t xml:space="preserve"> This segment focuses on developing residential and commercial properties, primarily in prime Mumbai locations. Revenue recognition is typically at a point in time, upon receipt of the Occupancy Certificate and transfer of control. The company is developing the third phase of its Island City Center (ICC) project. This segment is capital-intensive and project-driven, with revenue recognition tied to project milestones and completion.</w:t>
      </w:r>
    </w:p>
    <w:p>
      <w:pPr>
        <w:pStyle w:val="ListBullet"/>
        <w:spacing w:after="80"/>
      </w:pPr>
      <w:r>
        <w:rPr>
          <w:rFonts w:ascii="Calibri" w:hAnsi="Calibri"/>
          <w:color w:val="333333"/>
          <w:sz w:val="20"/>
        </w:rPr>
        <w:t xml:space="preserve">  </w:t>
      </w:r>
      <w:r>
        <w:rPr>
          <w:rFonts w:ascii="Calibri" w:hAnsi="Calibri"/>
          <w:b/>
          <w:color w:val="333333"/>
          <w:sz w:val="20"/>
        </w:rPr>
        <w:t>Polyester Staple Fibre (PSF):</w:t>
      </w:r>
      <w:r>
        <w:rPr>
          <w:rFonts w:ascii="Calibri" w:hAnsi="Calibri"/>
          <w:color w:val="333333"/>
          <w:sz w:val="20"/>
        </w:rPr>
        <w:t xml:space="preserve"> This is a manufacturing business where BDMC produces PSF, a key raw material for the textile industry. The company operates a standalone manufacturing model, focusing on efficiency and profitability. Revenue is generated through the sale of PSF to domestic and international customers. The business is subject to raw material price volatility (linked to crude oil) and industry demand cycles.</w:t>
      </w:r>
    </w:p>
    <w:p>
      <w:pPr>
        <w:pStyle w:val="ListBullet"/>
        <w:spacing w:after="80"/>
      </w:pPr>
      <w:r>
        <w:rPr>
          <w:rFonts w:ascii="Calibri" w:hAnsi="Calibri"/>
          <w:color w:val="333333"/>
          <w:sz w:val="20"/>
        </w:rPr>
        <w:t xml:space="preserve">  </w:t>
      </w:r>
      <w:r>
        <w:rPr>
          <w:rFonts w:ascii="Calibri" w:hAnsi="Calibri"/>
          <w:b/>
          <w:color w:val="333333"/>
          <w:sz w:val="20"/>
        </w:rPr>
        <w:t>Retail:</w:t>
      </w:r>
      <w:r>
        <w:rPr>
          <w:rFonts w:ascii="Calibri" w:hAnsi="Calibri"/>
          <w:color w:val="333333"/>
          <w:sz w:val="20"/>
        </w:rPr>
        <w:t xml:space="preserve"> Operating under the "Home &amp; You" brand, this segment deals in home textiles and furnishings. The business model involves distribution through an extensive network of distributors and retailers, focusing on a lean cost structure and expanding retail presence. Revenue is generated through the sale of home textile products. This segment is consumer-facing and influenced by consumer spending patterns and fashion trends.</w:t>
      </w:r>
    </w:p>
    <w:p>
      <w:pPr>
        <w:spacing w:after="80"/>
      </w:pPr>
      <w:r>
        <w:rPr>
          <w:rFonts w:ascii="Calibri" w:hAnsi="Calibri"/>
          <w:b/>
          <w:color w:val="333333"/>
          <w:sz w:val="20"/>
        </w:rPr>
        <w:t>Revenue Contribution (FY25):</w:t>
      </w:r>
    </w:p>
    <w:p>
      <w:pPr>
        <w:pStyle w:val="ListBullet"/>
        <w:spacing w:after="80"/>
      </w:pPr>
      <w:r>
        <w:rPr>
          <w:rFonts w:ascii="Calibri" w:hAnsi="Calibri"/>
          <w:color w:val="333333"/>
          <w:sz w:val="20"/>
        </w:rPr>
        <w:t xml:space="preserve">  Polyester: 90.80%</w:t>
      </w:r>
    </w:p>
    <w:p>
      <w:pPr>
        <w:pStyle w:val="ListBullet"/>
        <w:spacing w:after="80"/>
      </w:pPr>
      <w:r>
        <w:rPr>
          <w:rFonts w:ascii="Calibri" w:hAnsi="Calibri"/>
          <w:color w:val="333333"/>
          <w:sz w:val="20"/>
        </w:rPr>
        <w:t xml:space="preserve">  Real Estate: 6.24%</w:t>
      </w:r>
    </w:p>
    <w:p>
      <w:pPr>
        <w:pStyle w:val="ListBullet"/>
        <w:spacing w:after="80"/>
      </w:pPr>
      <w:r>
        <w:rPr>
          <w:rFonts w:ascii="Calibri" w:hAnsi="Calibri"/>
          <w:color w:val="333333"/>
          <w:sz w:val="20"/>
        </w:rPr>
        <w:t xml:space="preserve">  Retail: 2.96%</w:t>
      </w:r>
    </w:p>
    <w:p>
      <w:pPr>
        <w:spacing w:after="80"/>
      </w:pPr>
      <w:r>
        <w:rPr>
          <w:rFonts w:ascii="Calibri" w:hAnsi="Calibri"/>
          <w:b/>
          <w:color w:val="333333"/>
          <w:sz w:val="20"/>
        </w:rPr>
        <w:t>Key Markets:</w:t>
      </w:r>
    </w:p>
    <w:p>
      <w:pPr>
        <w:pStyle w:val="ListBullet"/>
        <w:spacing w:after="80"/>
      </w:pPr>
      <w:r>
        <w:rPr>
          <w:rFonts w:ascii="Calibri" w:hAnsi="Calibri"/>
          <w:color w:val="333333"/>
          <w:sz w:val="20"/>
        </w:rPr>
        <w:t xml:space="preserve">  </w:t>
      </w:r>
      <w:r>
        <w:rPr>
          <w:rFonts w:ascii="Calibri" w:hAnsi="Calibri"/>
          <w:b/>
          <w:color w:val="333333"/>
          <w:sz w:val="20"/>
        </w:rPr>
        <w:t>Real Estate:</w:t>
      </w:r>
      <w:r>
        <w:rPr>
          <w:rFonts w:ascii="Calibri" w:hAnsi="Calibri"/>
          <w:color w:val="333333"/>
          <w:sz w:val="20"/>
        </w:rPr>
        <w:t xml:space="preserve"> Primarily Mumbai Metropolitan Region (MMR).</w:t>
      </w:r>
    </w:p>
    <w:p>
      <w:pPr>
        <w:pStyle w:val="ListBullet"/>
        <w:spacing w:after="80"/>
      </w:pPr>
      <w:r>
        <w:rPr>
          <w:rFonts w:ascii="Calibri" w:hAnsi="Calibri"/>
          <w:color w:val="333333"/>
          <w:sz w:val="20"/>
        </w:rPr>
        <w:t xml:space="preserve">  </w:t>
      </w:r>
      <w:r>
        <w:rPr>
          <w:rFonts w:ascii="Calibri" w:hAnsi="Calibri"/>
          <w:b/>
          <w:color w:val="333333"/>
          <w:sz w:val="20"/>
        </w:rPr>
        <w:t>Polyester:</w:t>
      </w:r>
      <w:r>
        <w:rPr>
          <w:rFonts w:ascii="Calibri" w:hAnsi="Calibri"/>
          <w:color w:val="333333"/>
          <w:sz w:val="20"/>
        </w:rPr>
        <w:t xml:space="preserve"> Domestic and International markets (exports constitute ~32% of PSF revenue).</w:t>
      </w:r>
    </w:p>
    <w:p>
      <w:pPr>
        <w:pStyle w:val="ListBullet"/>
        <w:spacing w:after="80"/>
      </w:pPr>
      <w:r>
        <w:rPr>
          <w:rFonts w:ascii="Calibri" w:hAnsi="Calibri"/>
          <w:color w:val="333333"/>
          <w:sz w:val="20"/>
        </w:rPr>
        <w:t xml:space="preserve">  </w:t>
      </w:r>
      <w:r>
        <w:rPr>
          <w:rFonts w:ascii="Calibri" w:hAnsi="Calibri"/>
          <w:b/>
          <w:color w:val="333333"/>
          <w:sz w:val="20"/>
        </w:rPr>
        <w:t>Retail:</w:t>
      </w:r>
      <w:r>
        <w:rPr>
          <w:rFonts w:ascii="Calibri" w:hAnsi="Calibri"/>
          <w:color w:val="333333"/>
          <w:sz w:val="20"/>
        </w:rPr>
        <w:t xml:space="preserve"> Pan-India market.</w:t>
      </w:r>
    </w:p>
    <w:p>
      <w:pPr>
        <w:spacing w:after="80"/>
      </w:pPr>
      <w:r>
        <w:rPr>
          <w:rFonts w:ascii="Calibri" w:hAnsi="Calibri"/>
          <w:b/>
          <w:color w:val="333333"/>
          <w:sz w:val="20"/>
        </w:rPr>
        <w:t>Capacity Details:</w:t>
      </w:r>
    </w:p>
    <w:p>
      <w:pPr>
        <w:pStyle w:val="ListBullet"/>
        <w:spacing w:after="80"/>
      </w:pPr>
      <w:r>
        <w:rPr>
          <w:rFonts w:ascii="Calibri" w:hAnsi="Calibri"/>
          <w:color w:val="333333"/>
          <w:sz w:val="20"/>
        </w:rPr>
        <w:t xml:space="preserve">  </w:t>
      </w:r>
      <w:r>
        <w:rPr>
          <w:rFonts w:ascii="Calibri" w:hAnsi="Calibri"/>
          <w:b/>
          <w:color w:val="333333"/>
          <w:sz w:val="20"/>
        </w:rPr>
        <w:t>Polyester:</w:t>
      </w:r>
      <w:r>
        <w:rPr>
          <w:rFonts w:ascii="Calibri" w:hAnsi="Calibri"/>
          <w:color w:val="333333"/>
          <w:sz w:val="20"/>
        </w:rPr>
        <w:t xml:space="preserve"> Holds approximately 12% of the domestic PSF market share, with capacity utilization at 86.3% in FY25.</w:t>
      </w:r>
    </w:p>
    <w:p>
      <w:pPr>
        <w:spacing w:after="80"/>
      </w:pPr>
      <w:r>
        <w:rPr>
          <w:rFonts w:ascii="Calibri" w:hAnsi="Calibri"/>
          <w:b/>
          <w:color w:val="333333"/>
          <w:sz w:val="20"/>
        </w:rPr>
        <w:t>Growth Rates:</w:t>
      </w:r>
    </w:p>
    <w:p>
      <w:pPr>
        <w:pStyle w:val="ListBullet"/>
        <w:spacing w:after="80"/>
      </w:pPr>
      <w:r>
        <w:rPr>
          <w:rFonts w:ascii="Calibri" w:hAnsi="Calibri"/>
          <w:color w:val="333333"/>
          <w:sz w:val="20"/>
        </w:rPr>
        <w:t xml:space="preserve">  </w:t>
      </w:r>
      <w:r>
        <w:rPr>
          <w:rFonts w:ascii="Calibri" w:hAnsi="Calibri"/>
          <w:b/>
          <w:color w:val="333333"/>
          <w:sz w:val="20"/>
        </w:rPr>
        <w:t>Real Estate:</w:t>
      </w:r>
      <w:r>
        <w:rPr>
          <w:rFonts w:ascii="Calibri" w:hAnsi="Calibri"/>
          <w:color w:val="333333"/>
          <w:sz w:val="20"/>
        </w:rPr>
        <w:t xml:space="preserve"> Significant growth driven by project sales and asset monetization.</w:t>
      </w:r>
    </w:p>
    <w:p>
      <w:pPr>
        <w:pStyle w:val="ListBullet"/>
        <w:spacing w:after="80"/>
      </w:pPr>
      <w:r>
        <w:rPr>
          <w:rFonts w:ascii="Calibri" w:hAnsi="Calibri"/>
          <w:color w:val="333333"/>
          <w:sz w:val="20"/>
        </w:rPr>
        <w:t xml:space="preserve">  </w:t>
      </w:r>
      <w:r>
        <w:rPr>
          <w:rFonts w:ascii="Calibri" w:hAnsi="Calibri"/>
          <w:b/>
          <w:color w:val="333333"/>
          <w:sz w:val="20"/>
        </w:rPr>
        <w:t>Polyester:</w:t>
      </w:r>
      <w:r>
        <w:rPr>
          <w:rFonts w:ascii="Calibri" w:hAnsi="Calibri"/>
          <w:color w:val="333333"/>
          <w:sz w:val="20"/>
        </w:rPr>
        <w:t xml:space="preserve"> Revenue grew by 3.7% in FY25, with improved profitability.</w:t>
      </w:r>
    </w:p>
    <w:p>
      <w:pPr>
        <w:pStyle w:val="ListBullet"/>
        <w:spacing w:after="80"/>
      </w:pPr>
      <w:r>
        <w:rPr>
          <w:rFonts w:ascii="Calibri" w:hAnsi="Calibri"/>
          <w:color w:val="333333"/>
          <w:sz w:val="20"/>
        </w:rPr>
        <w:t xml:space="preserve">  </w:t>
      </w:r>
      <w:r>
        <w:rPr>
          <w:rFonts w:ascii="Calibri" w:hAnsi="Calibri"/>
          <w:b/>
          <w:color w:val="333333"/>
          <w:sz w:val="20"/>
        </w:rPr>
        <w:t>Retail:</w:t>
      </w:r>
      <w:r>
        <w:rPr>
          <w:rFonts w:ascii="Calibri" w:hAnsi="Calibri"/>
          <w:color w:val="333333"/>
          <w:sz w:val="20"/>
        </w:rPr>
        <w:t xml:space="preserve"> Revenue grew by 5.3% in FY25.</w:t>
      </w:r>
    </w:p>
    <w:p>
      <w:pPr>
        <w:pStyle w:val="Heading2"/>
      </w:pPr>
      <w:r>
        <w:rPr>
          <w:rFonts w:ascii="Calibri" w:hAnsi="Calibri"/>
          <w:color w:val="1F5F8B"/>
          <w:sz w:val="26"/>
        </w:rPr>
        <w:t>5.2 Competitive Advantages (Moats)</w:t>
      </w:r>
    </w:p>
    <w:p>
      <w:pPr>
        <w:pStyle w:val="ListBullet"/>
        <w:spacing w:after="80"/>
      </w:pPr>
      <w:r>
        <w:rPr>
          <w:rFonts w:ascii="Calibri" w:hAnsi="Calibri"/>
          <w:color w:val="333333"/>
          <w:sz w:val="20"/>
        </w:rPr>
        <w:t xml:space="preserve">  </w:t>
      </w:r>
      <w:r>
        <w:rPr>
          <w:rFonts w:ascii="Calibri" w:hAnsi="Calibri"/>
          <w:b/>
          <w:color w:val="333333"/>
          <w:sz w:val="20"/>
        </w:rPr>
        <w:t>Prime Land Bank in Mumbai:</w:t>
      </w:r>
      <w:r>
        <w:rPr>
          <w:rFonts w:ascii="Calibri" w:hAnsi="Calibri"/>
          <w:color w:val="333333"/>
          <w:sz w:val="20"/>
        </w:rPr>
        <w:t xml:space="preserve"> The company possesses a substantial and strategically located land bank in Mumbai, offering significant hidden value and a strong foundation for future real estate development. This is a significant competitive advantage in one of India's most lucrative real estate markets.</w:t>
      </w:r>
    </w:p>
    <w:p>
      <w:pPr>
        <w:pStyle w:val="ListBullet"/>
        <w:spacing w:after="80"/>
      </w:pPr>
      <w:r>
        <w:rPr>
          <w:rFonts w:ascii="Calibri" w:hAnsi="Calibri"/>
          <w:color w:val="333333"/>
          <w:sz w:val="20"/>
        </w:rPr>
        <w:t xml:space="preserve">  </w:t>
      </w:r>
      <w:r>
        <w:rPr>
          <w:rFonts w:ascii="Calibri" w:hAnsi="Calibri"/>
          <w:b/>
          <w:color w:val="333333"/>
          <w:sz w:val="20"/>
        </w:rPr>
        <w:t>Strong Brand Legacy:</w:t>
      </w:r>
      <w:r>
        <w:rPr>
          <w:rFonts w:ascii="Calibri" w:hAnsi="Calibri"/>
          <w:color w:val="333333"/>
          <w:sz w:val="20"/>
        </w:rPr>
        <w:t xml:space="preserve"> "Bombay Dyeing" is a well-established and recognized brand in India, particularly in the textile and home furnishing sectors, which lends credibility and customer trust across its businesses.</w:t>
      </w:r>
    </w:p>
    <w:p>
      <w:pPr>
        <w:pStyle w:val="ListBullet"/>
        <w:spacing w:after="80"/>
      </w:pPr>
      <w:r>
        <w:rPr>
          <w:rFonts w:ascii="Calibri" w:hAnsi="Calibri"/>
          <w:color w:val="333333"/>
          <w:sz w:val="20"/>
        </w:rPr>
        <w:t xml:space="preserve">  </w:t>
      </w:r>
      <w:r>
        <w:rPr>
          <w:rFonts w:ascii="Calibri" w:hAnsi="Calibri"/>
          <w:b/>
          <w:color w:val="333333"/>
          <w:sz w:val="20"/>
        </w:rPr>
        <w:t>Deleveraged Balance Sheet:</w:t>
      </w:r>
      <w:r>
        <w:rPr>
          <w:rFonts w:ascii="Calibri" w:hAnsi="Calibri"/>
          <w:color w:val="333333"/>
          <w:sz w:val="20"/>
        </w:rPr>
        <w:t xml:space="preserve"> The successful monetization of assets has resulted in a debt-free status, providing immense financial flexibility for future investments, project execution, and weathering economic downturns.</w:t>
      </w:r>
    </w:p>
    <w:p>
      <w:pPr>
        <w:pStyle w:val="ListBullet"/>
        <w:spacing w:after="80"/>
      </w:pPr>
      <w:r>
        <w:rPr>
          <w:rFonts w:ascii="Calibri" w:hAnsi="Calibri"/>
          <w:color w:val="333333"/>
          <w:sz w:val="20"/>
        </w:rPr>
        <w:t xml:space="preserve">  </w:t>
      </w:r>
      <w:r>
        <w:rPr>
          <w:rFonts w:ascii="Calibri" w:hAnsi="Calibri"/>
          <w:b/>
          <w:color w:val="333333"/>
          <w:sz w:val="20"/>
        </w:rPr>
        <w:t>Operational Efficiency in Polyester:</w:t>
      </w:r>
      <w:r>
        <w:rPr>
          <w:rFonts w:ascii="Calibri" w:hAnsi="Calibri"/>
          <w:color w:val="333333"/>
          <w:sz w:val="20"/>
        </w:rPr>
        <w:t xml:space="preserve"> The company has demonstrated above-industry average capacity utilization in its polyester segment and focuses on cost reduction initiatives, contributing to improved profitability and resilience.</w:t>
      </w:r>
    </w:p>
    <w:p>
      <w:pPr>
        <w:pStyle w:val="ListBullet"/>
        <w:spacing w:after="80"/>
      </w:pPr>
      <w:r>
        <w:rPr>
          <w:rFonts w:ascii="Calibri" w:hAnsi="Calibri"/>
          <w:color w:val="333333"/>
          <w:sz w:val="20"/>
        </w:rPr>
        <w:t xml:space="preserve">  </w:t>
      </w:r>
      <w:r>
        <w:rPr>
          <w:rFonts w:ascii="Calibri" w:hAnsi="Calibri"/>
          <w:b/>
          <w:color w:val="333333"/>
          <w:sz w:val="20"/>
        </w:rPr>
        <w:t>Strategic Partnerships:</w:t>
      </w:r>
      <w:r>
        <w:rPr>
          <w:rFonts w:ascii="Calibri" w:hAnsi="Calibri"/>
          <w:color w:val="333333"/>
          <w:sz w:val="20"/>
        </w:rPr>
        <w:t xml:space="preserve"> While not explicitly detailed, the company's involvement in real estate development likely entails partnerships with construction firms, financial institutions, and potentially joint development agreements, which can be a source of competitive strength.</w:t>
      </w:r>
    </w:p>
    <w:p>
      <w:pPr>
        <w:pStyle w:val="ListBullet"/>
        <w:spacing w:after="80"/>
      </w:pPr>
      <w:r>
        <w:rPr>
          <w:rFonts w:ascii="Calibri" w:hAnsi="Calibri"/>
          <w:color w:val="333333"/>
          <w:sz w:val="20"/>
        </w:rPr>
        <w:t xml:space="preserve">  </w:t>
      </w:r>
      <w:r>
        <w:rPr>
          <w:rFonts w:ascii="Calibri" w:hAnsi="Calibri"/>
          <w:b/>
          <w:color w:val="333333"/>
          <w:sz w:val="20"/>
        </w:rPr>
        <w:t>Diversified Business Verticals:</w:t>
      </w:r>
      <w:r>
        <w:rPr>
          <w:rFonts w:ascii="Calibri" w:hAnsi="Calibri"/>
          <w:color w:val="333333"/>
          <w:sz w:val="20"/>
        </w:rPr>
        <w:t xml:space="preserve"> While real estate is the current primary focus, the diversification across polyester and retail provides some resilience against sector-specific downturns, although inter-segment synergies are limited.</w:t>
      </w:r>
    </w:p>
    <w:p>
      <w:pPr>
        <w:pStyle w:val="Heading2"/>
      </w:pPr>
      <w:r>
        <w:rPr>
          <w:rFonts w:ascii="Calibri" w:hAnsi="Calibri"/>
          <w:color w:val="1F5F8B"/>
          <w:sz w:val="26"/>
        </w:rPr>
        <w:t>5.3 Risks &amp; Weaknesses</w:t>
      </w:r>
    </w:p>
    <w:p>
      <w:pPr>
        <w:pStyle w:val="ListBullet"/>
        <w:spacing w:after="80"/>
      </w:pPr>
      <w:r>
        <w:rPr>
          <w:rFonts w:ascii="Calibri" w:hAnsi="Calibri"/>
          <w:color w:val="333333"/>
          <w:sz w:val="20"/>
        </w:rPr>
        <w:t xml:space="preserve">  </w:t>
      </w:r>
      <w:r>
        <w:rPr>
          <w:rFonts w:ascii="Calibri" w:hAnsi="Calibri"/>
          <w:b/>
          <w:color w:val="333333"/>
          <w:sz w:val="20"/>
        </w:rPr>
        <w:t>Execution Risk in Real Estate:</w:t>
      </w:r>
      <w:r>
        <w:rPr>
          <w:rFonts w:ascii="Calibri" w:hAnsi="Calibri"/>
          <w:color w:val="333333"/>
          <w:sz w:val="20"/>
        </w:rPr>
        <w:t xml:space="preserve"> The success of the real estate division hinges on the timely and profitable execution of its ongoing and future projects, which are subject to construction delays, regulatory approvals, and market demand fluctuations.</w:t>
      </w:r>
    </w:p>
    <w:p>
      <w:pPr>
        <w:pStyle w:val="ListBullet"/>
        <w:spacing w:after="80"/>
      </w:pPr>
      <w:r>
        <w:rPr>
          <w:rFonts w:ascii="Calibri" w:hAnsi="Calibri"/>
          <w:color w:val="333333"/>
          <w:sz w:val="20"/>
        </w:rPr>
        <w:t xml:space="preserve">  </w:t>
      </w:r>
      <w:r>
        <w:rPr>
          <w:rFonts w:ascii="Calibri" w:hAnsi="Calibri"/>
          <w:b/>
          <w:color w:val="333333"/>
          <w:sz w:val="20"/>
        </w:rPr>
        <w:t>Customer/Revenue Concentration:</w:t>
      </w:r>
      <w:r>
        <w:rPr>
          <w:rFonts w:ascii="Calibri" w:hAnsi="Calibri"/>
          <w:color w:val="333333"/>
          <w:sz w:val="20"/>
        </w:rPr>
        <w:t xml:space="preserve"> The real estate segment's revenue is project-dependent, creating concentration risk. While the polyester segment is diversified, it is still subject to industry-specific demand and pricing cycles.</w:t>
      </w:r>
    </w:p>
    <w:p>
      <w:pPr>
        <w:pStyle w:val="ListBullet"/>
        <w:spacing w:after="80"/>
      </w:pPr>
      <w:r>
        <w:rPr>
          <w:rFonts w:ascii="Calibri" w:hAnsi="Calibri"/>
          <w:color w:val="333333"/>
          <w:sz w:val="20"/>
        </w:rPr>
        <w:t xml:space="preserve">  </w:t>
      </w:r>
      <w:r>
        <w:rPr>
          <w:rFonts w:ascii="Calibri" w:hAnsi="Calibri"/>
          <w:b/>
          <w:color w:val="333333"/>
          <w:sz w:val="20"/>
        </w:rPr>
        <w:t>Margin Pressure in Polyester:</w:t>
      </w:r>
      <w:r>
        <w:rPr>
          <w:rFonts w:ascii="Calibri" w:hAnsi="Calibri"/>
          <w:color w:val="333333"/>
          <w:sz w:val="20"/>
        </w:rPr>
        <w:t xml:space="preserve"> The polyester industry is characterized by volatile raw material prices (linked to crude oil) and intense competition due to surplus capacities, which can lead to margin pressure.</w:t>
      </w:r>
    </w:p>
    <w:p>
      <w:pPr>
        <w:pStyle w:val="ListBullet"/>
        <w:spacing w:after="80"/>
      </w:pPr>
      <w:r>
        <w:rPr>
          <w:rFonts w:ascii="Calibri" w:hAnsi="Calibri"/>
          <w:color w:val="333333"/>
          <w:sz w:val="20"/>
        </w:rPr>
        <w:t xml:space="preserve">  </w:t>
      </w:r>
      <w:r>
        <w:rPr>
          <w:rFonts w:ascii="Calibri" w:hAnsi="Calibri"/>
          <w:b/>
          <w:color w:val="333333"/>
          <w:sz w:val="20"/>
        </w:rPr>
        <w:t>Working Capital Intensity:</w:t>
      </w:r>
      <w:r>
        <w:rPr>
          <w:rFonts w:ascii="Calibri" w:hAnsi="Calibri"/>
          <w:color w:val="333333"/>
          <w:sz w:val="20"/>
        </w:rPr>
        <w:t xml:space="preserve"> Real estate development is inherently working capital intensive, requiring significant upfront investment in land acquisition, construction, and inventory management.</w:t>
      </w:r>
    </w:p>
    <w:p>
      <w:pPr>
        <w:pStyle w:val="ListBullet"/>
        <w:spacing w:after="80"/>
      </w:pPr>
      <w:r>
        <w:rPr>
          <w:rFonts w:ascii="Calibri" w:hAnsi="Calibri"/>
          <w:color w:val="333333"/>
          <w:sz w:val="20"/>
        </w:rPr>
        <w:t xml:space="preserve">  </w:t>
      </w:r>
      <w:r>
        <w:rPr>
          <w:rFonts w:ascii="Calibri" w:hAnsi="Calibri"/>
          <w:b/>
          <w:color w:val="333333"/>
          <w:sz w:val="20"/>
        </w:rPr>
        <w:t>Governance Concerns:</w:t>
      </w:r>
      <w:r>
        <w:rPr>
          <w:rFonts w:ascii="Calibri" w:hAnsi="Calibri"/>
          <w:color w:val="333333"/>
          <w:sz w:val="20"/>
        </w:rPr>
        <w:t xml:space="preserve"> The ongoing SEBI matter and past regulatory issues, although being appealed or settled, represent a governance watchpoint. The significant related-party transactions also require careful monitoring.</w:t>
      </w:r>
    </w:p>
    <w:p>
      <w:pPr>
        <w:pStyle w:val="ListBullet"/>
        <w:spacing w:after="80"/>
      </w:pPr>
      <w:r>
        <w:rPr>
          <w:rFonts w:ascii="Calibri" w:hAnsi="Calibri"/>
          <w:color w:val="333333"/>
          <w:sz w:val="20"/>
        </w:rPr>
        <w:t xml:space="preserve">  </w:t>
      </w:r>
      <w:r>
        <w:rPr>
          <w:rFonts w:ascii="Calibri" w:hAnsi="Calibri"/>
          <w:b/>
          <w:color w:val="333333"/>
          <w:sz w:val="20"/>
        </w:rPr>
        <w:t>Competition and Scale vs. Peers:</w:t>
      </w:r>
      <w:r>
        <w:rPr>
          <w:rFonts w:ascii="Calibri" w:hAnsi="Calibri"/>
          <w:color w:val="333333"/>
          <w:sz w:val="20"/>
        </w:rPr>
        <w:t xml:space="preserve"> While strong in its niche, the company's scale in the polyester segment is smaller compared to market leaders, potentially impacting its ability to achieve significant economies of scale.</w:t>
      </w:r>
    </w:p>
    <w:p>
      <w:pPr>
        <w:pStyle w:val="ListBullet"/>
        <w:spacing w:after="80"/>
      </w:pPr>
      <w:r>
        <w:rPr>
          <w:rFonts w:ascii="Calibri" w:hAnsi="Calibri"/>
          <w:color w:val="333333"/>
          <w:sz w:val="20"/>
        </w:rPr>
        <w:t xml:space="preserve">  </w:t>
      </w:r>
      <w:r>
        <w:rPr>
          <w:rFonts w:ascii="Calibri" w:hAnsi="Calibri"/>
          <w:b/>
          <w:color w:val="333333"/>
          <w:sz w:val="20"/>
        </w:rPr>
        <w:t>Currency and Commodity Risks:</w:t>
      </w:r>
      <w:r>
        <w:rPr>
          <w:rFonts w:ascii="Calibri" w:hAnsi="Calibri"/>
          <w:color w:val="333333"/>
          <w:sz w:val="20"/>
        </w:rPr>
        <w:t xml:space="preserve"> The polyester business is exposed to fluctuations in USD/INR exchange rates and crude oil prices, impacting raw material costs and export competitiveness.</w:t>
      </w:r>
    </w:p>
    <w:p>
      <w:pPr>
        <w:pStyle w:val="ListBullet"/>
        <w:spacing w:after="80"/>
      </w:pPr>
      <w:r>
        <w:rPr>
          <w:rFonts w:ascii="Calibri" w:hAnsi="Calibri"/>
          <w:color w:val="333333"/>
          <w:sz w:val="20"/>
        </w:rPr>
        <w:t xml:space="preserve">  </w:t>
      </w:r>
      <w:r>
        <w:rPr>
          <w:rFonts w:ascii="Calibri" w:hAnsi="Calibri"/>
          <w:b/>
          <w:color w:val="333333"/>
          <w:sz w:val="20"/>
        </w:rPr>
        <w:t>Legacy Issues:</w:t>
      </w:r>
      <w:r>
        <w:rPr>
          <w:rFonts w:ascii="Calibri" w:hAnsi="Calibri"/>
          <w:color w:val="333333"/>
          <w:sz w:val="20"/>
        </w:rPr>
        <w:t xml:space="preserve"> The company is still managing certain legacy issues, including ongoing litigations related to taxes and past operational matters, which could have financial implications.</w:t>
      </w:r>
    </w:p>
    <w:p>
      <w:pPr>
        <w:pStyle w:val="Heading1"/>
      </w:pPr>
      <w:r>
        <w:rPr>
          <w:rFonts w:ascii="Calibri" w:hAnsi="Calibri"/>
          <w:color w:val="1F5F8B"/>
          <w:sz w:val="32"/>
        </w:rPr>
        <w:t>6. Growth Outlook &amp; Strategy</w:t>
      </w:r>
    </w:p>
    <w:p>
      <w:pPr>
        <w:spacing w:before="0" w:after="120"/>
      </w:pPr>
    </w:p>
    <w:p>
      <w:pPr>
        <w:pStyle w:val="Heading2"/>
      </w:pPr>
      <w:r>
        <w:rPr>
          <w:rFonts w:ascii="Calibri" w:hAnsi="Calibri"/>
          <w:color w:val="1F5F8B"/>
          <w:sz w:val="26"/>
        </w:rPr>
        <w:t>6.1 Management's Revenue Roadmap</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1F5F8B"/>
          </w:tcPr>
          <w:p>
            <w:pPr>
              <w:spacing w:before="40" w:after="40"/>
            </w:pPr>
            <w:r>
              <w:rPr>
                <w:rFonts w:ascii="Calibri" w:hAnsi="Calibri"/>
                <w:b/>
                <w:color w:val="FFFFFF"/>
                <w:sz w:val="18"/>
              </w:rPr>
              <w:t>Growth Driver</w:t>
            </w:r>
          </w:p>
        </w:tc>
        <w:tc>
          <w:tcPr>
            <w:tcW w:type="dxa" w:w="1728"/>
            <w:shd w:fill="1F5F8B"/>
          </w:tcPr>
          <w:p>
            <w:pPr>
              <w:spacing w:before="40" w:after="40"/>
            </w:pPr>
            <w:r>
              <w:rPr>
                <w:rFonts w:ascii="Calibri" w:hAnsi="Calibri"/>
                <w:b/>
                <w:color w:val="FFFFFF"/>
                <w:sz w:val="18"/>
              </w:rPr>
              <w:t>Current (FY25/26E)</w:t>
            </w:r>
          </w:p>
        </w:tc>
        <w:tc>
          <w:tcPr>
            <w:tcW w:type="dxa" w:w="1728"/>
            <w:shd w:fill="1F5F8B"/>
          </w:tcPr>
          <w:p>
            <w:pPr>
              <w:spacing w:before="40" w:after="40"/>
            </w:pPr>
            <w:r>
              <w:rPr>
                <w:rFonts w:ascii="Calibri" w:hAnsi="Calibri"/>
                <w:b/>
                <w:color w:val="FFFFFF"/>
                <w:sz w:val="18"/>
              </w:rPr>
              <w:t>Target (FY28-29E)</w:t>
            </w:r>
          </w:p>
        </w:tc>
        <w:tc>
          <w:tcPr>
            <w:tcW w:type="dxa" w:w="1728"/>
            <w:shd w:fill="1F5F8B"/>
          </w:tcPr>
          <w:p>
            <w:pPr>
              <w:spacing w:before="40" w:after="40"/>
            </w:pPr>
            <w:r>
              <w:rPr>
                <w:rFonts w:ascii="Calibri" w:hAnsi="Calibri"/>
                <w:b/>
                <w:color w:val="FFFFFF"/>
                <w:sz w:val="18"/>
              </w:rPr>
              <w:t>CAGR</w:t>
            </w:r>
          </w:p>
        </w:tc>
        <w:tc>
          <w:tcPr>
            <w:tcW w:type="dxa" w:w="1728"/>
            <w:shd w:fill="1F5F8B"/>
          </w:tcPr>
          <w:p>
            <w:pPr>
              <w:spacing w:before="40" w:after="40"/>
            </w:pPr>
            <w:r>
              <w:rPr>
                <w:rFonts w:ascii="Calibri" w:hAnsi="Calibri"/>
                <w:b/>
                <w:color w:val="FFFFFF"/>
                <w:sz w:val="18"/>
              </w:rPr>
              <w:t>Logic</w:t>
            </w:r>
          </w:p>
        </w:tc>
      </w:tr>
      <w:tr>
        <w:tc>
          <w:tcPr>
            <w:tcW w:type="dxa" w:w="1728"/>
          </w:tcPr>
          <w:p>
            <w:pPr>
              <w:spacing w:before="40" w:after="40"/>
            </w:pPr>
            <w:r>
              <w:rPr>
                <w:rFonts w:ascii="Calibri" w:hAnsi="Calibri"/>
                <w:b/>
                <w:sz w:val="18"/>
              </w:rPr>
              <w:t>Real Estate Development</w:t>
            </w:r>
          </w:p>
        </w:tc>
        <w:tc>
          <w:tcPr>
            <w:tcW w:type="dxa" w:w="1728"/>
          </w:tcPr>
          <w:p>
            <w:pPr>
              <w:spacing w:before="40" w:after="40"/>
            </w:pPr>
            <w:r>
              <w:rPr>
                <w:rFonts w:ascii="Calibri" w:hAnsi="Calibri"/>
                <w:sz w:val="18"/>
              </w:rPr>
              <w:t>~100 Cr</w:t>
            </w:r>
          </w:p>
        </w:tc>
        <w:tc>
          <w:tcPr>
            <w:tcW w:type="dxa" w:w="1728"/>
          </w:tcPr>
          <w:p>
            <w:pPr>
              <w:spacing w:before="40" w:after="40"/>
            </w:pPr>
            <w:r>
              <w:rPr>
                <w:rFonts w:ascii="Calibri" w:hAnsi="Calibri"/>
                <w:sz w:val="18"/>
              </w:rPr>
              <w:t>~300-400 Cr</w:t>
            </w:r>
          </w:p>
        </w:tc>
        <w:tc>
          <w:tcPr>
            <w:tcW w:type="dxa" w:w="1728"/>
          </w:tcPr>
          <w:p>
            <w:pPr>
              <w:spacing w:before="40" w:after="40"/>
            </w:pPr>
            <w:r>
              <w:rPr>
                <w:rFonts w:ascii="Calibri" w:hAnsi="Calibri"/>
                <w:sz w:val="18"/>
              </w:rPr>
              <w:t>~25-30%</w:t>
            </w:r>
          </w:p>
        </w:tc>
        <w:tc>
          <w:tcPr>
            <w:tcW w:type="dxa" w:w="1728"/>
          </w:tcPr>
          <w:p>
            <w:pPr>
              <w:spacing w:before="40" w:after="40"/>
            </w:pPr>
            <w:r>
              <w:rPr>
                <w:rFonts w:ascii="Calibri" w:hAnsi="Calibri"/>
                <w:sz w:val="18"/>
              </w:rPr>
              <w:t>Driven by phased launches of ICC Phase 3 and potential new projects, capitalizing on Mumbai's real estate demand.</w:t>
            </w:r>
          </w:p>
        </w:tc>
      </w:tr>
      <w:tr>
        <w:tc>
          <w:tcPr>
            <w:tcW w:type="dxa" w:w="1728"/>
            <w:shd w:fill="E8F0FE"/>
          </w:tcPr>
          <w:p>
            <w:pPr>
              <w:spacing w:before="40" w:after="40"/>
            </w:pPr>
            <w:r>
              <w:rPr>
                <w:rFonts w:ascii="Calibri" w:hAnsi="Calibri"/>
                <w:b/>
                <w:sz w:val="18"/>
              </w:rPr>
              <w:t>Polyester Staple Fibre (PSF)</w:t>
            </w:r>
          </w:p>
        </w:tc>
        <w:tc>
          <w:tcPr>
            <w:tcW w:type="dxa" w:w="1728"/>
            <w:shd w:fill="E8F0FE"/>
          </w:tcPr>
          <w:p>
            <w:pPr>
              <w:spacing w:before="40" w:after="40"/>
            </w:pPr>
            <w:r>
              <w:rPr>
                <w:rFonts w:ascii="Calibri" w:hAnsi="Calibri"/>
                <w:sz w:val="18"/>
              </w:rPr>
              <w:t>~1,450 Cr</w:t>
            </w:r>
          </w:p>
        </w:tc>
        <w:tc>
          <w:tcPr>
            <w:tcW w:type="dxa" w:w="1728"/>
            <w:shd w:fill="E8F0FE"/>
          </w:tcPr>
          <w:p>
            <w:pPr>
              <w:spacing w:before="40" w:after="40"/>
            </w:pPr>
            <w:r>
              <w:rPr>
                <w:rFonts w:ascii="Calibri" w:hAnsi="Calibri"/>
                <w:sz w:val="18"/>
              </w:rPr>
              <w:t>~1,600-1,700 Cr</w:t>
            </w:r>
          </w:p>
        </w:tc>
        <w:tc>
          <w:tcPr>
            <w:tcW w:type="dxa" w:w="1728"/>
            <w:shd w:fill="E8F0FE"/>
          </w:tcPr>
          <w:p>
            <w:pPr>
              <w:spacing w:before="40" w:after="40"/>
            </w:pPr>
            <w:r>
              <w:rPr>
                <w:rFonts w:ascii="Calibri" w:hAnsi="Calibri"/>
                <w:sz w:val="18"/>
              </w:rPr>
              <w:t>~2-3%</w:t>
            </w:r>
          </w:p>
        </w:tc>
        <w:tc>
          <w:tcPr>
            <w:tcW w:type="dxa" w:w="1728"/>
            <w:shd w:fill="E8F0FE"/>
          </w:tcPr>
          <w:p>
            <w:pPr>
              <w:spacing w:before="40" w:after="40"/>
            </w:pPr>
            <w:r>
              <w:rPr>
                <w:rFonts w:ascii="Calibri" w:hAnsi="Calibri"/>
                <w:sz w:val="18"/>
              </w:rPr>
              <w:t>Driven by stable domestic demand, potential export growth, and focus on value-added products.</w:t>
            </w:r>
          </w:p>
        </w:tc>
      </w:tr>
      <w:tr>
        <w:tc>
          <w:tcPr>
            <w:tcW w:type="dxa" w:w="1728"/>
          </w:tcPr>
          <w:p>
            <w:pPr>
              <w:spacing w:before="40" w:after="40"/>
            </w:pPr>
            <w:r>
              <w:rPr>
                <w:rFonts w:ascii="Calibri" w:hAnsi="Calibri"/>
                <w:b/>
                <w:sz w:val="18"/>
              </w:rPr>
              <w:t>Retail</w:t>
            </w:r>
          </w:p>
        </w:tc>
        <w:tc>
          <w:tcPr>
            <w:tcW w:type="dxa" w:w="1728"/>
          </w:tcPr>
          <w:p>
            <w:pPr>
              <w:spacing w:before="40" w:after="40"/>
            </w:pPr>
            <w:r>
              <w:rPr>
                <w:rFonts w:ascii="Calibri" w:hAnsi="Calibri"/>
                <w:sz w:val="18"/>
              </w:rPr>
              <w:t>~47 Cr</w:t>
            </w:r>
          </w:p>
        </w:tc>
        <w:tc>
          <w:tcPr>
            <w:tcW w:type="dxa" w:w="1728"/>
          </w:tcPr>
          <w:p>
            <w:pPr>
              <w:spacing w:before="40" w:after="40"/>
            </w:pPr>
            <w:r>
              <w:rPr>
                <w:rFonts w:ascii="Calibri" w:hAnsi="Calibri"/>
                <w:sz w:val="18"/>
              </w:rPr>
              <w:t>~60-70 Cr</w:t>
            </w:r>
          </w:p>
        </w:tc>
        <w:tc>
          <w:tcPr>
            <w:tcW w:type="dxa" w:w="1728"/>
          </w:tcPr>
          <w:p>
            <w:pPr>
              <w:spacing w:before="40" w:after="40"/>
            </w:pPr>
            <w:r>
              <w:rPr>
                <w:rFonts w:ascii="Calibri" w:hAnsi="Calibri"/>
                <w:sz w:val="18"/>
              </w:rPr>
              <w:t>~6-8%</w:t>
            </w:r>
          </w:p>
        </w:tc>
        <w:tc>
          <w:tcPr>
            <w:tcW w:type="dxa" w:w="1728"/>
          </w:tcPr>
          <w:p>
            <w:pPr>
              <w:spacing w:before="40" w:after="40"/>
            </w:pPr>
            <w:r>
              <w:rPr>
                <w:rFonts w:ascii="Calibri" w:hAnsi="Calibri"/>
                <w:sz w:val="18"/>
              </w:rPr>
              <w:t>Driven by product mix enhancement, distributor network expansion, and increased retail counter presence.</w:t>
            </w:r>
          </w:p>
        </w:tc>
      </w:tr>
    </w:tbl>
    <w:p/>
    <w:p>
      <w:pPr>
        <w:pStyle w:val="Heading2"/>
      </w:pPr>
      <w:r>
        <w:rPr>
          <w:rFonts w:ascii="Calibri" w:hAnsi="Calibri"/>
          <w:color w:val="1F5F8B"/>
          <w:sz w:val="26"/>
        </w:rPr>
        <w:t>6.2 Real Estate Growth Strategy</w:t>
      </w:r>
    </w:p>
    <w:p>
      <w:pPr>
        <w:spacing w:after="80"/>
      </w:pPr>
      <w:r>
        <w:rPr>
          <w:rFonts w:ascii="Calibri" w:hAnsi="Calibri"/>
          <w:color w:val="333333"/>
          <w:sz w:val="20"/>
        </w:rPr>
        <w:t>The company's real estate strategy is centered on unlocking the value of its prime land holdings in Mumbai. The ongoing development of the third phase of the Island City Center (ICC) project, spanning approximately 1.2 million square feet, is a key focus. Management anticipates benefiting from the projected growth in Mumbai's luxury real estate market, driven by increasing UHNWIs, rising disposable incomes, and a preference for premium housing. The company also plans to explore and evaluate other joint development opportunities. The successful execution of these projects, coupled with the company's cash-positive position post-land sale, is expected to generate steady cash flows and contribute significantly to future revenue growth.</w:t>
      </w:r>
    </w:p>
    <w:p>
      <w:pPr>
        <w:pStyle w:val="Heading2"/>
      </w:pPr>
      <w:r>
        <w:rPr>
          <w:rFonts w:ascii="Calibri" w:hAnsi="Calibri"/>
          <w:color w:val="1F5F8B"/>
          <w:sz w:val="26"/>
        </w:rPr>
        <w:t>6.3 Polyester Business Strategy</w:t>
      </w:r>
    </w:p>
    <w:p>
      <w:pPr>
        <w:spacing w:after="80"/>
      </w:pPr>
      <w:r>
        <w:rPr>
          <w:rFonts w:ascii="Calibri" w:hAnsi="Calibri"/>
          <w:color w:val="333333"/>
          <w:sz w:val="20"/>
        </w:rPr>
        <w:t>The Polyester Staple Fibre (PSF) division continues to focus on efficiency and profitability. The strategy involves maintaining higher capacity utilization, improving price realizations, and implementing cost reduction initiatives, particularly in conversion costs. The company aims to focus on high-margin products and introduce sustainable products into its portfolio. The regulation concerning the use of recycled PET in beverage packaging is expected to strengthen demand for virgin PSF, benefiting leading producers like Bombay Dyeing. The company is also investing in energy-saving initiatives and waste heat recovery to enhance operational efficiency and reduce costs.</w:t>
      </w:r>
    </w:p>
    <w:p>
      <w:pPr>
        <w:pStyle w:val="Heading2"/>
      </w:pPr>
      <w:r>
        <w:rPr>
          <w:rFonts w:ascii="Calibri" w:hAnsi="Calibri"/>
          <w:color w:val="1F5F8B"/>
          <w:sz w:val="26"/>
        </w:rPr>
        <w:t>6.4 Retail Business Strategy</w:t>
      </w:r>
    </w:p>
    <w:p>
      <w:pPr>
        <w:spacing w:after="80"/>
      </w:pPr>
      <w:r>
        <w:rPr>
          <w:rFonts w:ascii="Calibri" w:hAnsi="Calibri"/>
          <w:color w:val="333333"/>
          <w:sz w:val="20"/>
        </w:rPr>
        <w:t>The Retail division, "Home &amp; You," aims for sustained growth by focusing on a better product mix, store conversion, and increased shelf space. The business operates on a lean cost model with minimal working capital exposure. The company plans to strengthen its offline retail presence by expanding its distributor and retailer network. The launch of premium collections has been well-received, indicating potential for growth in higher-margin product categories. The focus remains on enhancing brand presence and driving sales through improved operational efficiency and customer engagement.</w:t>
      </w:r>
    </w:p>
    <w:p>
      <w:pPr>
        <w:pStyle w:val="Heading2"/>
      </w:pPr>
      <w:r>
        <w:rPr>
          <w:rFonts w:ascii="Calibri" w:hAnsi="Calibri"/>
          <w:color w:val="1F5F8B"/>
          <w:sz w:val="26"/>
        </w:rPr>
        <w:t>6.5 Financial Prudence and Investment Strategy</w:t>
      </w:r>
    </w:p>
    <w:p>
      <w:pPr>
        <w:spacing w:after="80"/>
      </w:pPr>
      <w:r>
        <w:rPr>
          <w:rFonts w:ascii="Calibri" w:hAnsi="Calibri"/>
          <w:color w:val="333333"/>
          <w:sz w:val="20"/>
        </w:rPr>
        <w:t>With a significantly deleveraged balance sheet and substantial cash reserves from asset monetization, the company is in a strong position to fund its growth initiatives. The strategy involves judicious deployment of capital into its core real estate projects and potentially exploring strategic investments in related sectors. The company's investment strategy also includes managing its portfolio of financial assets, aiming for capital protection, liquidity, and yield maximization, primarily through investments in fixed deposits with reputed banks and mutual funds.</w:t>
      </w:r>
    </w:p>
    <w:p>
      <w:pPr>
        <w:pStyle w:val="Heading1"/>
      </w:pPr>
      <w:r>
        <w:rPr>
          <w:rFonts w:ascii="Calibri" w:hAnsi="Calibri"/>
          <w:color w:val="1F5F8B"/>
          <w:sz w:val="32"/>
        </w:rPr>
        <w:t>7. Future Revenue &amp; EBITDA Estimates</w:t>
      </w:r>
    </w:p>
    <w:p>
      <w:pPr>
        <w:spacing w:before="0" w:after="120"/>
      </w:pP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440"/>
        <w:gridCol w:w="1440"/>
        <w:gridCol w:w="1440"/>
        <w:gridCol w:w="1440"/>
        <w:gridCol w:w="1440"/>
        <w:gridCol w:w="1440"/>
      </w:tblGrid>
      <w:tr>
        <w:tc>
          <w:tcPr>
            <w:tcW w:type="dxa" w:w="1440"/>
            <w:shd w:fill="1F5F8B"/>
          </w:tcPr>
          <w:p>
            <w:pPr>
              <w:spacing w:before="40" w:after="40"/>
            </w:pPr>
            <w:r>
              <w:rPr>
                <w:rFonts w:ascii="Calibri" w:hAnsi="Calibri"/>
                <w:b/>
                <w:color w:val="FFFFFF"/>
                <w:sz w:val="18"/>
              </w:rPr>
              <w:t>Particulars</w:t>
            </w:r>
          </w:p>
        </w:tc>
        <w:tc>
          <w:tcPr>
            <w:tcW w:type="dxa" w:w="1440"/>
            <w:shd w:fill="1F5F8B"/>
          </w:tcPr>
          <w:p>
            <w:pPr>
              <w:spacing w:before="40" w:after="40"/>
            </w:pPr>
            <w:r>
              <w:rPr>
                <w:rFonts w:ascii="Calibri" w:hAnsi="Calibri"/>
                <w:b/>
                <w:color w:val="FFFFFF"/>
                <w:sz w:val="18"/>
              </w:rPr>
              <w:t>FY25A</w:t>
            </w:r>
          </w:p>
        </w:tc>
        <w:tc>
          <w:tcPr>
            <w:tcW w:type="dxa" w:w="1440"/>
            <w:shd w:fill="1F5F8B"/>
          </w:tcPr>
          <w:p>
            <w:pPr>
              <w:spacing w:before="40" w:after="40"/>
            </w:pPr>
            <w:r>
              <w:rPr>
                <w:rFonts w:ascii="Calibri" w:hAnsi="Calibri"/>
                <w:b/>
                <w:color w:val="FFFFFF"/>
                <w:sz w:val="18"/>
              </w:rPr>
              <w:t>FY26E</w:t>
            </w:r>
          </w:p>
        </w:tc>
        <w:tc>
          <w:tcPr>
            <w:tcW w:type="dxa" w:w="1440"/>
            <w:shd w:fill="1F5F8B"/>
          </w:tcPr>
          <w:p>
            <w:pPr>
              <w:spacing w:before="40" w:after="40"/>
            </w:pPr>
            <w:r>
              <w:rPr>
                <w:rFonts w:ascii="Calibri" w:hAnsi="Calibri"/>
                <w:b/>
                <w:color w:val="FFFFFF"/>
                <w:sz w:val="18"/>
              </w:rPr>
              <w:t>FY27E</w:t>
            </w:r>
          </w:p>
        </w:tc>
        <w:tc>
          <w:tcPr>
            <w:tcW w:type="dxa" w:w="1440"/>
            <w:shd w:fill="1F5F8B"/>
          </w:tcPr>
          <w:p>
            <w:pPr>
              <w:spacing w:before="40" w:after="40"/>
            </w:pPr>
            <w:r>
              <w:rPr>
                <w:rFonts w:ascii="Calibri" w:hAnsi="Calibri"/>
                <w:b/>
                <w:color w:val="FFFFFF"/>
                <w:sz w:val="18"/>
              </w:rPr>
              <w:t>FY28E</w:t>
            </w:r>
          </w:p>
        </w:tc>
        <w:tc>
          <w:tcPr>
            <w:tcW w:type="dxa" w:w="1440"/>
            <w:shd w:fill="1F5F8B"/>
          </w:tcPr>
          <w:p>
            <w:pPr>
              <w:spacing w:before="40" w:after="40"/>
            </w:pPr>
            <w:r>
              <w:rPr>
                <w:rFonts w:ascii="Calibri" w:hAnsi="Calibri"/>
                <w:b/>
                <w:color w:val="FFFFFF"/>
                <w:sz w:val="18"/>
              </w:rPr>
              <w:t>FY29E</w:t>
            </w:r>
          </w:p>
        </w:tc>
      </w:tr>
      <w:tr>
        <w:tc>
          <w:tcPr>
            <w:tcW w:type="dxa" w:w="1440"/>
          </w:tcPr>
          <w:p>
            <w:pPr>
              <w:spacing w:before="40" w:after="40"/>
            </w:pPr>
            <w:r>
              <w:rPr>
                <w:rFonts w:ascii="Calibri" w:hAnsi="Calibri"/>
                <w:b/>
                <w:sz w:val="18"/>
              </w:rPr>
              <w:t>Revenue from Operations</w:t>
            </w:r>
          </w:p>
        </w:tc>
        <w:tc>
          <w:tcPr>
            <w:tcW w:type="dxa" w:w="1440"/>
          </w:tcPr>
          <w:p>
            <w:pPr>
              <w:spacing w:before="40" w:after="40"/>
            </w:pPr>
            <w:r>
              <w:rPr>
                <w:rFonts w:ascii="Calibri" w:hAnsi="Calibri"/>
                <w:sz w:val="18"/>
              </w:rPr>
              <w:t>1,605.43 Cr</w:t>
            </w:r>
          </w:p>
        </w:tc>
        <w:tc>
          <w:tcPr>
            <w:tcW w:type="dxa" w:w="1440"/>
          </w:tcPr>
          <w:p>
            <w:pPr>
              <w:spacing w:before="40" w:after="40"/>
            </w:pPr>
            <w:r>
              <w:rPr>
                <w:rFonts w:ascii="Calibri" w:hAnsi="Calibri"/>
                <w:sz w:val="18"/>
              </w:rPr>
              <w:t>1,700.00 Cr</w:t>
            </w:r>
          </w:p>
        </w:tc>
        <w:tc>
          <w:tcPr>
            <w:tcW w:type="dxa" w:w="1440"/>
          </w:tcPr>
          <w:p>
            <w:pPr>
              <w:spacing w:before="40" w:after="40"/>
            </w:pPr>
            <w:r>
              <w:rPr>
                <w:rFonts w:ascii="Calibri" w:hAnsi="Calibri"/>
                <w:sz w:val="18"/>
              </w:rPr>
              <w:t>1,850.00 Cr</w:t>
            </w:r>
          </w:p>
        </w:tc>
        <w:tc>
          <w:tcPr>
            <w:tcW w:type="dxa" w:w="1440"/>
          </w:tcPr>
          <w:p>
            <w:pPr>
              <w:spacing w:before="40" w:after="40"/>
            </w:pPr>
            <w:r>
              <w:rPr>
                <w:rFonts w:ascii="Calibri" w:hAnsi="Calibri"/>
                <w:sz w:val="18"/>
              </w:rPr>
              <w:t>2,000.00 Cr</w:t>
            </w:r>
          </w:p>
        </w:tc>
        <w:tc>
          <w:tcPr>
            <w:tcW w:type="dxa" w:w="1440"/>
          </w:tcPr>
          <w:p>
            <w:pPr>
              <w:spacing w:before="40" w:after="40"/>
            </w:pPr>
            <w:r>
              <w:rPr>
                <w:rFonts w:ascii="Calibri" w:hAnsi="Calibri"/>
                <w:sz w:val="18"/>
              </w:rPr>
              <w:t>2,150.00 Cr</w:t>
            </w:r>
          </w:p>
        </w:tc>
      </w:tr>
      <w:tr>
        <w:tc>
          <w:tcPr>
            <w:tcW w:type="dxa" w:w="1440"/>
            <w:shd w:fill="E8F0FE"/>
          </w:tcPr>
          <w:p>
            <w:pPr>
              <w:spacing w:before="40" w:after="40"/>
            </w:pPr>
            <w:r>
              <w:rPr>
                <w:rFonts w:ascii="Calibri" w:hAnsi="Calibri"/>
                <w:b/>
                <w:sz w:val="18"/>
              </w:rPr>
              <w:t>Revenue Growth (%)</w:t>
            </w:r>
          </w:p>
        </w:tc>
        <w:tc>
          <w:tcPr>
            <w:tcW w:type="dxa" w:w="1440"/>
            <w:shd w:fill="E8F0FE"/>
          </w:tcPr>
          <w:p>
            <w:pPr>
              <w:spacing w:before="40" w:after="40"/>
            </w:pPr>
            <w:r>
              <w:rPr>
                <w:rFonts w:ascii="Calibri" w:hAnsi="Calibri"/>
                <w:sz w:val="18"/>
              </w:rPr>
              <w:t>-5.0%</w:t>
            </w:r>
          </w:p>
        </w:tc>
        <w:tc>
          <w:tcPr>
            <w:tcW w:type="dxa" w:w="1440"/>
            <w:shd w:fill="E8F0FE"/>
          </w:tcPr>
          <w:p>
            <w:pPr>
              <w:spacing w:before="40" w:after="40"/>
            </w:pPr>
            <w:r>
              <w:rPr>
                <w:rFonts w:ascii="Calibri" w:hAnsi="Calibri"/>
                <w:sz w:val="18"/>
              </w:rPr>
              <w:t>5.9%</w:t>
            </w:r>
          </w:p>
        </w:tc>
        <w:tc>
          <w:tcPr>
            <w:tcW w:type="dxa" w:w="1440"/>
            <w:shd w:fill="E8F0FE"/>
          </w:tcPr>
          <w:p>
            <w:pPr>
              <w:spacing w:before="40" w:after="40"/>
            </w:pPr>
            <w:r>
              <w:rPr>
                <w:rFonts w:ascii="Calibri" w:hAnsi="Calibri"/>
                <w:sz w:val="18"/>
              </w:rPr>
              <w:t>8.8%</w:t>
            </w:r>
          </w:p>
        </w:tc>
        <w:tc>
          <w:tcPr>
            <w:tcW w:type="dxa" w:w="1440"/>
            <w:shd w:fill="E8F0FE"/>
          </w:tcPr>
          <w:p>
            <w:pPr>
              <w:spacing w:before="40" w:after="40"/>
            </w:pPr>
            <w:r>
              <w:rPr>
                <w:rFonts w:ascii="Calibri" w:hAnsi="Calibri"/>
                <w:sz w:val="18"/>
              </w:rPr>
              <w:t>8.1%</w:t>
            </w:r>
          </w:p>
        </w:tc>
        <w:tc>
          <w:tcPr>
            <w:tcW w:type="dxa" w:w="1440"/>
            <w:shd w:fill="E8F0FE"/>
          </w:tcPr>
          <w:p>
            <w:pPr>
              <w:spacing w:before="40" w:after="40"/>
            </w:pPr>
            <w:r>
              <w:rPr>
                <w:rFonts w:ascii="Calibri" w:hAnsi="Calibri"/>
                <w:sz w:val="18"/>
              </w:rPr>
              <w:t>7.5%</w:t>
            </w:r>
          </w:p>
        </w:tc>
      </w:tr>
      <w:tr>
        <w:tc>
          <w:tcPr>
            <w:tcW w:type="dxa" w:w="1440"/>
          </w:tcPr>
          <w:p>
            <w:pPr>
              <w:spacing w:before="40" w:after="40"/>
            </w:pPr>
            <w:r>
              <w:rPr>
                <w:rFonts w:ascii="Calibri" w:hAnsi="Calibri"/>
                <w:b/>
                <w:sz w:val="18"/>
              </w:rPr>
              <w:t>Gross Profit</w:t>
            </w:r>
          </w:p>
        </w:tc>
        <w:tc>
          <w:tcPr>
            <w:tcW w:type="dxa" w:w="1440"/>
          </w:tcPr>
          <w:p>
            <w:pPr>
              <w:spacing w:before="40" w:after="40"/>
            </w:pPr>
            <w:r>
              <w:rPr>
                <w:rFonts w:ascii="Calibri" w:hAnsi="Calibri"/>
                <w:sz w:val="18"/>
              </w:rPr>
              <w:t>461.51 Cr</w:t>
            </w:r>
          </w:p>
        </w:tc>
        <w:tc>
          <w:tcPr>
            <w:tcW w:type="dxa" w:w="1440"/>
          </w:tcPr>
          <w:p>
            <w:pPr>
              <w:spacing w:before="40" w:after="40"/>
            </w:pPr>
            <w:r>
              <w:rPr>
                <w:rFonts w:ascii="Calibri" w:hAnsi="Calibri"/>
                <w:sz w:val="18"/>
              </w:rPr>
              <w:t>490.00 Cr</w:t>
            </w:r>
          </w:p>
        </w:tc>
        <w:tc>
          <w:tcPr>
            <w:tcW w:type="dxa" w:w="1440"/>
          </w:tcPr>
          <w:p>
            <w:pPr>
              <w:spacing w:before="40" w:after="40"/>
            </w:pPr>
            <w:r>
              <w:rPr>
                <w:rFonts w:ascii="Calibri" w:hAnsi="Calibri"/>
                <w:sz w:val="18"/>
              </w:rPr>
              <w:t>530.00 Cr</w:t>
            </w:r>
          </w:p>
        </w:tc>
        <w:tc>
          <w:tcPr>
            <w:tcW w:type="dxa" w:w="1440"/>
          </w:tcPr>
          <w:p>
            <w:pPr>
              <w:spacing w:before="40" w:after="40"/>
            </w:pPr>
            <w:r>
              <w:rPr>
                <w:rFonts w:ascii="Calibri" w:hAnsi="Calibri"/>
                <w:sz w:val="18"/>
              </w:rPr>
              <w:t>570.00 Cr</w:t>
            </w:r>
          </w:p>
        </w:tc>
        <w:tc>
          <w:tcPr>
            <w:tcW w:type="dxa" w:w="1440"/>
          </w:tcPr>
          <w:p>
            <w:pPr>
              <w:spacing w:before="40" w:after="40"/>
            </w:pPr>
            <w:r>
              <w:rPr>
                <w:rFonts w:ascii="Calibri" w:hAnsi="Calibri"/>
                <w:sz w:val="18"/>
              </w:rPr>
              <w:t>610.00 Cr</w:t>
            </w:r>
          </w:p>
        </w:tc>
      </w:tr>
      <w:tr>
        <w:tc>
          <w:tcPr>
            <w:tcW w:type="dxa" w:w="1440"/>
            <w:shd w:fill="E8F0FE"/>
          </w:tcPr>
          <w:p>
            <w:pPr>
              <w:spacing w:before="40" w:after="40"/>
            </w:pPr>
            <w:r>
              <w:rPr>
                <w:rFonts w:ascii="Calibri" w:hAnsi="Calibri"/>
                <w:b/>
                <w:sz w:val="18"/>
              </w:rPr>
              <w:t>Gross Margin (%)</w:t>
            </w:r>
          </w:p>
        </w:tc>
        <w:tc>
          <w:tcPr>
            <w:tcW w:type="dxa" w:w="1440"/>
            <w:shd w:fill="E8F0FE"/>
          </w:tcPr>
          <w:p>
            <w:pPr>
              <w:spacing w:before="40" w:after="40"/>
            </w:pPr>
            <w:r>
              <w:rPr>
                <w:rFonts w:ascii="Calibri" w:hAnsi="Calibri"/>
                <w:sz w:val="18"/>
              </w:rPr>
              <w:t>28.8%</w:t>
            </w:r>
          </w:p>
        </w:tc>
        <w:tc>
          <w:tcPr>
            <w:tcW w:type="dxa" w:w="1440"/>
            <w:shd w:fill="E8F0FE"/>
          </w:tcPr>
          <w:p>
            <w:pPr>
              <w:spacing w:before="40" w:after="40"/>
            </w:pPr>
            <w:r>
              <w:rPr>
                <w:rFonts w:ascii="Calibri" w:hAnsi="Calibri"/>
                <w:sz w:val="18"/>
              </w:rPr>
              <w:t>28.8%</w:t>
            </w:r>
          </w:p>
        </w:tc>
        <w:tc>
          <w:tcPr>
            <w:tcW w:type="dxa" w:w="1440"/>
            <w:shd w:fill="E8F0FE"/>
          </w:tcPr>
          <w:p>
            <w:pPr>
              <w:spacing w:before="40" w:after="40"/>
            </w:pPr>
            <w:r>
              <w:rPr>
                <w:rFonts w:ascii="Calibri" w:hAnsi="Calibri"/>
                <w:sz w:val="18"/>
              </w:rPr>
              <w:t>28.6%</w:t>
            </w:r>
          </w:p>
        </w:tc>
        <w:tc>
          <w:tcPr>
            <w:tcW w:type="dxa" w:w="1440"/>
            <w:shd w:fill="E8F0FE"/>
          </w:tcPr>
          <w:p>
            <w:pPr>
              <w:spacing w:before="40" w:after="40"/>
            </w:pPr>
            <w:r>
              <w:rPr>
                <w:rFonts w:ascii="Calibri" w:hAnsi="Calibri"/>
                <w:sz w:val="18"/>
              </w:rPr>
              <w:t>28.5%</w:t>
            </w:r>
          </w:p>
        </w:tc>
        <w:tc>
          <w:tcPr>
            <w:tcW w:type="dxa" w:w="1440"/>
            <w:shd w:fill="E8F0FE"/>
          </w:tcPr>
          <w:p>
            <w:pPr>
              <w:spacing w:before="40" w:after="40"/>
            </w:pPr>
            <w:r>
              <w:rPr>
                <w:rFonts w:ascii="Calibri" w:hAnsi="Calibri"/>
                <w:sz w:val="18"/>
              </w:rPr>
              <w:t>28.4%</w:t>
            </w:r>
          </w:p>
        </w:tc>
      </w:tr>
      <w:tr>
        <w:tc>
          <w:tcPr>
            <w:tcW w:type="dxa" w:w="1440"/>
          </w:tcPr>
          <w:p>
            <w:pPr>
              <w:spacing w:before="40" w:after="40"/>
            </w:pPr>
            <w:r>
              <w:rPr>
                <w:rFonts w:ascii="Calibri" w:hAnsi="Calibri"/>
                <w:b/>
                <w:sz w:val="18"/>
              </w:rPr>
              <w:t>EBITDA (Operating)</w:t>
            </w:r>
          </w:p>
        </w:tc>
        <w:tc>
          <w:tcPr>
            <w:tcW w:type="dxa" w:w="1440"/>
          </w:tcPr>
          <w:p>
            <w:pPr>
              <w:spacing w:before="40" w:after="40"/>
            </w:pPr>
            <w:r>
              <w:rPr>
                <w:rFonts w:ascii="Calibri" w:hAnsi="Calibri"/>
                <w:sz w:val="18"/>
              </w:rPr>
              <w:t>100.11 Cr</w:t>
            </w:r>
          </w:p>
        </w:tc>
        <w:tc>
          <w:tcPr>
            <w:tcW w:type="dxa" w:w="1440"/>
          </w:tcPr>
          <w:p>
            <w:pPr>
              <w:spacing w:before="40" w:after="40"/>
            </w:pPr>
            <w:r>
              <w:rPr>
                <w:rFonts w:ascii="Calibri" w:hAnsi="Calibri"/>
                <w:sz w:val="18"/>
              </w:rPr>
              <w:t>115.00 Cr</w:t>
            </w:r>
          </w:p>
        </w:tc>
        <w:tc>
          <w:tcPr>
            <w:tcW w:type="dxa" w:w="1440"/>
          </w:tcPr>
          <w:p>
            <w:pPr>
              <w:spacing w:before="40" w:after="40"/>
            </w:pPr>
            <w:r>
              <w:rPr>
                <w:rFonts w:ascii="Calibri" w:hAnsi="Calibri"/>
                <w:sz w:val="18"/>
              </w:rPr>
              <w:t>135.00 Cr</w:t>
            </w:r>
          </w:p>
        </w:tc>
        <w:tc>
          <w:tcPr>
            <w:tcW w:type="dxa" w:w="1440"/>
          </w:tcPr>
          <w:p>
            <w:pPr>
              <w:spacing w:before="40" w:after="40"/>
            </w:pPr>
            <w:r>
              <w:rPr>
                <w:rFonts w:ascii="Calibri" w:hAnsi="Calibri"/>
                <w:sz w:val="18"/>
              </w:rPr>
              <w:t>155.00 Cr</w:t>
            </w:r>
          </w:p>
        </w:tc>
        <w:tc>
          <w:tcPr>
            <w:tcW w:type="dxa" w:w="1440"/>
          </w:tcPr>
          <w:p>
            <w:pPr>
              <w:spacing w:before="40" w:after="40"/>
            </w:pPr>
            <w:r>
              <w:rPr>
                <w:rFonts w:ascii="Calibri" w:hAnsi="Calibri"/>
                <w:sz w:val="18"/>
              </w:rPr>
              <w:t>175.00 Cr</w:t>
            </w:r>
          </w:p>
        </w:tc>
      </w:tr>
      <w:tr>
        <w:tc>
          <w:tcPr>
            <w:tcW w:type="dxa" w:w="1440"/>
            <w:shd w:fill="E8F0FE"/>
          </w:tcPr>
          <w:p>
            <w:pPr>
              <w:spacing w:before="40" w:after="40"/>
            </w:pPr>
            <w:r>
              <w:rPr>
                <w:rFonts w:ascii="Calibri" w:hAnsi="Calibri"/>
                <w:b/>
                <w:sz w:val="18"/>
              </w:rPr>
              <w:t>EBITDA Margin (%)</w:t>
            </w:r>
          </w:p>
        </w:tc>
        <w:tc>
          <w:tcPr>
            <w:tcW w:type="dxa" w:w="1440"/>
            <w:shd w:fill="E8F0FE"/>
          </w:tcPr>
          <w:p>
            <w:pPr>
              <w:spacing w:before="40" w:after="40"/>
            </w:pPr>
            <w:r>
              <w:rPr>
                <w:rFonts w:ascii="Calibri" w:hAnsi="Calibri"/>
                <w:sz w:val="18"/>
              </w:rPr>
              <w:t>6.2%</w:t>
            </w:r>
          </w:p>
        </w:tc>
        <w:tc>
          <w:tcPr>
            <w:tcW w:type="dxa" w:w="1440"/>
            <w:shd w:fill="E8F0FE"/>
          </w:tcPr>
          <w:p>
            <w:pPr>
              <w:spacing w:before="40" w:after="40"/>
            </w:pPr>
            <w:r>
              <w:rPr>
                <w:rFonts w:ascii="Calibri" w:hAnsi="Calibri"/>
                <w:sz w:val="18"/>
              </w:rPr>
              <w:t>6.8%</w:t>
            </w:r>
          </w:p>
        </w:tc>
        <w:tc>
          <w:tcPr>
            <w:tcW w:type="dxa" w:w="1440"/>
            <w:shd w:fill="E8F0FE"/>
          </w:tcPr>
          <w:p>
            <w:pPr>
              <w:spacing w:before="40" w:after="40"/>
            </w:pPr>
            <w:r>
              <w:rPr>
                <w:rFonts w:ascii="Calibri" w:hAnsi="Calibri"/>
                <w:sz w:val="18"/>
              </w:rPr>
              <w:t>7.3%</w:t>
            </w:r>
          </w:p>
        </w:tc>
        <w:tc>
          <w:tcPr>
            <w:tcW w:type="dxa" w:w="1440"/>
            <w:shd w:fill="E8F0FE"/>
          </w:tcPr>
          <w:p>
            <w:pPr>
              <w:spacing w:before="40" w:after="40"/>
            </w:pPr>
            <w:r>
              <w:rPr>
                <w:rFonts w:ascii="Calibri" w:hAnsi="Calibri"/>
                <w:sz w:val="18"/>
              </w:rPr>
              <w:t>7.8%</w:t>
            </w:r>
          </w:p>
        </w:tc>
        <w:tc>
          <w:tcPr>
            <w:tcW w:type="dxa" w:w="1440"/>
            <w:shd w:fill="E8F0FE"/>
          </w:tcPr>
          <w:p>
            <w:pPr>
              <w:spacing w:before="40" w:after="40"/>
            </w:pPr>
            <w:r>
              <w:rPr>
                <w:rFonts w:ascii="Calibri" w:hAnsi="Calibri"/>
                <w:sz w:val="18"/>
              </w:rPr>
              <w:t>8.1%</w:t>
            </w:r>
          </w:p>
        </w:tc>
      </w:tr>
      <w:tr>
        <w:tc>
          <w:tcPr>
            <w:tcW w:type="dxa" w:w="1440"/>
          </w:tcPr>
          <w:p>
            <w:pPr>
              <w:spacing w:before="40" w:after="40"/>
            </w:pPr>
            <w:r>
              <w:rPr>
                <w:rFonts w:ascii="Calibri" w:hAnsi="Calibri"/>
                <w:b/>
                <w:sz w:val="18"/>
              </w:rPr>
              <w:t>Depreciation</w:t>
            </w:r>
          </w:p>
        </w:tc>
        <w:tc>
          <w:tcPr>
            <w:tcW w:type="dxa" w:w="1440"/>
          </w:tcPr>
          <w:p>
            <w:pPr>
              <w:spacing w:before="40" w:after="40"/>
            </w:pPr>
            <w:r>
              <w:rPr>
                <w:rFonts w:ascii="Calibri" w:hAnsi="Calibri"/>
                <w:sz w:val="18"/>
              </w:rPr>
              <w:t>32.88 Cr</w:t>
            </w:r>
          </w:p>
        </w:tc>
        <w:tc>
          <w:tcPr>
            <w:tcW w:type="dxa" w:w="1440"/>
          </w:tcPr>
          <w:p>
            <w:pPr>
              <w:spacing w:before="40" w:after="40"/>
            </w:pPr>
            <w:r>
              <w:rPr>
                <w:rFonts w:ascii="Calibri" w:hAnsi="Calibri"/>
                <w:sz w:val="18"/>
              </w:rPr>
              <w:t>34.00 Cr</w:t>
            </w:r>
          </w:p>
        </w:tc>
        <w:tc>
          <w:tcPr>
            <w:tcW w:type="dxa" w:w="1440"/>
          </w:tcPr>
          <w:p>
            <w:pPr>
              <w:spacing w:before="40" w:after="40"/>
            </w:pPr>
            <w:r>
              <w:rPr>
                <w:rFonts w:ascii="Calibri" w:hAnsi="Calibri"/>
                <w:sz w:val="18"/>
              </w:rPr>
              <w:t>35.00 Cr</w:t>
            </w:r>
          </w:p>
        </w:tc>
        <w:tc>
          <w:tcPr>
            <w:tcW w:type="dxa" w:w="1440"/>
          </w:tcPr>
          <w:p>
            <w:pPr>
              <w:spacing w:before="40" w:after="40"/>
            </w:pPr>
            <w:r>
              <w:rPr>
                <w:rFonts w:ascii="Calibri" w:hAnsi="Calibri"/>
                <w:sz w:val="18"/>
              </w:rPr>
              <w:t>36.00 Cr</w:t>
            </w:r>
          </w:p>
        </w:tc>
        <w:tc>
          <w:tcPr>
            <w:tcW w:type="dxa" w:w="1440"/>
          </w:tcPr>
          <w:p>
            <w:pPr>
              <w:spacing w:before="40" w:after="40"/>
            </w:pPr>
            <w:r>
              <w:rPr>
                <w:rFonts w:ascii="Calibri" w:hAnsi="Calibri"/>
                <w:sz w:val="18"/>
              </w:rPr>
              <w:t>37.00 Cr</w:t>
            </w:r>
          </w:p>
        </w:tc>
      </w:tr>
      <w:tr>
        <w:tc>
          <w:tcPr>
            <w:tcW w:type="dxa" w:w="1440"/>
            <w:shd w:fill="E8F0FE"/>
          </w:tcPr>
          <w:p>
            <w:pPr>
              <w:spacing w:before="40" w:after="40"/>
            </w:pPr>
            <w:r>
              <w:rPr>
                <w:rFonts w:ascii="Calibri" w:hAnsi="Calibri"/>
                <w:b/>
                <w:sz w:val="18"/>
              </w:rPr>
              <w:t>Finance Cost</w:t>
            </w:r>
          </w:p>
        </w:tc>
        <w:tc>
          <w:tcPr>
            <w:tcW w:type="dxa" w:w="1440"/>
            <w:shd w:fill="E8F0FE"/>
          </w:tcPr>
          <w:p>
            <w:pPr>
              <w:spacing w:before="40" w:after="40"/>
            </w:pPr>
            <w:r>
              <w:rPr>
                <w:rFonts w:ascii="Calibri" w:hAnsi="Calibri"/>
                <w:sz w:val="18"/>
              </w:rPr>
              <w:t>19.24 Cr</w:t>
            </w:r>
          </w:p>
        </w:tc>
        <w:tc>
          <w:tcPr>
            <w:tcW w:type="dxa" w:w="1440"/>
            <w:shd w:fill="E8F0FE"/>
          </w:tcPr>
          <w:p>
            <w:pPr>
              <w:spacing w:before="40" w:after="40"/>
            </w:pPr>
            <w:r>
              <w:rPr>
                <w:rFonts w:ascii="Calibri" w:hAnsi="Calibri"/>
                <w:sz w:val="18"/>
              </w:rPr>
              <w:t>18.00 Cr</w:t>
            </w:r>
          </w:p>
        </w:tc>
        <w:tc>
          <w:tcPr>
            <w:tcW w:type="dxa" w:w="1440"/>
            <w:shd w:fill="E8F0FE"/>
          </w:tcPr>
          <w:p>
            <w:pPr>
              <w:spacing w:before="40" w:after="40"/>
            </w:pPr>
            <w:r>
              <w:rPr>
                <w:rFonts w:ascii="Calibri" w:hAnsi="Calibri"/>
                <w:sz w:val="18"/>
              </w:rPr>
              <w:t>17.00 Cr</w:t>
            </w:r>
          </w:p>
        </w:tc>
        <w:tc>
          <w:tcPr>
            <w:tcW w:type="dxa" w:w="1440"/>
            <w:shd w:fill="E8F0FE"/>
          </w:tcPr>
          <w:p>
            <w:pPr>
              <w:spacing w:before="40" w:after="40"/>
            </w:pPr>
            <w:r>
              <w:rPr>
                <w:rFonts w:ascii="Calibri" w:hAnsi="Calibri"/>
                <w:sz w:val="18"/>
              </w:rPr>
              <w:t>16.00 Cr</w:t>
            </w:r>
          </w:p>
        </w:tc>
        <w:tc>
          <w:tcPr>
            <w:tcW w:type="dxa" w:w="1440"/>
            <w:shd w:fill="E8F0FE"/>
          </w:tcPr>
          <w:p>
            <w:pPr>
              <w:spacing w:before="40" w:after="40"/>
            </w:pPr>
            <w:r>
              <w:rPr>
                <w:rFonts w:ascii="Calibri" w:hAnsi="Calibri"/>
                <w:sz w:val="18"/>
              </w:rPr>
              <w:t>15.00 Cr</w:t>
            </w:r>
          </w:p>
        </w:tc>
      </w:tr>
      <w:tr>
        <w:tc>
          <w:tcPr>
            <w:tcW w:type="dxa" w:w="1440"/>
          </w:tcPr>
          <w:p>
            <w:pPr>
              <w:spacing w:before="40" w:after="40"/>
            </w:pPr>
            <w:r>
              <w:rPr>
                <w:rFonts w:ascii="Calibri" w:hAnsi="Calibri"/>
                <w:b/>
                <w:sz w:val="18"/>
              </w:rPr>
              <w:t>PBT (Operating)</w:t>
            </w:r>
          </w:p>
        </w:tc>
        <w:tc>
          <w:tcPr>
            <w:tcW w:type="dxa" w:w="1440"/>
          </w:tcPr>
          <w:p>
            <w:pPr>
              <w:spacing w:before="40" w:after="40"/>
            </w:pPr>
            <w:r>
              <w:rPr>
                <w:rFonts w:ascii="Calibri" w:hAnsi="Calibri"/>
                <w:sz w:val="18"/>
              </w:rPr>
              <w:t>47.99 Cr</w:t>
            </w:r>
          </w:p>
        </w:tc>
        <w:tc>
          <w:tcPr>
            <w:tcW w:type="dxa" w:w="1440"/>
          </w:tcPr>
          <w:p>
            <w:pPr>
              <w:spacing w:before="40" w:after="40"/>
            </w:pPr>
            <w:r>
              <w:rPr>
                <w:rFonts w:ascii="Calibri" w:hAnsi="Calibri"/>
                <w:sz w:val="18"/>
              </w:rPr>
              <w:t>63.00 Cr</w:t>
            </w:r>
          </w:p>
        </w:tc>
        <w:tc>
          <w:tcPr>
            <w:tcW w:type="dxa" w:w="1440"/>
          </w:tcPr>
          <w:p>
            <w:pPr>
              <w:spacing w:before="40" w:after="40"/>
            </w:pPr>
            <w:r>
              <w:rPr>
                <w:rFonts w:ascii="Calibri" w:hAnsi="Calibri"/>
                <w:sz w:val="18"/>
              </w:rPr>
              <w:t>83.00 Cr</w:t>
            </w:r>
          </w:p>
        </w:tc>
        <w:tc>
          <w:tcPr>
            <w:tcW w:type="dxa" w:w="1440"/>
          </w:tcPr>
          <w:p>
            <w:pPr>
              <w:spacing w:before="40" w:after="40"/>
            </w:pPr>
            <w:r>
              <w:rPr>
                <w:rFonts w:ascii="Calibri" w:hAnsi="Calibri"/>
                <w:sz w:val="18"/>
              </w:rPr>
              <w:t>103.00 Cr</w:t>
            </w:r>
          </w:p>
        </w:tc>
        <w:tc>
          <w:tcPr>
            <w:tcW w:type="dxa" w:w="1440"/>
          </w:tcPr>
          <w:p>
            <w:pPr>
              <w:spacing w:before="40" w:after="40"/>
            </w:pPr>
            <w:r>
              <w:rPr>
                <w:rFonts w:ascii="Calibri" w:hAnsi="Calibri"/>
                <w:sz w:val="18"/>
              </w:rPr>
              <w:t>123.00 Cr</w:t>
            </w:r>
          </w:p>
        </w:tc>
      </w:tr>
      <w:tr>
        <w:tc>
          <w:tcPr>
            <w:tcW w:type="dxa" w:w="1440"/>
            <w:shd w:fill="E8F0FE"/>
          </w:tcPr>
          <w:p>
            <w:pPr>
              <w:spacing w:before="40" w:after="40"/>
            </w:pPr>
            <w:r>
              <w:rPr>
                <w:rFonts w:ascii="Calibri" w:hAnsi="Calibri"/>
                <w:b/>
                <w:sz w:val="18"/>
              </w:rPr>
              <w:t>Tax</w:t>
            </w:r>
          </w:p>
        </w:tc>
        <w:tc>
          <w:tcPr>
            <w:tcW w:type="dxa" w:w="1440"/>
            <w:shd w:fill="E8F0FE"/>
          </w:tcPr>
          <w:p>
            <w:pPr>
              <w:spacing w:before="40" w:after="40"/>
            </w:pPr>
            <w:r>
              <w:rPr>
                <w:rFonts w:ascii="Calibri" w:hAnsi="Calibri"/>
                <w:sz w:val="18"/>
              </w:rPr>
              <w:t>110.72 Cr</w:t>
            </w:r>
          </w:p>
        </w:tc>
        <w:tc>
          <w:tcPr>
            <w:tcW w:type="dxa" w:w="1440"/>
            <w:shd w:fill="E8F0FE"/>
          </w:tcPr>
          <w:p>
            <w:pPr>
              <w:spacing w:before="40" w:after="40"/>
            </w:pPr>
            <w:r>
              <w:rPr>
                <w:rFonts w:ascii="Calibri" w:hAnsi="Calibri"/>
                <w:sz w:val="18"/>
              </w:rPr>
              <w:t>25.00 Cr</w:t>
            </w:r>
          </w:p>
        </w:tc>
        <w:tc>
          <w:tcPr>
            <w:tcW w:type="dxa" w:w="1440"/>
            <w:shd w:fill="E8F0FE"/>
          </w:tcPr>
          <w:p>
            <w:pPr>
              <w:spacing w:before="40" w:after="40"/>
            </w:pPr>
            <w:r>
              <w:rPr>
                <w:rFonts w:ascii="Calibri" w:hAnsi="Calibri"/>
                <w:sz w:val="18"/>
              </w:rPr>
              <w:t>30.00 Cr</w:t>
            </w:r>
          </w:p>
        </w:tc>
        <w:tc>
          <w:tcPr>
            <w:tcW w:type="dxa" w:w="1440"/>
            <w:shd w:fill="E8F0FE"/>
          </w:tcPr>
          <w:p>
            <w:pPr>
              <w:spacing w:before="40" w:after="40"/>
            </w:pPr>
            <w:r>
              <w:rPr>
                <w:rFonts w:ascii="Calibri" w:hAnsi="Calibri"/>
                <w:sz w:val="18"/>
              </w:rPr>
              <w:t>35.00 Cr</w:t>
            </w:r>
          </w:p>
        </w:tc>
        <w:tc>
          <w:tcPr>
            <w:tcW w:type="dxa" w:w="1440"/>
            <w:shd w:fill="E8F0FE"/>
          </w:tcPr>
          <w:p>
            <w:pPr>
              <w:spacing w:before="40" w:after="40"/>
            </w:pPr>
            <w:r>
              <w:rPr>
                <w:rFonts w:ascii="Calibri" w:hAnsi="Calibri"/>
                <w:sz w:val="18"/>
              </w:rPr>
              <w:t>40.00 Cr</w:t>
            </w:r>
          </w:p>
        </w:tc>
      </w:tr>
      <w:tr>
        <w:tc>
          <w:tcPr>
            <w:tcW w:type="dxa" w:w="1440"/>
          </w:tcPr>
          <w:p>
            <w:pPr>
              <w:spacing w:before="40" w:after="40"/>
            </w:pPr>
            <w:r>
              <w:rPr>
                <w:rFonts w:ascii="Calibri" w:hAnsi="Calibri"/>
                <w:b/>
                <w:sz w:val="18"/>
              </w:rPr>
              <w:t>PAT (Operating)</w:t>
            </w:r>
          </w:p>
        </w:tc>
        <w:tc>
          <w:tcPr>
            <w:tcW w:type="dxa" w:w="1440"/>
          </w:tcPr>
          <w:p>
            <w:pPr>
              <w:spacing w:before="40" w:after="40"/>
            </w:pPr>
            <w:r>
              <w:rPr>
                <w:rFonts w:ascii="Calibri" w:hAnsi="Calibri"/>
                <w:sz w:val="18"/>
              </w:rPr>
              <w:t>489.83 Cr</w:t>
            </w:r>
          </w:p>
        </w:tc>
        <w:tc>
          <w:tcPr>
            <w:tcW w:type="dxa" w:w="1440"/>
          </w:tcPr>
          <w:p>
            <w:pPr>
              <w:spacing w:before="40" w:after="40"/>
            </w:pPr>
            <w:r>
              <w:rPr>
                <w:rFonts w:ascii="Calibri" w:hAnsi="Calibri"/>
                <w:sz w:val="18"/>
              </w:rPr>
              <w:t>93.00 Cr</w:t>
            </w:r>
          </w:p>
        </w:tc>
        <w:tc>
          <w:tcPr>
            <w:tcW w:type="dxa" w:w="1440"/>
          </w:tcPr>
          <w:p>
            <w:pPr>
              <w:spacing w:before="40" w:after="40"/>
            </w:pPr>
            <w:r>
              <w:rPr>
                <w:rFonts w:ascii="Calibri" w:hAnsi="Calibri"/>
                <w:sz w:val="18"/>
              </w:rPr>
              <w:t>108.00 Cr</w:t>
            </w:r>
          </w:p>
        </w:tc>
        <w:tc>
          <w:tcPr>
            <w:tcW w:type="dxa" w:w="1440"/>
          </w:tcPr>
          <w:p>
            <w:pPr>
              <w:spacing w:before="40" w:after="40"/>
            </w:pPr>
            <w:r>
              <w:rPr>
                <w:rFonts w:ascii="Calibri" w:hAnsi="Calibri"/>
                <w:sz w:val="18"/>
              </w:rPr>
              <w:t>125.00 Cr</w:t>
            </w:r>
          </w:p>
        </w:tc>
        <w:tc>
          <w:tcPr>
            <w:tcW w:type="dxa" w:w="1440"/>
          </w:tcPr>
          <w:p>
            <w:pPr>
              <w:spacing w:before="40" w:after="40"/>
            </w:pPr>
            <w:r>
              <w:rPr>
                <w:rFonts w:ascii="Calibri" w:hAnsi="Calibri"/>
                <w:sz w:val="18"/>
              </w:rPr>
              <w:t>145.00 Cr</w:t>
            </w:r>
          </w:p>
        </w:tc>
      </w:tr>
      <w:tr>
        <w:tc>
          <w:tcPr>
            <w:tcW w:type="dxa" w:w="1440"/>
            <w:shd w:fill="E8F0FE"/>
          </w:tcPr>
          <w:p>
            <w:pPr>
              <w:spacing w:before="40" w:after="40"/>
            </w:pPr>
            <w:r>
              <w:rPr>
                <w:rFonts w:ascii="Calibri" w:hAnsi="Calibri"/>
                <w:b/>
                <w:sz w:val="18"/>
              </w:rPr>
              <w:t>EPS (Operating)</w:t>
            </w:r>
          </w:p>
        </w:tc>
        <w:tc>
          <w:tcPr>
            <w:tcW w:type="dxa" w:w="1440"/>
            <w:shd w:fill="E8F0FE"/>
          </w:tcPr>
          <w:p>
            <w:pPr>
              <w:spacing w:before="40" w:after="40"/>
            </w:pPr>
            <w:r>
              <w:rPr>
                <w:rFonts w:ascii="Calibri" w:hAnsi="Calibri"/>
                <w:sz w:val="18"/>
              </w:rPr>
              <w:t>23.72</w:t>
            </w:r>
          </w:p>
        </w:tc>
        <w:tc>
          <w:tcPr>
            <w:tcW w:type="dxa" w:w="1440"/>
            <w:shd w:fill="E8F0FE"/>
          </w:tcPr>
          <w:p>
            <w:pPr>
              <w:spacing w:before="40" w:after="40"/>
            </w:pPr>
            <w:r>
              <w:rPr>
                <w:rFonts w:ascii="Calibri" w:hAnsi="Calibri"/>
                <w:sz w:val="18"/>
              </w:rPr>
              <w:t>4.50</w:t>
            </w:r>
          </w:p>
        </w:tc>
        <w:tc>
          <w:tcPr>
            <w:tcW w:type="dxa" w:w="1440"/>
            <w:shd w:fill="E8F0FE"/>
          </w:tcPr>
          <w:p>
            <w:pPr>
              <w:spacing w:before="40" w:after="40"/>
            </w:pPr>
            <w:r>
              <w:rPr>
                <w:rFonts w:ascii="Calibri" w:hAnsi="Calibri"/>
                <w:sz w:val="18"/>
              </w:rPr>
              <w:t>5.23</w:t>
            </w:r>
          </w:p>
        </w:tc>
        <w:tc>
          <w:tcPr>
            <w:tcW w:type="dxa" w:w="1440"/>
            <w:shd w:fill="E8F0FE"/>
          </w:tcPr>
          <w:p>
            <w:pPr>
              <w:spacing w:before="40" w:after="40"/>
            </w:pPr>
            <w:r>
              <w:rPr>
                <w:rFonts w:ascii="Calibri" w:hAnsi="Calibri"/>
                <w:sz w:val="18"/>
              </w:rPr>
              <w:t>6.05</w:t>
            </w:r>
          </w:p>
        </w:tc>
        <w:tc>
          <w:tcPr>
            <w:tcW w:type="dxa" w:w="1440"/>
            <w:shd w:fill="E8F0FE"/>
          </w:tcPr>
          <w:p>
            <w:pPr>
              <w:spacing w:before="40" w:after="40"/>
            </w:pPr>
            <w:r>
              <w:rPr>
                <w:rFonts w:ascii="Calibri" w:hAnsi="Calibri"/>
                <w:sz w:val="18"/>
              </w:rPr>
              <w:t>7.02</w:t>
            </w:r>
          </w:p>
        </w:tc>
      </w:tr>
    </w:tbl>
    <w:p/>
    <w:p>
      <w:pPr>
        <w:pStyle w:val="Heading2"/>
      </w:pPr>
      <w:r>
        <w:rPr>
          <w:rFonts w:ascii="Calibri" w:hAnsi="Calibri"/>
          <w:color w:val="1F5F8B"/>
          <w:sz w:val="26"/>
        </w:rPr>
        <w:t>7.1 Key Assumptions Behind Estimates</w:t>
      </w:r>
    </w:p>
    <w:p>
      <w:pPr>
        <w:pStyle w:val="ListBullet"/>
        <w:spacing w:after="80"/>
      </w:pPr>
      <w:r>
        <w:rPr>
          <w:rFonts w:ascii="Calibri" w:hAnsi="Calibri"/>
          <w:color w:val="333333"/>
          <w:sz w:val="20"/>
        </w:rPr>
        <w:t xml:space="preserve">  </w:t>
      </w:r>
      <w:r>
        <w:rPr>
          <w:rFonts w:ascii="Calibri" w:hAnsi="Calibri"/>
          <w:b/>
          <w:color w:val="333333"/>
          <w:sz w:val="20"/>
        </w:rPr>
        <w:t>Revenue:</w:t>
      </w:r>
      <w:r>
        <w:rPr>
          <w:rFonts w:ascii="Calibri" w:hAnsi="Calibri"/>
          <w:color w:val="333333"/>
          <w:sz w:val="20"/>
        </w:rPr>
        <w:t xml:space="preserve"> Assumes phased revenue recognition from ongoing real estate projects and steady growth in polyester and retail segments. Real estate revenue is projected to grow significantly as new phases are launched and completed.</w:t>
      </w:r>
    </w:p>
    <w:p>
      <w:pPr>
        <w:pStyle w:val="ListBullet"/>
        <w:spacing w:after="80"/>
      </w:pPr>
      <w:r>
        <w:rPr>
          <w:rFonts w:ascii="Calibri" w:hAnsi="Calibri"/>
          <w:color w:val="333333"/>
          <w:sz w:val="20"/>
        </w:rPr>
        <w:t xml:space="preserve">  </w:t>
      </w:r>
      <w:r>
        <w:rPr>
          <w:rFonts w:ascii="Calibri" w:hAnsi="Calibri"/>
          <w:b/>
          <w:color w:val="333333"/>
          <w:sz w:val="20"/>
        </w:rPr>
        <w:t>Gross Margin:</w:t>
      </w:r>
      <w:r>
        <w:rPr>
          <w:rFonts w:ascii="Calibri" w:hAnsi="Calibri"/>
          <w:color w:val="333333"/>
          <w:sz w:val="20"/>
        </w:rPr>
        <w:t xml:space="preserve"> Gross margins are assumed to remain stable in the polyester segment, with slight improvements driven by efficiency gains. Real estate margins are project-specific and averaged out.</w:t>
      </w:r>
    </w:p>
    <w:p>
      <w:pPr>
        <w:pStyle w:val="ListBullet"/>
        <w:spacing w:after="80"/>
      </w:pPr>
      <w:r>
        <w:rPr>
          <w:rFonts w:ascii="Calibri" w:hAnsi="Calibri"/>
          <w:color w:val="333333"/>
          <w:sz w:val="20"/>
        </w:rPr>
        <w:t xml:space="preserve">  </w:t>
      </w:r>
      <w:r>
        <w:rPr>
          <w:rFonts w:ascii="Calibri" w:hAnsi="Calibri"/>
          <w:b/>
          <w:color w:val="333333"/>
          <w:sz w:val="20"/>
        </w:rPr>
        <w:t>EBITDA Margin:</w:t>
      </w:r>
      <w:r>
        <w:rPr>
          <w:rFonts w:ascii="Calibri" w:hAnsi="Calibri"/>
          <w:color w:val="333333"/>
          <w:sz w:val="20"/>
        </w:rPr>
        <w:t xml:space="preserve"> Projected to improve gradually due to operational efficiencies in polyester and better cost management across segments, despite the lower margin nature of real estate revenue recognition.</w:t>
      </w:r>
    </w:p>
    <w:p>
      <w:pPr>
        <w:pStyle w:val="ListBullet"/>
        <w:spacing w:after="80"/>
      </w:pPr>
      <w:r>
        <w:rPr>
          <w:rFonts w:ascii="Calibri" w:hAnsi="Calibri"/>
          <w:color w:val="333333"/>
          <w:sz w:val="20"/>
        </w:rPr>
        <w:t xml:space="preserve">  </w:t>
      </w:r>
      <w:r>
        <w:rPr>
          <w:rFonts w:ascii="Calibri" w:hAnsi="Calibri"/>
          <w:b/>
          <w:color w:val="333333"/>
          <w:sz w:val="20"/>
        </w:rPr>
        <w:t>Capex:</w:t>
      </w:r>
      <w:r>
        <w:rPr>
          <w:rFonts w:ascii="Calibri" w:hAnsi="Calibri"/>
          <w:color w:val="333333"/>
          <w:sz w:val="20"/>
        </w:rPr>
        <w:t xml:space="preserve"> Assumes moderate capex for modernization and expansion in the polyester segment and project development costs in real estate.</w:t>
      </w:r>
    </w:p>
    <w:p>
      <w:pPr>
        <w:pStyle w:val="ListBullet"/>
        <w:spacing w:after="80"/>
      </w:pPr>
      <w:r>
        <w:rPr>
          <w:rFonts w:ascii="Calibri" w:hAnsi="Calibri"/>
          <w:color w:val="333333"/>
          <w:sz w:val="20"/>
        </w:rPr>
        <w:t xml:space="preserve">  </w:t>
      </w:r>
      <w:r>
        <w:rPr>
          <w:rFonts w:ascii="Calibri" w:hAnsi="Calibri"/>
          <w:b/>
          <w:color w:val="333333"/>
          <w:sz w:val="20"/>
        </w:rPr>
        <w:t>Working Capital:</w:t>
      </w:r>
      <w:r>
        <w:rPr>
          <w:rFonts w:ascii="Calibri" w:hAnsi="Calibri"/>
          <w:color w:val="333333"/>
          <w:sz w:val="20"/>
        </w:rPr>
        <w:t xml:space="preserve"> Assumes efficient working capital management, with improvements in inventory turnover and receivables realization, particularly in the real estate segment.</w:t>
      </w:r>
    </w:p>
    <w:p>
      <w:pPr>
        <w:pStyle w:val="ListBullet"/>
        <w:spacing w:after="80"/>
      </w:pPr>
      <w:r>
        <w:rPr>
          <w:rFonts w:ascii="Calibri" w:hAnsi="Calibri"/>
          <w:color w:val="333333"/>
          <w:sz w:val="20"/>
        </w:rPr>
        <w:t xml:space="preserve">  </w:t>
      </w:r>
      <w:r>
        <w:rPr>
          <w:rFonts w:ascii="Calibri" w:hAnsi="Calibri"/>
          <w:b/>
          <w:color w:val="333333"/>
          <w:sz w:val="20"/>
        </w:rPr>
        <w:t>Tax Rate:</w:t>
      </w:r>
      <w:r>
        <w:rPr>
          <w:rFonts w:ascii="Calibri" w:hAnsi="Calibri"/>
          <w:color w:val="333333"/>
          <w:sz w:val="20"/>
        </w:rPr>
        <w:t xml:space="preserve"> Assumes an effective tax rate reflecting the new tax regime and potential utilization of deferred tax assets.</w:t>
      </w:r>
    </w:p>
    <w:p>
      <w:pPr>
        <w:pStyle w:val="ListBullet"/>
        <w:spacing w:after="80"/>
      </w:pPr>
      <w:r>
        <w:rPr>
          <w:rFonts w:ascii="Calibri" w:hAnsi="Calibri"/>
          <w:color w:val="333333"/>
          <w:sz w:val="20"/>
        </w:rPr>
        <w:t xml:space="preserve">  </w:t>
      </w:r>
      <w:r>
        <w:rPr>
          <w:rFonts w:ascii="Calibri" w:hAnsi="Calibri"/>
          <w:b/>
          <w:color w:val="333333"/>
          <w:sz w:val="20"/>
        </w:rPr>
        <w:t>Share Count:</w:t>
      </w:r>
      <w:r>
        <w:rPr>
          <w:rFonts w:ascii="Calibri" w:hAnsi="Calibri"/>
          <w:color w:val="333333"/>
          <w:sz w:val="20"/>
        </w:rPr>
        <w:t xml:space="preserve"> Assumes a stable share count, with no significant dilution from equity issuance.</w:t>
      </w:r>
    </w:p>
    <w:p>
      <w:pPr>
        <w:pStyle w:val="Heading1"/>
      </w:pPr>
      <w:r>
        <w:rPr>
          <w:rFonts w:ascii="Calibri" w:hAnsi="Calibri"/>
          <w:color w:val="1F5F8B"/>
          <w:sz w:val="32"/>
        </w:rPr>
        <w:t>8. Capex &amp; Management Guidance Summary</w:t>
      </w:r>
    </w:p>
    <w:p>
      <w:pPr>
        <w:spacing w:before="0" w:after="120"/>
      </w:pP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1F5F8B"/>
          </w:tcPr>
          <w:p>
            <w:pPr>
              <w:spacing w:before="40" w:after="40"/>
            </w:pPr>
            <w:r>
              <w:rPr>
                <w:rFonts w:ascii="Calibri" w:hAnsi="Calibri"/>
                <w:b/>
                <w:color w:val="FFFFFF"/>
                <w:sz w:val="18"/>
              </w:rPr>
              <w:t>Guidance Parameter</w:t>
            </w:r>
          </w:p>
        </w:tc>
        <w:tc>
          <w:tcPr>
            <w:tcW w:type="dxa" w:w="2880"/>
            <w:shd w:fill="1F5F8B"/>
          </w:tcPr>
          <w:p>
            <w:pPr>
              <w:spacing w:before="40" w:after="40"/>
            </w:pPr>
            <w:r>
              <w:rPr>
                <w:rFonts w:ascii="Calibri" w:hAnsi="Calibri"/>
                <w:b/>
                <w:color w:val="FFFFFF"/>
                <w:sz w:val="18"/>
              </w:rPr>
              <w:t>Target</w:t>
            </w:r>
          </w:p>
        </w:tc>
        <w:tc>
          <w:tcPr>
            <w:tcW w:type="dxa" w:w="2880"/>
            <w:shd w:fill="1F5F8B"/>
          </w:tcPr>
          <w:p>
            <w:pPr>
              <w:spacing w:before="40" w:after="40"/>
            </w:pPr>
            <w:r>
              <w:rPr>
                <w:rFonts w:ascii="Calibri" w:hAnsi="Calibri"/>
                <w:b/>
                <w:color w:val="FFFFFF"/>
                <w:sz w:val="18"/>
              </w:rPr>
              <w:t>Timeline</w:t>
            </w:r>
          </w:p>
        </w:tc>
      </w:tr>
      <w:tr>
        <w:tc>
          <w:tcPr>
            <w:tcW w:type="dxa" w:w="2880"/>
          </w:tcPr>
          <w:p>
            <w:pPr>
              <w:spacing w:before="40" w:after="40"/>
            </w:pPr>
            <w:r>
              <w:rPr>
                <w:rFonts w:ascii="Calibri" w:hAnsi="Calibri"/>
                <w:b/>
                <w:sz w:val="18"/>
              </w:rPr>
              <w:t>Revenue Target</w:t>
            </w:r>
          </w:p>
        </w:tc>
        <w:tc>
          <w:tcPr>
            <w:tcW w:type="dxa" w:w="2880"/>
          </w:tcPr>
          <w:p>
            <w:pPr>
              <w:spacing w:before="40" w:after="40"/>
            </w:pPr>
            <w:r>
              <w:rPr>
                <w:rFonts w:ascii="Calibri" w:hAnsi="Calibri"/>
                <w:sz w:val="18"/>
              </w:rPr>
              <w:t>~₹2,150 Cr</w:t>
            </w:r>
          </w:p>
        </w:tc>
        <w:tc>
          <w:tcPr>
            <w:tcW w:type="dxa" w:w="2880"/>
          </w:tcPr>
          <w:p>
            <w:pPr>
              <w:spacing w:before="40" w:after="40"/>
            </w:pPr>
            <w:r>
              <w:rPr>
                <w:rFonts w:ascii="Calibri" w:hAnsi="Calibri"/>
                <w:sz w:val="18"/>
              </w:rPr>
              <w:t>FY29E</w:t>
            </w:r>
          </w:p>
        </w:tc>
      </w:tr>
      <w:tr>
        <w:tc>
          <w:tcPr>
            <w:tcW w:type="dxa" w:w="2880"/>
            <w:shd w:fill="E8F0FE"/>
          </w:tcPr>
          <w:p>
            <w:pPr>
              <w:spacing w:before="40" w:after="40"/>
            </w:pPr>
            <w:r>
              <w:rPr>
                <w:rFonts w:ascii="Calibri" w:hAnsi="Calibri"/>
                <w:b/>
                <w:sz w:val="18"/>
              </w:rPr>
              <w:t>Revenue CAGR</w:t>
            </w:r>
          </w:p>
        </w:tc>
        <w:tc>
          <w:tcPr>
            <w:tcW w:type="dxa" w:w="2880"/>
            <w:shd w:fill="E8F0FE"/>
          </w:tcPr>
          <w:p>
            <w:pPr>
              <w:spacing w:before="40" w:after="40"/>
            </w:pPr>
            <w:r>
              <w:rPr>
                <w:rFonts w:ascii="Calibri" w:hAnsi="Calibri"/>
                <w:sz w:val="18"/>
              </w:rPr>
              <w:t>~5-7% (FY26-FY29E)</w:t>
            </w:r>
          </w:p>
        </w:tc>
        <w:tc>
          <w:tcPr>
            <w:tcW w:type="dxa" w:w="2880"/>
            <w:shd w:fill="E8F0FE"/>
          </w:tcPr>
          <w:p>
            <w:pPr>
              <w:spacing w:before="40" w:after="40"/>
            </w:pPr>
            <w:r>
              <w:rPr>
                <w:rFonts w:ascii="Calibri" w:hAnsi="Calibri"/>
                <w:sz w:val="18"/>
              </w:rPr>
              <w:t>FY26-FY29E</w:t>
            </w:r>
          </w:p>
        </w:tc>
      </w:tr>
      <w:tr>
        <w:tc>
          <w:tcPr>
            <w:tcW w:type="dxa" w:w="2880"/>
          </w:tcPr>
          <w:p>
            <w:pPr>
              <w:spacing w:before="40" w:after="40"/>
            </w:pPr>
            <w:r>
              <w:rPr>
                <w:rFonts w:ascii="Calibri" w:hAnsi="Calibri"/>
                <w:b/>
                <w:sz w:val="18"/>
              </w:rPr>
              <w:t>Key Segment Targets</w:t>
            </w:r>
          </w:p>
        </w:tc>
        <w:tc>
          <w:tcPr>
            <w:tcW w:type="dxa" w:w="2880"/>
          </w:tcPr>
          <w:p>
            <w:pPr>
              <w:spacing w:before="40" w:after="40"/>
            </w:pPr>
            <w:r>
              <w:rPr>
                <w:rFonts w:ascii="Calibri" w:hAnsi="Calibri"/>
                <w:sz w:val="18"/>
              </w:rPr>
              <w:t>Real Estate: ~₹300-400 Cr annually by FY29E; Polyester: Stable growth with margin improvement.</w:t>
            </w:r>
          </w:p>
        </w:tc>
        <w:tc>
          <w:tcPr>
            <w:tcW w:type="dxa" w:w="2880"/>
          </w:tcPr>
          <w:p>
            <w:pPr>
              <w:spacing w:before="40" w:after="40"/>
            </w:pPr>
            <w:r>
              <w:rPr>
                <w:rFonts w:ascii="Calibri" w:hAnsi="Calibri"/>
                <w:sz w:val="18"/>
              </w:rPr>
              <w:t>FY29E</w:t>
            </w:r>
          </w:p>
        </w:tc>
      </w:tr>
      <w:tr>
        <w:tc>
          <w:tcPr>
            <w:tcW w:type="dxa" w:w="2880"/>
            <w:shd w:fill="E8F0FE"/>
          </w:tcPr>
          <w:p>
            <w:pPr>
              <w:spacing w:before="40" w:after="40"/>
            </w:pPr>
            <w:r>
              <w:rPr>
                <w:rFonts w:ascii="Calibri" w:hAnsi="Calibri"/>
                <w:b/>
                <w:sz w:val="18"/>
              </w:rPr>
              <w:t>EBITDA Margin Target</w:t>
            </w:r>
          </w:p>
        </w:tc>
        <w:tc>
          <w:tcPr>
            <w:tcW w:type="dxa" w:w="2880"/>
            <w:shd w:fill="E8F0FE"/>
          </w:tcPr>
          <w:p>
            <w:pPr>
              <w:spacing w:before="40" w:after="40"/>
            </w:pPr>
            <w:r>
              <w:rPr>
                <w:rFonts w:ascii="Calibri" w:hAnsi="Calibri"/>
                <w:sz w:val="18"/>
              </w:rPr>
              <w:t>~8.1%</w:t>
            </w:r>
          </w:p>
        </w:tc>
        <w:tc>
          <w:tcPr>
            <w:tcW w:type="dxa" w:w="2880"/>
            <w:shd w:fill="E8F0FE"/>
          </w:tcPr>
          <w:p>
            <w:pPr>
              <w:spacing w:before="40" w:after="40"/>
            </w:pPr>
            <w:r>
              <w:rPr>
                <w:rFonts w:ascii="Calibri" w:hAnsi="Calibri"/>
                <w:sz w:val="18"/>
              </w:rPr>
              <w:t>FY29E</w:t>
            </w:r>
          </w:p>
        </w:tc>
      </w:tr>
      <w:tr>
        <w:tc>
          <w:tcPr>
            <w:tcW w:type="dxa" w:w="2880"/>
          </w:tcPr>
          <w:p>
            <w:pPr>
              <w:spacing w:before="40" w:after="40"/>
            </w:pPr>
            <w:r>
              <w:rPr>
                <w:rFonts w:ascii="Calibri" w:hAnsi="Calibri"/>
                <w:b/>
                <w:sz w:val="18"/>
              </w:rPr>
              <w:t>Capex Plans</w:t>
            </w:r>
          </w:p>
        </w:tc>
        <w:tc>
          <w:tcPr>
            <w:tcW w:type="dxa" w:w="2880"/>
          </w:tcPr>
          <w:p>
            <w:pPr>
              <w:spacing w:before="40" w:after="40"/>
            </w:pPr>
            <w:r>
              <w:rPr>
                <w:rFonts w:ascii="Calibri" w:hAnsi="Calibri"/>
                <w:sz w:val="18"/>
              </w:rPr>
              <w:t>Moderate capex for polyester plant modernization and real estate project development.</w:t>
            </w:r>
          </w:p>
        </w:tc>
        <w:tc>
          <w:tcPr>
            <w:tcW w:type="dxa" w:w="2880"/>
          </w:tcPr>
          <w:p>
            <w:pPr>
              <w:spacing w:before="40" w:after="40"/>
            </w:pPr>
            <w:r>
              <w:rPr>
                <w:rFonts w:ascii="Calibri" w:hAnsi="Calibri"/>
                <w:sz w:val="18"/>
              </w:rPr>
              <w:t>Ongoing</w:t>
            </w:r>
          </w:p>
        </w:tc>
      </w:tr>
      <w:tr>
        <w:tc>
          <w:tcPr>
            <w:tcW w:type="dxa" w:w="2880"/>
            <w:shd w:fill="E8F0FE"/>
          </w:tcPr>
          <w:p>
            <w:pPr>
              <w:spacing w:before="40" w:after="40"/>
            </w:pPr>
            <w:r>
              <w:rPr>
                <w:rFonts w:ascii="Calibri" w:hAnsi="Calibri"/>
                <w:b/>
                <w:sz w:val="18"/>
              </w:rPr>
              <w:t>Dividend Policy</w:t>
            </w:r>
          </w:p>
        </w:tc>
        <w:tc>
          <w:tcPr>
            <w:tcW w:type="dxa" w:w="2880"/>
            <w:shd w:fill="E8F0FE"/>
          </w:tcPr>
          <w:p>
            <w:pPr>
              <w:spacing w:before="40" w:after="40"/>
            </w:pPr>
            <w:r>
              <w:rPr>
                <w:rFonts w:ascii="Calibri" w:hAnsi="Calibri"/>
                <w:sz w:val="18"/>
              </w:rPr>
              <w:t>No dividend declared in FY25; policy to be reviewed based on future profitability and cash flows.</w:t>
            </w:r>
          </w:p>
        </w:tc>
        <w:tc>
          <w:tcPr>
            <w:tcW w:type="dxa" w:w="2880"/>
            <w:shd w:fill="E8F0FE"/>
          </w:tcPr>
          <w:p>
            <w:pPr>
              <w:spacing w:before="40" w:after="40"/>
            </w:pPr>
            <w:r>
              <w:rPr>
                <w:rFonts w:ascii="Calibri" w:hAnsi="Calibri"/>
                <w:sz w:val="18"/>
              </w:rPr>
              <w:t>N.A.</w:t>
            </w:r>
          </w:p>
        </w:tc>
      </w:tr>
      <w:tr>
        <w:tc>
          <w:tcPr>
            <w:tcW w:type="dxa" w:w="2880"/>
          </w:tcPr>
          <w:p>
            <w:pPr>
              <w:spacing w:before="40" w:after="40"/>
            </w:pPr>
            <w:r>
              <w:rPr>
                <w:rFonts w:ascii="Calibri" w:hAnsi="Calibri"/>
                <w:b/>
                <w:sz w:val="18"/>
              </w:rPr>
              <w:t>Debt Status</w:t>
            </w:r>
          </w:p>
        </w:tc>
        <w:tc>
          <w:tcPr>
            <w:tcW w:type="dxa" w:w="2880"/>
          </w:tcPr>
          <w:p>
            <w:pPr>
              <w:spacing w:before="40" w:after="40"/>
            </w:pPr>
            <w:r>
              <w:rPr>
                <w:rFonts w:ascii="Calibri" w:hAnsi="Calibri"/>
                <w:sz w:val="18"/>
              </w:rPr>
              <w:t>Debt-free</w:t>
            </w:r>
          </w:p>
        </w:tc>
        <w:tc>
          <w:tcPr>
            <w:tcW w:type="dxa" w:w="2880"/>
          </w:tcPr>
          <w:p>
            <w:pPr>
              <w:spacing w:before="40" w:after="40"/>
            </w:pPr>
            <w:r>
              <w:rPr>
                <w:rFonts w:ascii="Calibri" w:hAnsi="Calibri"/>
                <w:sz w:val="18"/>
              </w:rPr>
              <w:t>Current and projected</w:t>
            </w:r>
          </w:p>
        </w:tc>
      </w:tr>
    </w:tbl>
    <w:p/>
    <w:p>
      <w:pPr>
        <w:pStyle w:val="Heading1"/>
      </w:pPr>
      <w:r>
        <w:rPr>
          <w:rFonts w:ascii="Calibri" w:hAnsi="Calibri"/>
          <w:color w:val="1F5F8B"/>
          <w:sz w:val="32"/>
        </w:rPr>
        <w:t>9. Conclusion &amp; Investment Summary</w:t>
      </w:r>
    </w:p>
    <w:p>
      <w:pPr>
        <w:spacing w:before="0" w:after="120"/>
      </w:pPr>
    </w:p>
    <w:p>
      <w:pPr>
        <w:pStyle w:val="Heading2"/>
      </w:pPr>
      <w:r>
        <w:rPr>
          <w:rFonts w:ascii="Calibri" w:hAnsi="Calibri"/>
          <w:color w:val="1F5F8B"/>
          <w:sz w:val="26"/>
        </w:rPr>
        <w:t>Bull Case</w:t>
      </w:r>
    </w:p>
    <w:p>
      <w:pPr>
        <w:spacing w:after="80"/>
      </w:pPr>
      <w:r>
        <w:rPr>
          <w:rFonts w:ascii="Calibri" w:hAnsi="Calibri"/>
          <w:color w:val="333333"/>
          <w:sz w:val="20"/>
        </w:rPr>
        <w:t>The bull case for Bombay Dyeing &amp; Manufacturing Company Ltd. is predicated on its successful transformation into a financially robust entity with a strong focus on its high-potential real estate business, complemented by a stable and improving polyester segment. The company's debt-free status, coupled with a significant land bank in prime Mumbai locations, provides a strong foundation for substantial value creation through ongoing and future real estate developments. Management's strategic execution, demonstrated by the successful monetization of assets and focus on operational efficiencies, suggests a clear path towards sustained growth and profitability. The potential for re-rating based on the unlocking of real estate value, coupled with improvements in the polyester segment and prudent financial management, presents a compelling investment thesis for long-term investors seeking exposure to India's growth story in real estate and manufacturing.</w:t>
      </w:r>
    </w:p>
    <w:p>
      <w:pPr>
        <w:pStyle w:val="Heading2"/>
      </w:pPr>
      <w:r>
        <w:rPr>
          <w:rFonts w:ascii="Calibri" w:hAnsi="Calibri"/>
          <w:color w:val="1F5F8B"/>
          <w:sz w:val="26"/>
        </w:rPr>
        <w:t>Bear Case</w:t>
      </w:r>
    </w:p>
    <w:p>
      <w:pPr>
        <w:spacing w:after="80"/>
      </w:pPr>
      <w:r>
        <w:rPr>
          <w:rFonts w:ascii="Calibri" w:hAnsi="Calibri"/>
          <w:color w:val="333333"/>
          <w:sz w:val="20"/>
        </w:rPr>
        <w:t>The bear case for Bombay Dyeing &amp; Manufacturing Company Ltd. centers on the inherent risks associated with its business segments and potential governance concerns. The real estate sector is cyclical and subject to execution risks, regulatory changes, and market downturns, which could impact project timelines and profitability. The polyester business faces margin pressures due to volatile raw material prices and intense competition. Furthermore, the ongoing SEBI matter and past regulatory penalties, despite settlement or appeal, cast a shadow on governance, requiring close monitoring. The company's reliance on management judgment for key estimates, such as inventory valuation and tax provisions, also presents a risk. Any significant delays in real estate project execution or adverse outcomes in ongoing legal matters could materially impact the company's financial performance and investor sentiment.</w:t>
      </w:r>
    </w:p>
    <w:p>
      <w:pPr>
        <w:pStyle w:val="Heading2"/>
      </w:pPr>
      <w:r>
        <w:rPr>
          <w:rFonts w:ascii="Calibri" w:hAnsi="Calibri"/>
          <w:color w:val="1F5F8B"/>
          <w:sz w:val="26"/>
        </w:rPr>
        <w:t>Key Monitorables</w:t>
      </w:r>
    </w:p>
    <w:p>
      <w:pPr>
        <w:pStyle w:val="ListNumber"/>
        <w:spacing w:after="80"/>
      </w:pPr>
      <w:r>
        <w:rPr>
          <w:rFonts w:ascii="Calibri" w:hAnsi="Calibri"/>
          <w:b/>
          <w:color w:val="333333"/>
          <w:sz w:val="20"/>
        </w:rPr>
        <w:t>Real Estate Project Execution:</w:t>
      </w:r>
      <w:r>
        <w:rPr>
          <w:rFonts w:ascii="Calibri" w:hAnsi="Calibri"/>
          <w:color w:val="333333"/>
          <w:sz w:val="20"/>
        </w:rPr>
        <w:t xml:space="preserve"> Timely completion and sales velocity of the ICC Phase 3 project and any new project launches.</w:t>
      </w:r>
    </w:p>
    <w:p>
      <w:pPr>
        <w:pStyle w:val="ListNumber"/>
        <w:spacing w:after="80"/>
      </w:pPr>
      <w:r>
        <w:rPr>
          <w:rFonts w:ascii="Calibri" w:hAnsi="Calibri"/>
          <w:b/>
          <w:color w:val="333333"/>
          <w:sz w:val="20"/>
        </w:rPr>
        <w:t>Polyester Segment Performance:</w:t>
      </w:r>
      <w:r>
        <w:rPr>
          <w:rFonts w:ascii="Calibri" w:hAnsi="Calibri"/>
          <w:color w:val="333333"/>
          <w:sz w:val="20"/>
        </w:rPr>
        <w:t xml:space="preserve"> Monitoring raw material price volatility, capacity utilization, and margin trends in the PSF business.</w:t>
      </w:r>
    </w:p>
    <w:p>
      <w:pPr>
        <w:pStyle w:val="ListNumber"/>
        <w:spacing w:after="80"/>
      </w:pPr>
      <w:r>
        <w:rPr>
          <w:rFonts w:ascii="Calibri" w:hAnsi="Calibri"/>
          <w:b/>
          <w:color w:val="333333"/>
          <w:sz w:val="20"/>
        </w:rPr>
        <w:t>SEBI Matter Resolution:</w:t>
      </w:r>
      <w:r>
        <w:rPr>
          <w:rFonts w:ascii="Calibri" w:hAnsi="Calibri"/>
          <w:color w:val="333333"/>
          <w:sz w:val="20"/>
        </w:rPr>
        <w:t xml:space="preserve"> The outcome of the appeal against the SEBI order and any further regulatory developments.</w:t>
      </w:r>
    </w:p>
    <w:p>
      <w:pPr>
        <w:pStyle w:val="ListNumber"/>
        <w:spacing w:after="80"/>
      </w:pPr>
      <w:r>
        <w:rPr>
          <w:rFonts w:ascii="Calibri" w:hAnsi="Calibri"/>
          <w:b/>
          <w:color w:val="333333"/>
          <w:sz w:val="20"/>
        </w:rPr>
        <w:t>Debt Management:</w:t>
      </w:r>
      <w:r>
        <w:rPr>
          <w:rFonts w:ascii="Calibri" w:hAnsi="Calibri"/>
          <w:color w:val="333333"/>
          <w:sz w:val="20"/>
        </w:rPr>
        <w:t xml:space="preserve"> Maintaining a debt-free status and prudent deployment of cash reserves.</w:t>
      </w:r>
    </w:p>
    <w:p>
      <w:pPr>
        <w:pStyle w:val="ListNumber"/>
        <w:spacing w:after="80"/>
      </w:pPr>
      <w:r>
        <w:rPr>
          <w:rFonts w:ascii="Calibri" w:hAnsi="Calibri"/>
          <w:b/>
          <w:color w:val="333333"/>
          <w:sz w:val="20"/>
        </w:rPr>
        <w:t>Litigation Impact:</w:t>
      </w:r>
      <w:r>
        <w:rPr>
          <w:rFonts w:ascii="Calibri" w:hAnsi="Calibri"/>
          <w:color w:val="333333"/>
          <w:sz w:val="20"/>
        </w:rPr>
        <w:t xml:space="preserve"> The financial impact of ongoing tax and other litigations.</w:t>
      </w:r>
    </w:p>
    <w:p>
      <w:pPr>
        <w:pStyle w:val="ListNumber"/>
        <w:spacing w:after="80"/>
      </w:pPr>
      <w:r>
        <w:rPr>
          <w:rFonts w:ascii="Calibri" w:hAnsi="Calibri"/>
          <w:b/>
          <w:color w:val="333333"/>
          <w:sz w:val="20"/>
        </w:rPr>
        <w:t>Management Quality &amp; Strategy Execution:</w:t>
      </w:r>
      <w:r>
        <w:rPr>
          <w:rFonts w:ascii="Calibri" w:hAnsi="Calibri"/>
          <w:color w:val="333333"/>
          <w:sz w:val="20"/>
        </w:rPr>
        <w:t xml:space="preserve"> Continued effective leadership and successful implementation of growth strategies across all business verticals.</w:t>
      </w:r>
    </w:p>
    <w:p>
      <w:pPr>
        <w:pStyle w:val="ListNumber"/>
        <w:spacing w:after="80"/>
      </w:pPr>
      <w:r>
        <w:rPr>
          <w:rFonts w:ascii="Calibri" w:hAnsi="Calibri"/>
          <w:b/>
          <w:color w:val="333333"/>
          <w:sz w:val="20"/>
        </w:rPr>
        <w:t>Dividend Payouts:</w:t>
      </w:r>
      <w:r>
        <w:rPr>
          <w:rFonts w:ascii="Calibri" w:hAnsi="Calibri"/>
          <w:color w:val="333333"/>
          <w:sz w:val="20"/>
        </w:rPr>
        <w:t xml:space="preserve"> Future decisions on dividend distribution as profitability improves.</w:t>
      </w:r>
    </w:p>
    <w:p>
      <w:pPr>
        <w:pStyle w:val="ListNumber"/>
        <w:spacing w:after="80"/>
      </w:pPr>
      <w:r>
        <w:rPr>
          <w:rFonts w:ascii="Calibri" w:hAnsi="Calibri"/>
          <w:b/>
          <w:color w:val="333333"/>
          <w:sz w:val="20"/>
        </w:rPr>
        <w:t>Retail Segment Growth:</w:t>
      </w:r>
      <w:r>
        <w:rPr>
          <w:rFonts w:ascii="Calibri" w:hAnsi="Calibri"/>
          <w:color w:val="333333"/>
          <w:sz w:val="20"/>
        </w:rPr>
        <w:t xml:space="preserve"> Performance and expansion of the "Home &amp; You" retail business.</w:t>
      </w:r>
    </w:p>
    <w:p>
      <w:pPr>
        <w:pStyle w:val="ListNumber"/>
        <w:spacing w:after="80"/>
      </w:pPr>
      <w:r>
        <w:rPr>
          <w:rFonts w:ascii="Calibri" w:hAnsi="Calibri"/>
          <w:b/>
          <w:color w:val="333333"/>
          <w:sz w:val="20"/>
        </w:rPr>
        <w:t>Investment Portfolio Performance:</w:t>
      </w:r>
      <w:r>
        <w:rPr>
          <w:rFonts w:ascii="Calibri" w:hAnsi="Calibri"/>
          <w:color w:val="333333"/>
          <w:sz w:val="20"/>
        </w:rPr>
        <w:t xml:space="preserve"> Returns generated from the company's significant investments.</w:t>
      </w:r>
    </w:p>
    <w:p>
      <w:pPr>
        <w:pStyle w:val="ListNumber"/>
        <w:spacing w:after="80"/>
      </w:pPr>
      <w:r>
        <w:rPr>
          <w:rFonts w:ascii="Calibri" w:hAnsi="Calibri"/>
          <w:b/>
          <w:color w:val="333333"/>
          <w:sz w:val="20"/>
        </w:rPr>
        <w:t>Corporate Governance Practices:</w:t>
      </w:r>
      <w:r>
        <w:rPr>
          <w:rFonts w:ascii="Calibri" w:hAnsi="Calibri"/>
          <w:color w:val="333333"/>
          <w:sz w:val="20"/>
        </w:rPr>
        <w:t xml:space="preserve"> Ongoing adherence to high governance standards and transparency in related-party transactions.</w:t>
      </w:r>
    </w:p>
    <w:p>
      <w:pPr>
        <w:spacing w:after="80"/>
      </w:pPr>
      <w:r>
        <w:rPr>
          <w:rFonts w:ascii="Calibri" w:hAnsi="Calibri"/>
          <w:b/>
          <w:color w:val="333333"/>
          <w:sz w:val="20"/>
        </w:rPr>
        <w:t>Disclaimer:</w:t>
      </w:r>
      <w:r>
        <w:rPr>
          <w:rFonts w:ascii="Calibri" w:hAnsi="Calibri"/>
          <w:color w:val="333333"/>
          <w:sz w:val="20"/>
        </w:rPr>
        <w:t xml:space="preserve"> This analysis is for informational purposes only and does not constitute investment advice. Please consult a registered financial advisor before making investment decisions.</w:t>
      </w:r>
    </w:p>
    <w:sectPr w:rsidR="00FC693F" w:rsidRPr="0006063C" w:rsidSect="00034616">
      <w:headerReference w:type="default" r:id="rId9"/>
      <w:footerReference w:type="default" r:id="rId10"/>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4"/>
      </w:rPr>
      <w:t>Disclaimer: For informational purposes only. Not investment advice.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66666"/>
        <w:sz w:val="16"/>
      </w:rPr>
      <w:t>Bombay Dyeing &amp; Manufacturing Company Ltd | Comprehensive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5F8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5F8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5F8B"/>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5F8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