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1F5F8B"/>
          <w:sz w:val="64"/>
        </w:rPr>
        <w:t>INTERNATIONAL GEMMOLOGICAL INSTITUTE (INDIA) LIMITED</w:t>
      </w:r>
    </w:p>
    <w:p>
      <w:pPr>
        <w:jc w:val="center"/>
      </w:pPr>
      <w:r>
        <w:rPr>
          <w:color w:val="1F5F8B"/>
          <w:sz w:val="16"/>
        </w:rPr>
        <w:t>____________________________________________________________</w:t>
      </w:r>
    </w:p>
    <w:p>
      <w:pPr>
        <w:spacing w:before="480"/>
        <w:jc w:val="center"/>
      </w:pPr>
      <w:r>
        <w:rPr>
          <w:rFonts w:ascii="Calibri" w:hAnsi="Calibri"/>
          <w:color w:val="1F5F8B"/>
          <w:sz w:val="44"/>
        </w:rPr>
        <w:t>Comprehensive Company Analysis</w:t>
      </w:r>
    </w:p>
    <w:p>
      <w:pPr>
        <w:spacing w:before="160"/>
        <w:jc w:val="center"/>
      </w:pPr>
      <w:r>
        <w:rPr>
          <w:rFonts w:ascii="Calibri" w:hAnsi="Calibri"/>
          <w:color w:val="666666"/>
          <w:sz w:val="28"/>
        </w:rPr>
        <w:t>Investment Research Note</w:t>
      </w:r>
    </w:p>
    <w:p>
      <w:pPr>
        <w:spacing w:before="960"/>
        <w:jc w:val="center"/>
      </w:pPr>
      <w:r>
        <w:rPr>
          <w:rFonts w:ascii="Calibri" w:hAnsi="Calibri"/>
          <w:color w:val="666666"/>
          <w:sz w:val="24"/>
        </w:rPr>
        <w:t>Date: May 21, 2026</w:t>
      </w:r>
    </w:p>
    <w:p>
      <w:r>
        <w:br w:type="page"/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Error creating deep dive: no response from Gemini</w:t>
      </w:r>
    </w:p>
    <w:p>
      <w:pPr>
        <w:pStyle w:val="Heading2"/>
      </w:pPr>
      <w:r>
        <w:rPr>
          <w:rFonts w:ascii="Calibri" w:hAnsi="Calibri"/>
          <w:color w:val="1F5F8B"/>
          <w:sz w:val="26"/>
        </w:rPr>
        <w:t>3.1 Consolidated Profit &amp; Loss Statement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2022</w:t>
            </w:r>
          </w:p>
        </w:tc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2023</w:t>
            </w:r>
          </w:p>
        </w:tc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2024</w:t>
            </w:r>
          </w:p>
        </w:tc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2025</w:t>
            </w:r>
          </w:p>
        </w:tc>
        <w:tc>
          <w:tcPr>
            <w:tcW w:type="dxa" w:w="144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TTM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Sales+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491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639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1,053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1,229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1,293</w:t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Expenses+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156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188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453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492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516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Operating Profit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737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777</w:t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OPM 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68%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71%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57%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Income+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56</w:t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Interest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Depreciation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</w:t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Profit before tax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329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444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585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730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777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Tax 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Net Profit+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242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325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427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532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570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EPS in Rs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9.89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12.30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13.20</w:t>
            </w:r>
          </w:p>
        </w:tc>
      </w:tr>
      <w:tr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Dividend Payout 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44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F8B"/>
          <w:sz w:val="26"/>
        </w:rPr>
        <w:t>3.2 Consolidated Balance Sheet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2022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2023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2024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Equity Capital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86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Reserves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339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509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976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1,323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Borrowings+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143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Liabilities+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296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Total Liabilities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1,504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1,755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Fixed Assets+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110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384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CWIP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59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Investments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Assets+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1,084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1,286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Total Assets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603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1,504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1,755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F8B"/>
          <w:sz w:val="26"/>
        </w:rPr>
        <w:t>3.3 Consolidated Cash Flow Statement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2022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2023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2024</w:t>
            </w:r>
          </w:p>
        </w:tc>
        <w:tc>
          <w:tcPr>
            <w:tcW w:type="dxa" w:w="1728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 2025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Operating Activity+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393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502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Investing Activity+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-43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-85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-1,634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-307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Financing Activity+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-154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-162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1,188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-248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Net Cash Flow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55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-52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Free Cash Flow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439</w:t>
            </w:r>
          </w:p>
        </w:tc>
      </w:tr>
      <w:tr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CFO/OP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87%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99%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91%</w:t>
            </w:r>
          </w:p>
        </w:tc>
        <w:tc>
          <w:tcPr>
            <w:tcW w:type="dxa" w:w="1728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4"/>
      </w:rPr>
      <w:t>Disclaimer: For informational purposes only. Not investment advice.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6"/>
      </w:rPr>
      <w:t>International Gemmological Institute (India) Limited | Comprehensive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8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5F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5F8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