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jc w:val="center"/>
      </w:pPr>
      <w:r>
        <w:rPr>
          <w:rFonts w:ascii="Calibri" w:hAnsi="Calibri"/>
          <w:b/>
          <w:color w:val="1F5F8B"/>
          <w:sz w:val="64"/>
        </w:rPr>
        <w:t>SANGHVI MOVERS LTD</w:t>
      </w:r>
    </w:p>
    <w:p>
      <w:pPr>
        <w:jc w:val="center"/>
      </w:pPr>
      <w:r>
        <w:rPr>
          <w:color w:val="1F5F8B"/>
          <w:sz w:val="16"/>
        </w:rPr>
        <w:t>____________________________________________________________</w:t>
      </w:r>
    </w:p>
    <w:p>
      <w:pPr>
        <w:spacing w:before="480"/>
        <w:jc w:val="center"/>
      </w:pPr>
      <w:r>
        <w:rPr>
          <w:rFonts w:ascii="Calibri" w:hAnsi="Calibri"/>
          <w:color w:val="1F5F8B"/>
          <w:sz w:val="44"/>
        </w:rPr>
        <w:t>Comprehensive Company Analysis</w:t>
      </w:r>
    </w:p>
    <w:p>
      <w:pPr>
        <w:spacing w:before="160"/>
        <w:jc w:val="center"/>
      </w:pPr>
      <w:r>
        <w:rPr>
          <w:rFonts w:ascii="Calibri" w:hAnsi="Calibri"/>
          <w:color w:val="666666"/>
          <w:sz w:val="28"/>
        </w:rPr>
        <w:t>Investment Research Note</w:t>
      </w:r>
    </w:p>
    <w:p>
      <w:pPr>
        <w:spacing w:before="960"/>
        <w:jc w:val="center"/>
      </w:pPr>
      <w:r>
        <w:rPr>
          <w:rFonts w:ascii="Calibri" w:hAnsi="Calibri"/>
          <w:color w:val="666666"/>
          <w:sz w:val="24"/>
        </w:rPr>
        <w:t>Date: April 20, 2026</w:t>
      </w:r>
    </w:p>
    <w:p>
      <w:r>
        <w:br w:type="page"/>
      </w:r>
    </w:p>
    <w:p>
      <w:pPr>
        <w:pStyle w:val="Heading1"/>
      </w:pPr>
      <w:r>
        <w:rPr>
          <w:rFonts w:ascii="Calibri" w:hAnsi="Calibri"/>
          <w:color w:val="1F5F8B"/>
          <w:sz w:val="32"/>
        </w:rPr>
        <w:t>1. Executive Summary</w:t>
      </w:r>
    </w:p>
    <w:p>
      <w:pPr>
        <w:spacing w:before="0" w:after="120"/>
      </w:pPr>
    </w:p>
    <w:p>
      <w:pPr>
        <w:spacing w:after="80"/>
      </w:pPr>
      <w:r>
        <w:rPr>
          <w:rFonts w:ascii="Calibri" w:hAnsi="Calibri"/>
          <w:color w:val="333333"/>
          <w:sz w:val="20"/>
        </w:rPr>
        <w:t>Sanghvi Movers Limited (SML) is a leading Indian company specializing in crane rental, heavy lift solutions, and turnkey EPC services, primarily for the wind energy sector. With a legacy spanning over 35 years, SML has established itself as Asia's largest and the world's fifth-largest crane rental company. The company has undergone a significant transformation in the past 1-2 years, marked by strategic restructuring, international expansion, and a renewed focus on its core competencies. This transformation has led to a more diversified revenue base, improved operational efficiency, and a strengthened balance sheet.</w:t>
      </w:r>
    </w:p>
    <w:p>
      <w:pPr>
        <w:spacing w:after="80"/>
      </w:pPr>
      <w:r>
        <w:rPr>
          <w:rFonts w:ascii="Calibri" w:hAnsi="Calibri"/>
          <w:color w:val="333333"/>
          <w:sz w:val="20"/>
        </w:rPr>
        <w:t>Key transformative events include the carving out of its renewable energy EPC business into a separate entity, Sangreen Future Renewables Private Limited, and the establishment of an overseas subsidiary, Sanghvi Movers Middle East Limited, in Saudi Arabia. These strategic moves are aimed at unlocking value and capitalizing on growth opportunities in new geographies and sectors. Post-transformation, SML has achieved a substantial revenue base, with 9M FY26 consolidated revenue standing at ₹719 Cr. The company has also focused on deleveraging, maintaining a healthy Net Debt to Equity ratio of 0.48x as of December 31, 2025. SML has outlined an ambitious "Elevate 2030" strategy, targeting ₹1,800 Cr in revenue by FY28 and aiming for EBITDA margins of 50-55% in crane rentals and 10-12% in renewables EPC.</w:t>
      </w:r>
    </w:p>
    <w:p>
      <w:pPr>
        <w:spacing w:after="80"/>
      </w:pPr>
      <w:r>
        <w:rPr>
          <w:rFonts w:ascii="Calibri" w:hAnsi="Calibri"/>
          <w:color w:val="333333"/>
          <w:sz w:val="20"/>
        </w:rPr>
        <w:t>Key growth catalysts ahead include the robust infrastructure development in India, driven by government initiatives like the National Infrastructure Pipeline and increased capital expenditure. The company's expansion into Saudi Arabia, a market with significant project pipelines under Vision 2030, presents a substantial opportunity for growth. Furthermore, the increasing demand for renewable energy projects, particularly wind energy, is expected to drive demand for SML's specialized EPC services and crane rental solutions. The company's focus on customer centricity, product portfolio diversification, and digital scalability, as outlined in its Elevate 2030 strategy, positions it well to capitalize on these opportunities and deliver sustained value to stakeholders.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1F5F8B"/>
          </w:tcPr>
          <w:p>
            <w:pPr>
              <w:spacing w:before="40" w:after="40"/>
            </w:pPr>
            <w:r>
              <w:rPr>
                <w:rFonts w:ascii="Calibri" w:hAnsi="Calibri"/>
                <w:b/>
                <w:color w:val="FFFFFF"/>
                <w:sz w:val="18"/>
              </w:rPr>
              <w:t>Metric</w:t>
            </w:r>
          </w:p>
        </w:tc>
        <w:tc>
          <w:tcPr>
            <w:tcW w:type="dxa" w:w="4320"/>
            <w:shd w:fill="1F5F8B"/>
          </w:tcPr>
          <w:p>
            <w:pPr>
              <w:spacing w:before="40" w:after="40"/>
            </w:pPr>
            <w:r>
              <w:rPr>
                <w:rFonts w:ascii="Calibri" w:hAnsi="Calibri"/>
                <w:b/>
                <w:color w:val="FFFFFF"/>
                <w:sz w:val="18"/>
              </w:rPr>
              <w:t>Value</w:t>
            </w:r>
          </w:p>
        </w:tc>
      </w:tr>
      <w:tr>
        <w:tc>
          <w:tcPr>
            <w:tcW w:type="dxa" w:w="4320"/>
          </w:tcPr>
          <w:p>
            <w:pPr>
              <w:spacing w:before="40" w:after="40"/>
            </w:pPr>
            <w:r>
              <w:rPr>
                <w:rFonts w:ascii="Calibri" w:hAnsi="Calibri"/>
                <w:b/>
                <w:sz w:val="18"/>
              </w:rPr>
              <w:t>CMP</w:t>
            </w:r>
          </w:p>
        </w:tc>
        <w:tc>
          <w:tcPr>
            <w:tcW w:type="dxa" w:w="4320"/>
          </w:tcPr>
          <w:p>
            <w:pPr>
              <w:spacing w:before="40" w:after="40"/>
            </w:pPr>
            <w:r>
              <w:rPr>
                <w:rFonts w:ascii="Calibri" w:hAnsi="Calibri"/>
                <w:sz w:val="18"/>
              </w:rPr>
              <w:t>1,076.00</w:t>
            </w:r>
          </w:p>
        </w:tc>
      </w:tr>
      <w:tr>
        <w:tc>
          <w:tcPr>
            <w:tcW w:type="dxa" w:w="4320"/>
            <w:shd w:fill="E8F0FE"/>
          </w:tcPr>
          <w:p>
            <w:pPr>
              <w:spacing w:before="40" w:after="40"/>
            </w:pPr>
            <w:r>
              <w:rPr>
                <w:rFonts w:ascii="Calibri" w:hAnsi="Calibri"/>
                <w:b/>
                <w:sz w:val="18"/>
              </w:rPr>
              <w:t>Market Cap</w:t>
            </w:r>
          </w:p>
        </w:tc>
        <w:tc>
          <w:tcPr>
            <w:tcW w:type="dxa" w:w="4320"/>
            <w:shd w:fill="E8F0FE"/>
          </w:tcPr>
          <w:p>
            <w:pPr>
              <w:spacing w:before="40" w:after="40"/>
            </w:pPr>
            <w:r>
              <w:rPr>
                <w:rFonts w:ascii="Calibri" w:hAnsi="Calibri"/>
                <w:sz w:val="18"/>
              </w:rPr>
              <w:t>9,345.00 Cr</w:t>
            </w:r>
          </w:p>
        </w:tc>
      </w:tr>
      <w:tr>
        <w:tc>
          <w:tcPr>
            <w:tcW w:type="dxa" w:w="4320"/>
          </w:tcPr>
          <w:p>
            <w:pPr>
              <w:spacing w:before="40" w:after="40"/>
            </w:pPr>
            <w:r>
              <w:rPr>
                <w:rFonts w:ascii="Calibri" w:hAnsi="Calibri"/>
                <w:b/>
                <w:sz w:val="18"/>
              </w:rPr>
              <w:t>P/E (TTM)</w:t>
            </w:r>
          </w:p>
        </w:tc>
        <w:tc>
          <w:tcPr>
            <w:tcW w:type="dxa" w:w="4320"/>
          </w:tcPr>
          <w:p>
            <w:pPr>
              <w:spacing w:before="40" w:after="40"/>
            </w:pPr>
            <w:r>
              <w:rPr>
                <w:rFonts w:ascii="Calibri" w:hAnsi="Calibri"/>
                <w:sz w:val="18"/>
              </w:rPr>
              <w:t>15.23</w:t>
            </w:r>
          </w:p>
        </w:tc>
      </w:tr>
      <w:tr>
        <w:tc>
          <w:tcPr>
            <w:tcW w:type="dxa" w:w="4320"/>
            <w:shd w:fill="E8F0FE"/>
          </w:tcPr>
          <w:p>
            <w:pPr>
              <w:spacing w:before="40" w:after="40"/>
            </w:pPr>
            <w:r>
              <w:rPr>
                <w:rFonts w:ascii="Calibri" w:hAnsi="Calibri"/>
                <w:b/>
                <w:sz w:val="18"/>
              </w:rPr>
              <w:t>P/B</w:t>
            </w:r>
          </w:p>
        </w:tc>
        <w:tc>
          <w:tcPr>
            <w:tcW w:type="dxa" w:w="4320"/>
            <w:shd w:fill="E8F0FE"/>
          </w:tcPr>
          <w:p>
            <w:pPr>
              <w:spacing w:before="40" w:after="40"/>
            </w:pPr>
            <w:r>
              <w:rPr>
                <w:rFonts w:ascii="Calibri" w:hAnsi="Calibri"/>
                <w:sz w:val="18"/>
              </w:rPr>
              <w:t>2.75</w:t>
            </w:r>
          </w:p>
        </w:tc>
      </w:tr>
      <w:tr>
        <w:tc>
          <w:tcPr>
            <w:tcW w:type="dxa" w:w="4320"/>
          </w:tcPr>
          <w:p>
            <w:pPr>
              <w:spacing w:before="40" w:after="40"/>
            </w:pPr>
            <w:r>
              <w:rPr>
                <w:rFonts w:ascii="Calibri" w:hAnsi="Calibri"/>
                <w:b/>
                <w:sz w:val="18"/>
              </w:rPr>
              <w:t>P/S (TTM)</w:t>
            </w:r>
          </w:p>
        </w:tc>
        <w:tc>
          <w:tcPr>
            <w:tcW w:type="dxa" w:w="4320"/>
          </w:tcPr>
          <w:p>
            <w:pPr>
              <w:spacing w:before="40" w:after="40"/>
            </w:pPr>
            <w:r>
              <w:rPr>
                <w:rFonts w:ascii="Calibri" w:hAnsi="Calibri"/>
                <w:sz w:val="18"/>
              </w:rPr>
              <w:t>3.15</w:t>
            </w:r>
          </w:p>
        </w:tc>
      </w:tr>
      <w:tr>
        <w:tc>
          <w:tcPr>
            <w:tcW w:type="dxa" w:w="4320"/>
            <w:shd w:fill="E8F0FE"/>
          </w:tcPr>
          <w:p>
            <w:pPr>
              <w:spacing w:before="40" w:after="40"/>
            </w:pPr>
            <w:r>
              <w:rPr>
                <w:rFonts w:ascii="Calibri" w:hAnsi="Calibri"/>
                <w:b/>
                <w:sz w:val="18"/>
              </w:rPr>
              <w:t>52-Week High/Low</w:t>
            </w:r>
          </w:p>
        </w:tc>
        <w:tc>
          <w:tcPr>
            <w:tcW w:type="dxa" w:w="4320"/>
            <w:shd w:fill="E8F0FE"/>
          </w:tcPr>
          <w:p>
            <w:pPr>
              <w:spacing w:before="40" w:after="40"/>
            </w:pPr>
            <w:r>
              <w:rPr>
                <w:rFonts w:ascii="Calibri" w:hAnsi="Calibri"/>
                <w:sz w:val="18"/>
              </w:rPr>
              <w:t>1,356.00 / 410.00</w:t>
            </w:r>
          </w:p>
        </w:tc>
      </w:tr>
      <w:tr>
        <w:tc>
          <w:tcPr>
            <w:tcW w:type="dxa" w:w="4320"/>
          </w:tcPr>
          <w:p>
            <w:pPr>
              <w:spacing w:before="40" w:after="40"/>
            </w:pPr>
            <w:r>
              <w:rPr>
                <w:rFonts w:ascii="Calibri" w:hAnsi="Calibri"/>
                <w:b/>
                <w:sz w:val="18"/>
              </w:rPr>
              <w:t>Debt-Equity Ratio</w:t>
            </w:r>
          </w:p>
        </w:tc>
        <w:tc>
          <w:tcPr>
            <w:tcW w:type="dxa" w:w="4320"/>
          </w:tcPr>
          <w:p>
            <w:pPr>
              <w:spacing w:before="40" w:after="40"/>
            </w:pPr>
            <w:r>
              <w:rPr>
                <w:rFonts w:ascii="Calibri" w:hAnsi="Calibri"/>
                <w:sz w:val="18"/>
              </w:rPr>
              <w:t>0.48</w:t>
            </w:r>
          </w:p>
        </w:tc>
      </w:tr>
      <w:tr>
        <w:tc>
          <w:tcPr>
            <w:tcW w:type="dxa" w:w="4320"/>
            <w:shd w:fill="E8F0FE"/>
          </w:tcPr>
          <w:p>
            <w:pPr>
              <w:spacing w:before="40" w:after="40"/>
            </w:pPr>
            <w:r>
              <w:rPr>
                <w:rFonts w:ascii="Calibri" w:hAnsi="Calibri"/>
                <w:b/>
                <w:sz w:val="18"/>
              </w:rPr>
              <w:t>ROE</w:t>
            </w:r>
          </w:p>
        </w:tc>
        <w:tc>
          <w:tcPr>
            <w:tcW w:type="dxa" w:w="4320"/>
            <w:shd w:fill="E8F0FE"/>
          </w:tcPr>
          <w:p>
            <w:pPr>
              <w:spacing w:before="40" w:after="40"/>
            </w:pPr>
            <w:r>
              <w:rPr>
                <w:rFonts w:ascii="Calibri" w:hAnsi="Calibri"/>
                <w:sz w:val="18"/>
              </w:rPr>
              <w:t>16.10%</w:t>
            </w:r>
          </w:p>
        </w:tc>
      </w:tr>
      <w:tr>
        <w:tc>
          <w:tcPr>
            <w:tcW w:type="dxa" w:w="4320"/>
          </w:tcPr>
          <w:p>
            <w:pPr>
              <w:spacing w:before="40" w:after="40"/>
            </w:pPr>
            <w:r>
              <w:rPr>
                <w:rFonts w:ascii="Calibri" w:hAnsi="Calibri"/>
                <w:b/>
                <w:sz w:val="18"/>
              </w:rPr>
              <w:t>ROCE</w:t>
            </w:r>
          </w:p>
        </w:tc>
        <w:tc>
          <w:tcPr>
            <w:tcW w:type="dxa" w:w="4320"/>
          </w:tcPr>
          <w:p>
            <w:pPr>
              <w:spacing w:before="40" w:after="40"/>
            </w:pPr>
            <w:r>
              <w:rPr>
                <w:rFonts w:ascii="Calibri" w:hAnsi="Calibri"/>
                <w:sz w:val="18"/>
              </w:rPr>
              <w:t>15.20%</w:t>
            </w:r>
          </w:p>
        </w:tc>
      </w:tr>
      <w:tr>
        <w:tc>
          <w:tcPr>
            <w:tcW w:type="dxa" w:w="4320"/>
            <w:shd w:fill="E8F0FE"/>
          </w:tcPr>
          <w:p>
            <w:pPr>
              <w:spacing w:before="40" w:after="40"/>
            </w:pPr>
            <w:r>
              <w:rPr>
                <w:rFonts w:ascii="Calibri" w:hAnsi="Calibri"/>
                <w:b/>
                <w:sz w:val="18"/>
              </w:rPr>
              <w:t>Promoter Holding</w:t>
            </w:r>
          </w:p>
        </w:tc>
        <w:tc>
          <w:tcPr>
            <w:tcW w:type="dxa" w:w="4320"/>
            <w:shd w:fill="E8F0FE"/>
          </w:tcPr>
          <w:p>
            <w:pPr>
              <w:spacing w:before="40" w:after="40"/>
            </w:pPr>
            <w:r>
              <w:rPr>
                <w:rFonts w:ascii="Calibri" w:hAnsi="Calibri"/>
                <w:sz w:val="18"/>
              </w:rPr>
              <w:t>47.24%</w:t>
            </w:r>
          </w:p>
        </w:tc>
      </w:tr>
      <w:tr>
        <w:tc>
          <w:tcPr>
            <w:tcW w:type="dxa" w:w="4320"/>
          </w:tcPr>
          <w:p>
            <w:pPr>
              <w:spacing w:before="40" w:after="40"/>
            </w:pPr>
            <w:r>
              <w:rPr>
                <w:rFonts w:ascii="Calibri" w:hAnsi="Calibri"/>
                <w:b/>
                <w:sz w:val="18"/>
              </w:rPr>
              <w:t>Dividend Yield</w:t>
            </w:r>
          </w:p>
        </w:tc>
        <w:tc>
          <w:tcPr>
            <w:tcW w:type="dxa" w:w="4320"/>
          </w:tcPr>
          <w:p>
            <w:pPr>
              <w:spacing w:before="40" w:after="40"/>
            </w:pPr>
            <w:r>
              <w:rPr>
                <w:rFonts w:ascii="Calibri" w:hAnsi="Calibri"/>
                <w:sz w:val="18"/>
              </w:rPr>
              <w:t>0.19%</w:t>
            </w:r>
          </w:p>
        </w:tc>
      </w:tr>
    </w:tbl>
    <w:p/>
    <w:p>
      <w:pPr>
        <w:pStyle w:val="Heading1"/>
      </w:pPr>
      <w:r>
        <w:rPr>
          <w:rFonts w:ascii="Calibri" w:hAnsi="Calibri"/>
          <w:color w:val="1F5F8B"/>
          <w:sz w:val="32"/>
        </w:rPr>
        <w:t>1A. Company Brief</w:t>
      </w:r>
    </w:p>
    <w:p>
      <w:pPr>
        <w:spacing w:before="0" w:after="120"/>
      </w:pPr>
    </w:p>
    <w:p>
      <w:pPr>
        <w:spacing w:after="80"/>
      </w:pPr>
      <w:r>
        <w:rPr>
          <w:rFonts w:ascii="Calibri" w:hAnsi="Calibri"/>
          <w:color w:val="333333"/>
          <w:sz w:val="20"/>
        </w:rPr>
        <w:t>Sanghvi Movers Limited (SML) is a prominent player in the Indian heavy equipment rental industry, offering a comprehensive suite of services including crane rentals, heavy lifting solutions, and turnkey EPC (Engineering, Procurement, and Construction) services, with a particular focus on the renewable energy sector, specifically wind energy. The company operates a large and diversified fleet of over 485 cranes, with capacities ranging from 40 MT to 1600 MT, comprising both hydraulic and crawler cranes. These cranes are crucial for various industrial applications, including infrastructure development (metros, bridges, highways), power generation (thermal, nuclear), steel manufacturing, cement plants, refineries, petrochemicals, and oil &amp; gas facilities.</w:t>
      </w:r>
    </w:p>
    <w:p>
      <w:pPr>
        <w:spacing w:after="80"/>
      </w:pPr>
      <w:r>
        <w:rPr>
          <w:rFonts w:ascii="Calibri" w:hAnsi="Calibri"/>
          <w:color w:val="333333"/>
          <w:sz w:val="20"/>
        </w:rPr>
        <w:t>To support its extensive fleet and project execution, SML also operates a significant logistics division with over 200 trailers and hydraulic axle lines, ensuring the efficient movement of heavy machinery across India. The company's business model is structured around three key verticals: Crane Rental &amp; Heavy Lift Solutions (the core business), Wind Energy EPC (through its subsidiary Sangreen Future Renewables Private Limited), and Logistics for cranes and other heavy machinery (through Sangreen Logistics Private Limited). SML also has an international presence through its wholly-owned subsidiary, Sanghvi Movers Middle East Limited, catering to the growing demand in Saudi Arabia. The company's primary end-user industries are diverse, spanning infrastructure, power, renewables, steel, cement, oil &amp; gas, and petrochemicals. SML's operational footprint is spread across India with 15 depots and regional offices, ensuring nationwide reach and serviceability.</w:t>
      </w:r>
    </w:p>
    <w:p>
      <w:pPr>
        <w:pStyle w:val="Heading1"/>
      </w:pPr>
      <w:r>
        <w:rPr>
          <w:rFonts w:ascii="Calibri" w:hAnsi="Calibri"/>
          <w:color w:val="1F5F8B"/>
          <w:sz w:val="32"/>
        </w:rPr>
        <w:t>1B. News &amp; Industry Overview</w:t>
      </w:r>
    </w:p>
    <w:p>
      <w:pPr>
        <w:spacing w:before="0" w:after="120"/>
      </w:pPr>
    </w:p>
    <w:p>
      <w:pPr>
        <w:spacing w:after="80"/>
      </w:pPr>
      <w:r>
        <w:rPr>
          <w:rFonts w:ascii="Calibri" w:hAnsi="Calibri"/>
          <w:color w:val="333333"/>
          <w:sz w:val="20"/>
        </w:rPr>
        <w:t>In the past year, Sanghvi Movers Limited has been actively engaged in strategic initiatives to bolster its market position and expand its global reach. Recent news highlights include the successful entry and initial order wins in the Saudi Arabian market through its subsidiary, Sanghvi Movers Middle East Limited, signaling a significant step in its international expansion strategy. The company has also reported strong order inflows in its domestic renewable energy EPC business, with Sangreen Future Renewables Private Limited securing substantial contracts worth over ₹428 Crores from prominent Independent Power Producers. Management commentary from recent earnings calls emphasizes a strong focus on operational stability, disciplined capital deployment, and a commitment to achieving targeted utilization and margin levels. The company has also been proactive in improving its working capital metrics, with collections accelerating and Days Sales Outstanding (DSO) showing improvement.</w:t>
      </w:r>
    </w:p>
    <w:p>
      <w:pPr>
        <w:spacing w:after="80"/>
      </w:pPr>
      <w:r>
        <w:rPr>
          <w:rFonts w:ascii="Calibri" w:hAnsi="Calibri"/>
          <w:color w:val="333333"/>
          <w:sz w:val="20"/>
        </w:rPr>
        <w:t>The crane rental and construction equipment industry in India is experiencing robust growth, driven by the government's sustained focus on infrastructure development, including the National Infrastructure Pipeline and increased capital expenditure allocations. The renewable energy sector, particularly wind power, is a significant tailwind, with ambitious targets for capacity addition creating substantial demand for specialized lifting and EPC services. However, the industry also faces challenges such as intense competition, which can lead to pricing pressures, and the need for continuous fleet modernization to meet evolving technological and safety standards. Sanghvi Movers operates in a highly competitive landscape, with several domestic and international players vying for market share. The company's strategy of diversification into EPC and international markets aims to mitigate the cyclicality inherent in the crane rental business and enhance its overall resilience. Regulatory changes, such as the potential anti-dumping duties on imported cranes from China, could impact the competitive dynamics and potentially benefit domestic players like SML by improving margins.</w:t>
      </w:r>
    </w:p>
    <w:p>
      <w:pPr>
        <w:pStyle w:val="Heading1"/>
      </w:pPr>
      <w:r>
        <w:rPr>
          <w:rFonts w:ascii="Calibri" w:hAnsi="Calibri"/>
          <w:color w:val="1F5F8B"/>
          <w:sz w:val="32"/>
        </w:rPr>
        <w:t>2. Key Developments Over Past 1 Year</w:t>
      </w:r>
    </w:p>
    <w:p>
      <w:pPr>
        <w:spacing w:before="0" w:after="120"/>
      </w:pPr>
    </w:p>
    <w:p>
      <w:pPr>
        <w:pStyle w:val="Heading2"/>
      </w:pPr>
      <w:r>
        <w:rPr>
          <w:rFonts w:ascii="Calibri" w:hAnsi="Calibri"/>
          <w:color w:val="1F5F8B"/>
          <w:sz w:val="26"/>
        </w:rPr>
        <w:t>Major Divestitures, Acquisitions, Mergers</w:t>
      </w:r>
    </w:p>
    <w:p>
      <w:pPr>
        <w:pStyle w:val="ListBullet"/>
        <w:spacing w:after="80"/>
      </w:pPr>
      <w:r>
        <w:rPr>
          <w:rFonts w:ascii="Calibri" w:hAnsi="Calibri"/>
          <w:color w:val="333333"/>
          <w:sz w:val="20"/>
        </w:rPr>
        <w:t xml:space="preserve">  </w:t>
      </w:r>
      <w:r>
        <w:rPr>
          <w:rFonts w:ascii="Calibri" w:hAnsi="Calibri"/>
          <w:b/>
          <w:color w:val="333333"/>
          <w:sz w:val="20"/>
        </w:rPr>
        <w:t>Slump Sale of Renewable Business:</w:t>
      </w:r>
      <w:r>
        <w:rPr>
          <w:rFonts w:ascii="Calibri" w:hAnsi="Calibri"/>
          <w:color w:val="333333"/>
          <w:sz w:val="20"/>
        </w:rPr>
        <w:t xml:space="preserve"> In a significant strategic move, Sanghvi Movers Limited executed a Business Transfer Agreement on October 25, 2024, for the slump sale of its Renewable Business to its wholly-owned subsidiary, Sangreen Future Renewables Private Limited. This move aims to create a focused entity for the renewables segment, allowing for sharper execution and specialized management.</w:t>
      </w:r>
    </w:p>
    <w:p>
      <w:pPr>
        <w:pStyle w:val="Heading2"/>
      </w:pPr>
      <w:r>
        <w:rPr>
          <w:rFonts w:ascii="Calibri" w:hAnsi="Calibri"/>
          <w:color w:val="1F5F8B"/>
          <w:sz w:val="26"/>
        </w:rPr>
        <w:t>New Listings or Exchange Approvals</w:t>
      </w:r>
    </w:p>
    <w:p>
      <w:pPr>
        <w:pStyle w:val="ListBullet"/>
        <w:spacing w:after="80"/>
      </w:pPr>
      <w:r>
        <w:rPr>
          <w:rFonts w:ascii="Calibri" w:hAnsi="Calibri"/>
          <w:color w:val="333333"/>
          <w:sz w:val="20"/>
        </w:rPr>
        <w:t xml:space="preserve">  No new listings or exchange approvals were announced in the past year.</w:t>
      </w:r>
    </w:p>
    <w:p>
      <w:pPr>
        <w:pStyle w:val="Heading2"/>
      </w:pPr>
      <w:r>
        <w:rPr>
          <w:rFonts w:ascii="Calibri" w:hAnsi="Calibri"/>
          <w:color w:val="1F5F8B"/>
          <w:sz w:val="26"/>
        </w:rPr>
        <w:t>Balance Sheet Transformation</w:t>
      </w:r>
    </w:p>
    <w:p>
      <w:pPr>
        <w:pStyle w:val="ListBullet"/>
        <w:spacing w:after="80"/>
      </w:pPr>
      <w:r>
        <w:rPr>
          <w:rFonts w:ascii="Calibri" w:hAnsi="Calibri"/>
          <w:color w:val="333333"/>
          <w:sz w:val="20"/>
        </w:rPr>
        <w:t xml:space="preserve">  </w:t>
      </w:r>
      <w:r>
        <w:rPr>
          <w:rFonts w:ascii="Calibri" w:hAnsi="Calibri"/>
          <w:b/>
          <w:color w:val="333333"/>
          <w:sz w:val="20"/>
        </w:rPr>
        <w:t>Fleet Reinvestment and Expansion:</w:t>
      </w:r>
      <w:r>
        <w:rPr>
          <w:rFonts w:ascii="Calibri" w:hAnsi="Calibri"/>
          <w:color w:val="333333"/>
          <w:sz w:val="20"/>
        </w:rPr>
        <w:t xml:space="preserve"> The company has continued its aggressive capital expenditure program, with a planned Capex of ₹629 Crores for FY26. Of this, ₹405 Crores is allocated for India operations and ₹224 Crores for KSA operations. As of 9M FY26, ₹284 Crores has been incurred in India and ₹77 Crores in KSA. This sustained investment is aimed at modernizing and expanding the fleet to meet growing demand, particularly for high-capacity cranes.</w:t>
      </w:r>
    </w:p>
    <w:p>
      <w:pPr>
        <w:pStyle w:val="ListBullet"/>
        <w:spacing w:after="80"/>
      </w:pPr>
      <w:r>
        <w:rPr>
          <w:rFonts w:ascii="Calibri" w:hAnsi="Calibri"/>
          <w:color w:val="333333"/>
          <w:sz w:val="20"/>
        </w:rPr>
        <w:t xml:space="preserve">  </w:t>
      </w:r>
      <w:r>
        <w:rPr>
          <w:rFonts w:ascii="Calibri" w:hAnsi="Calibri"/>
          <w:b/>
          <w:color w:val="333333"/>
          <w:sz w:val="20"/>
        </w:rPr>
        <w:t>Debt Management:</w:t>
      </w:r>
      <w:r>
        <w:rPr>
          <w:rFonts w:ascii="Calibri" w:hAnsi="Calibri"/>
          <w:color w:val="333333"/>
          <w:sz w:val="20"/>
        </w:rPr>
        <w:t xml:space="preserve"> The company has maintained a prudent capital structure, with a Net Debt to Equity ratio of 0.48x as of December 31, 2025. The total borrowings have been managed effectively, with a focus on optimizing borrowing costs.</w:t>
      </w:r>
    </w:p>
    <w:p>
      <w:pPr>
        <w:pStyle w:val="ListBullet"/>
        <w:spacing w:after="80"/>
      </w:pPr>
      <w:r>
        <w:rPr>
          <w:rFonts w:ascii="Calibri" w:hAnsi="Calibri"/>
          <w:color w:val="333333"/>
          <w:sz w:val="20"/>
        </w:rPr>
        <w:t xml:space="preserve">  </w:t>
      </w:r>
      <w:r>
        <w:rPr>
          <w:rFonts w:ascii="Calibri" w:hAnsi="Calibri"/>
          <w:b/>
          <w:color w:val="333333"/>
          <w:sz w:val="20"/>
        </w:rPr>
        <w:t>Investment in Subsidiaries:</w:t>
      </w:r>
      <w:r>
        <w:rPr>
          <w:rFonts w:ascii="Calibri" w:hAnsi="Calibri"/>
          <w:color w:val="333333"/>
          <w:sz w:val="20"/>
        </w:rPr>
        <w:t xml:space="preserve"> The company has invested in its subsidiaries, including the incorporation of Sanghvi Movers Middle East Limited in Saudi Arabia and Sangreen Future Renewables Private Limited, indicating a strategic focus on expanding its operational scale and geographical presence.</w:t>
      </w:r>
    </w:p>
    <w:p>
      <w:pPr>
        <w:pStyle w:val="Heading2"/>
      </w:pPr>
      <w:r>
        <w:rPr>
          <w:rFonts w:ascii="Calibri" w:hAnsi="Calibri"/>
          <w:color w:val="1F5F8B"/>
          <w:sz w:val="26"/>
        </w:rPr>
        <w:t>Leadership Changes</w:t>
      </w:r>
    </w:p>
    <w:p>
      <w:pPr>
        <w:pStyle w:val="ListBullet"/>
        <w:spacing w:after="80"/>
      </w:pPr>
      <w:r>
        <w:rPr>
          <w:rFonts w:ascii="Calibri" w:hAnsi="Calibri"/>
          <w:color w:val="333333"/>
          <w:sz w:val="20"/>
        </w:rPr>
        <w:t xml:space="preserve">  </w:t>
      </w:r>
      <w:r>
        <w:rPr>
          <w:rFonts w:ascii="Calibri" w:hAnsi="Calibri"/>
          <w:b/>
          <w:color w:val="333333"/>
          <w:sz w:val="20"/>
        </w:rPr>
        <w:t>CFO Appointment:</w:t>
      </w:r>
      <w:r>
        <w:rPr>
          <w:rFonts w:ascii="Calibri" w:hAnsi="Calibri"/>
          <w:color w:val="333333"/>
          <w:sz w:val="20"/>
        </w:rPr>
        <w:t xml:space="preserve"> Mr. Pradeep Mehta was appointed as the Chief Financial Officer and Key Managerial Personnel of the Company effective August 06, 2025, replacing Mr. Sham D. Kajale.</w:t>
      </w:r>
    </w:p>
    <w:p>
      <w:pPr>
        <w:pStyle w:val="ListBullet"/>
        <w:spacing w:after="80"/>
      </w:pPr>
      <w:r>
        <w:rPr>
          <w:rFonts w:ascii="Calibri" w:hAnsi="Calibri"/>
          <w:color w:val="333333"/>
          <w:sz w:val="20"/>
        </w:rPr>
        <w:t xml:space="preserve">  </w:t>
      </w:r>
      <w:r>
        <w:rPr>
          <w:rFonts w:ascii="Calibri" w:hAnsi="Calibri"/>
          <w:b/>
          <w:color w:val="333333"/>
          <w:sz w:val="20"/>
        </w:rPr>
        <w:t>Company Secretary &amp; Chief Compliance Officer Appointment:</w:t>
      </w:r>
      <w:r>
        <w:rPr>
          <w:rFonts w:ascii="Calibri" w:hAnsi="Calibri"/>
          <w:color w:val="333333"/>
          <w:sz w:val="20"/>
        </w:rPr>
        <w:t xml:space="preserve"> Mr. Vinav Agarwal was appointed as the Company Secretary and Chief Compliance Officer effective August 07, 2025, following the resignation of Mr. Rajesh P. Likhite.</w:t>
      </w:r>
    </w:p>
    <w:p>
      <w:pPr>
        <w:pStyle w:val="ListBullet"/>
        <w:spacing w:after="80"/>
      </w:pPr>
      <w:r>
        <w:rPr>
          <w:rFonts w:ascii="Calibri" w:hAnsi="Calibri"/>
          <w:color w:val="333333"/>
          <w:sz w:val="20"/>
        </w:rPr>
        <w:t xml:space="preserve">  </w:t>
      </w:r>
      <w:r>
        <w:rPr>
          <w:rFonts w:ascii="Calibri" w:hAnsi="Calibri"/>
          <w:b/>
          <w:color w:val="333333"/>
          <w:sz w:val="20"/>
        </w:rPr>
        <w:t>MD Appointment in SMME:</w:t>
      </w:r>
      <w:r>
        <w:rPr>
          <w:rFonts w:ascii="Calibri" w:hAnsi="Calibri"/>
          <w:color w:val="333333"/>
          <w:sz w:val="20"/>
        </w:rPr>
        <w:t xml:space="preserve"> Mr. Mohammed Almanaseer was appointed as the Managing Director of Sanghvi Movers Middle East Limited (wholly owned subsidiary) effective August 06, 2025.</w:t>
      </w:r>
    </w:p>
    <w:p>
      <w:pPr>
        <w:pStyle w:val="ListBullet"/>
        <w:spacing w:after="80"/>
      </w:pPr>
      <w:r>
        <w:rPr>
          <w:rFonts w:ascii="Calibri" w:hAnsi="Calibri"/>
          <w:color w:val="333333"/>
          <w:sz w:val="20"/>
        </w:rPr>
        <w:t xml:space="preserve">  </w:t>
      </w:r>
      <w:r>
        <w:rPr>
          <w:rFonts w:ascii="Calibri" w:hAnsi="Calibri"/>
          <w:b/>
          <w:color w:val="333333"/>
          <w:sz w:val="20"/>
        </w:rPr>
        <w:t>CEO Appointment:</w:t>
      </w:r>
      <w:r>
        <w:rPr>
          <w:rFonts w:ascii="Calibri" w:hAnsi="Calibri"/>
          <w:color w:val="333333"/>
          <w:sz w:val="20"/>
        </w:rPr>
        <w:t xml:space="preserve"> Mr. Gaurang Desai was appointed as the Chief Executive Officer of Sanghvi Movers Limited effective May 20, 2025.</w:t>
      </w:r>
    </w:p>
    <w:p>
      <w:pPr>
        <w:pStyle w:val="Heading2"/>
      </w:pPr>
      <w:r>
        <w:rPr>
          <w:rFonts w:ascii="Calibri" w:hAnsi="Calibri"/>
          <w:color w:val="1F5F8B"/>
          <w:sz w:val="26"/>
        </w:rPr>
        <w:t>Preferential Issues, Warrants, Capital Raises</w:t>
      </w:r>
    </w:p>
    <w:p>
      <w:pPr>
        <w:pStyle w:val="ListBullet"/>
        <w:spacing w:after="80"/>
      </w:pPr>
      <w:r>
        <w:rPr>
          <w:rFonts w:ascii="Calibri" w:hAnsi="Calibri"/>
          <w:color w:val="333333"/>
          <w:sz w:val="20"/>
        </w:rPr>
        <w:t xml:space="preserve">  The company has not announced any preferential issues, warrants, or significant capital raises in the past year, indicating a reliance on internal accruals and debt for funding its growth initiatives.</w:t>
      </w:r>
    </w:p>
    <w:p>
      <w:pPr>
        <w:pStyle w:val="Heading2"/>
      </w:pPr>
      <w:r>
        <w:rPr>
          <w:rFonts w:ascii="Calibri" w:hAnsi="Calibri"/>
          <w:color w:val="1F5F8B"/>
          <w:sz w:val="26"/>
        </w:rPr>
        <w:t>SAST Disclosures, Promoter Buying/Selling</w:t>
      </w:r>
    </w:p>
    <w:p>
      <w:pPr>
        <w:pStyle w:val="ListBullet"/>
        <w:spacing w:after="80"/>
      </w:pPr>
      <w:r>
        <w:rPr>
          <w:rFonts w:ascii="Calibri" w:hAnsi="Calibri"/>
          <w:color w:val="333333"/>
          <w:sz w:val="20"/>
        </w:rPr>
        <w:t xml:space="preserve">  No significant SAST disclosures or promoter buying/selling activity were highlighted in the provided documents for the period.</w:t>
      </w:r>
    </w:p>
    <w:p>
      <w:pPr>
        <w:pStyle w:val="Heading2"/>
      </w:pPr>
      <w:r>
        <w:rPr>
          <w:rFonts w:ascii="Calibri" w:hAnsi="Calibri"/>
          <w:color w:val="1F5F8B"/>
          <w:sz w:val="26"/>
        </w:rPr>
        <w:t>Regulatory Actions or Penalties</w:t>
      </w:r>
    </w:p>
    <w:p>
      <w:pPr>
        <w:pStyle w:val="ListBullet"/>
        <w:spacing w:after="80"/>
      </w:pPr>
      <w:r>
        <w:rPr>
          <w:rFonts w:ascii="Calibri" w:hAnsi="Calibri"/>
          <w:color w:val="333333"/>
          <w:sz w:val="20"/>
        </w:rPr>
        <w:t xml:space="preserve">  The Annual Report for FY24-25 indicated minor compliance delays in filing certain board meeting intimations and specific references in board minutes regarding subsidiary oversight. However, these were noted as procedural and not material to the financial statements. The company has also been actively updating its website to ensure compliance with all mandatory disclosure requirements.</w:t>
      </w:r>
    </w:p>
    <w:p>
      <w:pPr>
        <w:pStyle w:val="Heading1"/>
      </w:pPr>
      <w:r>
        <w:rPr>
          <w:rFonts w:ascii="Calibri" w:hAnsi="Calibri"/>
          <w:color w:val="1F5F8B"/>
          <w:sz w:val="32"/>
        </w:rPr>
        <w:t>3. Financial Analysis</w:t>
      </w:r>
    </w:p>
    <w:p>
      <w:pPr>
        <w:spacing w:before="0" w:after="120"/>
      </w:pPr>
    </w:p>
    <w:p>
      <w:pPr>
        <w:spacing w:after="80"/>
      </w:pPr>
      <w:r>
        <w:rPr>
          <w:rFonts w:ascii="Calibri" w:hAnsi="Calibri"/>
          <w:color w:val="333333"/>
          <w:sz w:val="20"/>
        </w:rPr>
        <w:t>Sanghvi Movers Limited has demonstrated robust revenue growth in FY25, with total income reaching ₹823 Cr, a 27% year-on-year increase, primarily driven by its renewable energy business. However, profitability metrics like EBITDA margin have seen some pressure, moderating to 45% in FY25 from 63% in the previous year. This was attributed to factors such as temporary contraction in crane rental demand due to elections and monsoons, increased competition, and higher depreciation and interest costs associated with fleet expansion. The company's PAT stood at ₹157 Cr in FY25. Despite these pressures, the company has maintained a strong balance sheet with a healthy Net Debt to Equity ratio of 0.33x and has continued to invest significantly in its fleet and international expansion. The company's cash flow from operations remains strong, underscoring the resilience of its core business.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1F5F8B"/>
          </w:tcPr>
          <w:p>
            <w:pPr>
              <w:spacing w:before="40" w:after="40"/>
            </w:pPr>
            <w:r>
              <w:rPr>
                <w:rFonts w:ascii="Calibri" w:hAnsi="Calibri"/>
                <w:b/>
                <w:color w:val="FFFFFF"/>
                <w:sz w:val="18"/>
              </w:rPr>
              <w:t>Particulars</w:t>
            </w:r>
          </w:p>
        </w:tc>
        <w:tc>
          <w:tcPr>
            <w:tcW w:type="dxa" w:w="1440"/>
            <w:shd w:fill="1F5F8B"/>
          </w:tcPr>
          <w:p>
            <w:pPr>
              <w:spacing w:before="40" w:after="40"/>
            </w:pPr>
            <w:r>
              <w:rPr>
                <w:rFonts w:ascii="Calibri" w:hAnsi="Calibri"/>
                <w:b/>
                <w:color w:val="FFFFFF"/>
                <w:sz w:val="18"/>
              </w:rPr>
              <w:t>FY25A</w:t>
            </w:r>
          </w:p>
        </w:tc>
        <w:tc>
          <w:tcPr>
            <w:tcW w:type="dxa" w:w="1440"/>
            <w:shd w:fill="1F5F8B"/>
          </w:tcPr>
          <w:p>
            <w:pPr>
              <w:spacing w:before="40" w:after="40"/>
            </w:pPr>
            <w:r>
              <w:rPr>
                <w:rFonts w:ascii="Calibri" w:hAnsi="Calibri"/>
                <w:b/>
                <w:color w:val="FFFFFF"/>
                <w:sz w:val="18"/>
              </w:rPr>
              <w:t>FY26E</w:t>
            </w:r>
          </w:p>
        </w:tc>
        <w:tc>
          <w:tcPr>
            <w:tcW w:type="dxa" w:w="1440"/>
            <w:shd w:fill="1F5F8B"/>
          </w:tcPr>
          <w:p>
            <w:pPr>
              <w:spacing w:before="40" w:after="40"/>
            </w:pPr>
            <w:r>
              <w:rPr>
                <w:rFonts w:ascii="Calibri" w:hAnsi="Calibri"/>
                <w:b/>
                <w:color w:val="FFFFFF"/>
                <w:sz w:val="18"/>
              </w:rPr>
              <w:t>FY27E</w:t>
            </w:r>
          </w:p>
        </w:tc>
        <w:tc>
          <w:tcPr>
            <w:tcW w:type="dxa" w:w="1440"/>
            <w:shd w:fill="1F5F8B"/>
          </w:tcPr>
          <w:p>
            <w:pPr>
              <w:spacing w:before="40" w:after="40"/>
            </w:pPr>
            <w:r>
              <w:rPr>
                <w:rFonts w:ascii="Calibri" w:hAnsi="Calibri"/>
                <w:b/>
                <w:color w:val="FFFFFF"/>
                <w:sz w:val="18"/>
              </w:rPr>
              <w:t>FY28E</w:t>
            </w:r>
          </w:p>
        </w:tc>
        <w:tc>
          <w:tcPr>
            <w:tcW w:type="dxa" w:w="1440"/>
            <w:shd w:fill="1F5F8B"/>
          </w:tcPr>
          <w:p>
            <w:pPr>
              <w:spacing w:before="40" w:after="40"/>
            </w:pPr>
            <w:r>
              <w:rPr>
                <w:rFonts w:ascii="Calibri" w:hAnsi="Calibri"/>
                <w:b/>
                <w:color w:val="FFFFFF"/>
                <w:sz w:val="18"/>
              </w:rPr>
              <w:t>FY29E</w:t>
            </w:r>
          </w:p>
        </w:tc>
      </w:tr>
      <w:tr>
        <w:tc>
          <w:tcPr>
            <w:tcW w:type="dxa" w:w="1440"/>
          </w:tcPr>
          <w:p>
            <w:pPr>
              <w:spacing w:before="40" w:after="40"/>
            </w:pPr>
            <w:r>
              <w:rPr>
                <w:rFonts w:ascii="Calibri" w:hAnsi="Calibri"/>
                <w:b/>
                <w:sz w:val="18"/>
              </w:rPr>
              <w:t>Revenue from Operations</w:t>
            </w:r>
          </w:p>
        </w:tc>
        <w:tc>
          <w:tcPr>
            <w:tcW w:type="dxa" w:w="1440"/>
          </w:tcPr>
          <w:p>
            <w:pPr>
              <w:spacing w:before="40" w:after="40"/>
            </w:pPr>
            <w:r>
              <w:rPr>
                <w:rFonts w:ascii="Calibri" w:hAnsi="Calibri"/>
                <w:sz w:val="18"/>
              </w:rPr>
              <w:t>82,286</w:t>
            </w:r>
          </w:p>
        </w:tc>
        <w:tc>
          <w:tcPr>
            <w:tcW w:type="dxa" w:w="1440"/>
          </w:tcPr>
          <w:p>
            <w:pPr>
              <w:spacing w:before="40" w:after="40"/>
            </w:pPr>
            <w:r>
              <w:rPr>
                <w:rFonts w:ascii="Calibri" w:hAnsi="Calibri"/>
                <w:sz w:val="18"/>
              </w:rPr>
              <w:t>95,000</w:t>
            </w:r>
          </w:p>
        </w:tc>
        <w:tc>
          <w:tcPr>
            <w:tcW w:type="dxa" w:w="1440"/>
          </w:tcPr>
          <w:p>
            <w:pPr>
              <w:spacing w:before="40" w:after="40"/>
            </w:pPr>
            <w:r>
              <w:rPr>
                <w:rFonts w:ascii="Calibri" w:hAnsi="Calibri"/>
                <w:sz w:val="18"/>
              </w:rPr>
              <w:t>115,000</w:t>
            </w:r>
          </w:p>
        </w:tc>
        <w:tc>
          <w:tcPr>
            <w:tcW w:type="dxa" w:w="1440"/>
          </w:tcPr>
          <w:p>
            <w:pPr>
              <w:spacing w:before="40" w:after="40"/>
            </w:pPr>
            <w:r>
              <w:rPr>
                <w:rFonts w:ascii="Calibri" w:hAnsi="Calibri"/>
                <w:sz w:val="18"/>
              </w:rPr>
              <w:t>135,000</w:t>
            </w:r>
          </w:p>
        </w:tc>
        <w:tc>
          <w:tcPr>
            <w:tcW w:type="dxa" w:w="1440"/>
          </w:tcPr>
          <w:p>
            <w:pPr>
              <w:spacing w:before="40" w:after="40"/>
            </w:pPr>
            <w:r>
              <w:rPr>
                <w:rFonts w:ascii="Calibri" w:hAnsi="Calibri"/>
                <w:sz w:val="18"/>
              </w:rPr>
              <w:t>155,000</w:t>
            </w:r>
          </w:p>
        </w:tc>
      </w:tr>
      <w:tr>
        <w:tc>
          <w:tcPr>
            <w:tcW w:type="dxa" w:w="1440"/>
            <w:shd w:fill="E8F0FE"/>
          </w:tcPr>
          <w:p>
            <w:pPr>
              <w:spacing w:before="40" w:after="40"/>
            </w:pPr>
            <w:r>
              <w:rPr>
                <w:rFonts w:ascii="Calibri" w:hAnsi="Calibri"/>
                <w:b/>
                <w:sz w:val="18"/>
              </w:rPr>
              <w:t>Revenue Growth (%)</w:t>
            </w:r>
          </w:p>
        </w:tc>
        <w:tc>
          <w:tcPr>
            <w:tcW w:type="dxa" w:w="1440"/>
            <w:shd w:fill="E8F0FE"/>
          </w:tcPr>
          <w:p>
            <w:pPr>
              <w:spacing w:before="40" w:after="40"/>
            </w:pPr>
            <w:r>
              <w:rPr>
                <w:rFonts w:ascii="Calibri" w:hAnsi="Calibri"/>
                <w:sz w:val="18"/>
              </w:rPr>
              <w:t>-</w:t>
            </w:r>
          </w:p>
        </w:tc>
        <w:tc>
          <w:tcPr>
            <w:tcW w:type="dxa" w:w="1440"/>
            <w:shd w:fill="E8F0FE"/>
          </w:tcPr>
          <w:p>
            <w:pPr>
              <w:spacing w:before="40" w:after="40"/>
            </w:pPr>
            <w:r>
              <w:rPr>
                <w:rFonts w:ascii="Calibri" w:hAnsi="Calibri"/>
                <w:sz w:val="18"/>
              </w:rPr>
              <w:t>15.4%</w:t>
            </w:r>
          </w:p>
        </w:tc>
        <w:tc>
          <w:tcPr>
            <w:tcW w:type="dxa" w:w="1440"/>
            <w:shd w:fill="E8F0FE"/>
          </w:tcPr>
          <w:p>
            <w:pPr>
              <w:spacing w:before="40" w:after="40"/>
            </w:pPr>
            <w:r>
              <w:rPr>
                <w:rFonts w:ascii="Calibri" w:hAnsi="Calibri"/>
                <w:sz w:val="18"/>
              </w:rPr>
              <w:t>21.1%</w:t>
            </w:r>
          </w:p>
        </w:tc>
        <w:tc>
          <w:tcPr>
            <w:tcW w:type="dxa" w:w="1440"/>
            <w:shd w:fill="E8F0FE"/>
          </w:tcPr>
          <w:p>
            <w:pPr>
              <w:spacing w:before="40" w:after="40"/>
            </w:pPr>
            <w:r>
              <w:rPr>
                <w:rFonts w:ascii="Calibri" w:hAnsi="Calibri"/>
                <w:sz w:val="18"/>
              </w:rPr>
              <w:t>17.4%</w:t>
            </w:r>
          </w:p>
        </w:tc>
        <w:tc>
          <w:tcPr>
            <w:tcW w:type="dxa" w:w="1440"/>
            <w:shd w:fill="E8F0FE"/>
          </w:tcPr>
          <w:p>
            <w:pPr>
              <w:spacing w:before="40" w:after="40"/>
            </w:pPr>
            <w:r>
              <w:rPr>
                <w:rFonts w:ascii="Calibri" w:hAnsi="Calibri"/>
                <w:sz w:val="18"/>
              </w:rPr>
              <w:t>14.8%</w:t>
            </w:r>
          </w:p>
        </w:tc>
      </w:tr>
      <w:tr>
        <w:tc>
          <w:tcPr>
            <w:tcW w:type="dxa" w:w="1440"/>
          </w:tcPr>
          <w:p>
            <w:pPr>
              <w:spacing w:before="40" w:after="40"/>
            </w:pPr>
            <w:r>
              <w:rPr>
                <w:rFonts w:ascii="Calibri" w:hAnsi="Calibri"/>
                <w:b/>
                <w:sz w:val="18"/>
              </w:rPr>
              <w:t>Gross Profit</w:t>
            </w:r>
          </w:p>
        </w:tc>
        <w:tc>
          <w:tcPr>
            <w:tcW w:type="dxa" w:w="1440"/>
          </w:tcPr>
          <w:p>
            <w:pPr>
              <w:spacing w:before="40" w:after="40"/>
            </w:pPr>
            <w:r>
              <w:rPr>
                <w:rFonts w:ascii="Calibri" w:hAnsi="Calibri"/>
                <w:sz w:val="18"/>
              </w:rPr>
              <w:t>40,919</w:t>
            </w:r>
          </w:p>
        </w:tc>
        <w:tc>
          <w:tcPr>
            <w:tcW w:type="dxa" w:w="1440"/>
          </w:tcPr>
          <w:p>
            <w:pPr>
              <w:spacing w:before="40" w:after="40"/>
            </w:pPr>
            <w:r>
              <w:rPr>
                <w:rFonts w:ascii="Calibri" w:hAnsi="Calibri"/>
                <w:sz w:val="18"/>
              </w:rPr>
              <w:t>48,000</w:t>
            </w:r>
          </w:p>
        </w:tc>
        <w:tc>
          <w:tcPr>
            <w:tcW w:type="dxa" w:w="1440"/>
          </w:tcPr>
          <w:p>
            <w:pPr>
              <w:spacing w:before="40" w:after="40"/>
            </w:pPr>
            <w:r>
              <w:rPr>
                <w:rFonts w:ascii="Calibri" w:hAnsi="Calibri"/>
                <w:sz w:val="18"/>
              </w:rPr>
              <w:t>59,000</w:t>
            </w:r>
          </w:p>
        </w:tc>
        <w:tc>
          <w:tcPr>
            <w:tcW w:type="dxa" w:w="1440"/>
          </w:tcPr>
          <w:p>
            <w:pPr>
              <w:spacing w:before="40" w:after="40"/>
            </w:pPr>
            <w:r>
              <w:rPr>
                <w:rFonts w:ascii="Calibri" w:hAnsi="Calibri"/>
                <w:sz w:val="18"/>
              </w:rPr>
              <w:t>70,000</w:t>
            </w:r>
          </w:p>
        </w:tc>
        <w:tc>
          <w:tcPr>
            <w:tcW w:type="dxa" w:w="1440"/>
          </w:tcPr>
          <w:p>
            <w:pPr>
              <w:spacing w:before="40" w:after="40"/>
            </w:pPr>
            <w:r>
              <w:rPr>
                <w:rFonts w:ascii="Calibri" w:hAnsi="Calibri"/>
                <w:sz w:val="18"/>
              </w:rPr>
              <w:t>82,000</w:t>
            </w:r>
          </w:p>
        </w:tc>
      </w:tr>
      <w:tr>
        <w:tc>
          <w:tcPr>
            <w:tcW w:type="dxa" w:w="1440"/>
            <w:shd w:fill="E8F0FE"/>
          </w:tcPr>
          <w:p>
            <w:pPr>
              <w:spacing w:before="40" w:after="40"/>
            </w:pPr>
            <w:r>
              <w:rPr>
                <w:rFonts w:ascii="Calibri" w:hAnsi="Calibri"/>
                <w:b/>
                <w:sz w:val="18"/>
              </w:rPr>
              <w:t>Gross Margin (%)</w:t>
            </w:r>
          </w:p>
        </w:tc>
        <w:tc>
          <w:tcPr>
            <w:tcW w:type="dxa" w:w="1440"/>
            <w:shd w:fill="E8F0FE"/>
          </w:tcPr>
          <w:p>
            <w:pPr>
              <w:spacing w:before="40" w:after="40"/>
            </w:pPr>
            <w:r>
              <w:rPr>
                <w:rFonts w:ascii="Calibri" w:hAnsi="Calibri"/>
                <w:sz w:val="18"/>
              </w:rPr>
              <w:t>49.7%</w:t>
            </w:r>
          </w:p>
        </w:tc>
        <w:tc>
          <w:tcPr>
            <w:tcW w:type="dxa" w:w="1440"/>
            <w:shd w:fill="E8F0FE"/>
          </w:tcPr>
          <w:p>
            <w:pPr>
              <w:spacing w:before="40" w:after="40"/>
            </w:pPr>
            <w:r>
              <w:rPr>
                <w:rFonts w:ascii="Calibri" w:hAnsi="Calibri"/>
                <w:sz w:val="18"/>
              </w:rPr>
              <w:t>50.5%</w:t>
            </w:r>
          </w:p>
        </w:tc>
        <w:tc>
          <w:tcPr>
            <w:tcW w:type="dxa" w:w="1440"/>
            <w:shd w:fill="E8F0FE"/>
          </w:tcPr>
          <w:p>
            <w:pPr>
              <w:spacing w:before="40" w:after="40"/>
            </w:pPr>
            <w:r>
              <w:rPr>
                <w:rFonts w:ascii="Calibri" w:hAnsi="Calibri"/>
                <w:sz w:val="18"/>
              </w:rPr>
              <w:t>51.3%</w:t>
            </w:r>
          </w:p>
        </w:tc>
        <w:tc>
          <w:tcPr>
            <w:tcW w:type="dxa" w:w="1440"/>
            <w:shd w:fill="E8F0FE"/>
          </w:tcPr>
          <w:p>
            <w:pPr>
              <w:spacing w:before="40" w:after="40"/>
            </w:pPr>
            <w:r>
              <w:rPr>
                <w:rFonts w:ascii="Calibri" w:hAnsi="Calibri"/>
                <w:sz w:val="18"/>
              </w:rPr>
              <w:t>51.9%</w:t>
            </w:r>
          </w:p>
        </w:tc>
        <w:tc>
          <w:tcPr>
            <w:tcW w:type="dxa" w:w="1440"/>
            <w:shd w:fill="E8F0FE"/>
          </w:tcPr>
          <w:p>
            <w:pPr>
              <w:spacing w:before="40" w:after="40"/>
            </w:pPr>
            <w:r>
              <w:rPr>
                <w:rFonts w:ascii="Calibri" w:hAnsi="Calibri"/>
                <w:sz w:val="18"/>
              </w:rPr>
              <w:t>52.9%</w:t>
            </w:r>
          </w:p>
        </w:tc>
      </w:tr>
      <w:tr>
        <w:tc>
          <w:tcPr>
            <w:tcW w:type="dxa" w:w="1440"/>
          </w:tcPr>
          <w:p>
            <w:pPr>
              <w:spacing w:before="40" w:after="40"/>
            </w:pPr>
            <w:r>
              <w:rPr>
                <w:rFonts w:ascii="Calibri" w:hAnsi="Calibri"/>
                <w:b/>
                <w:sz w:val="18"/>
              </w:rPr>
              <w:t>EBITDA (Operating)</w:t>
            </w:r>
          </w:p>
        </w:tc>
        <w:tc>
          <w:tcPr>
            <w:tcW w:type="dxa" w:w="1440"/>
          </w:tcPr>
          <w:p>
            <w:pPr>
              <w:spacing w:before="40" w:after="40"/>
            </w:pPr>
            <w:r>
              <w:rPr>
                <w:rFonts w:ascii="Calibri" w:hAnsi="Calibri"/>
                <w:sz w:val="18"/>
              </w:rPr>
              <w:t>37,111</w:t>
            </w:r>
          </w:p>
        </w:tc>
        <w:tc>
          <w:tcPr>
            <w:tcW w:type="dxa" w:w="1440"/>
          </w:tcPr>
          <w:p>
            <w:pPr>
              <w:spacing w:before="40" w:after="40"/>
            </w:pPr>
            <w:r>
              <w:rPr>
                <w:rFonts w:ascii="Calibri" w:hAnsi="Calibri"/>
                <w:sz w:val="18"/>
              </w:rPr>
              <w:t>45,000</w:t>
            </w:r>
          </w:p>
        </w:tc>
        <w:tc>
          <w:tcPr>
            <w:tcW w:type="dxa" w:w="1440"/>
          </w:tcPr>
          <w:p>
            <w:pPr>
              <w:spacing w:before="40" w:after="40"/>
            </w:pPr>
            <w:r>
              <w:rPr>
                <w:rFonts w:ascii="Calibri" w:hAnsi="Calibri"/>
                <w:sz w:val="18"/>
              </w:rPr>
              <w:t>56,000</w:t>
            </w:r>
          </w:p>
        </w:tc>
        <w:tc>
          <w:tcPr>
            <w:tcW w:type="dxa" w:w="1440"/>
          </w:tcPr>
          <w:p>
            <w:pPr>
              <w:spacing w:before="40" w:after="40"/>
            </w:pPr>
            <w:r>
              <w:rPr>
                <w:rFonts w:ascii="Calibri" w:hAnsi="Calibri"/>
                <w:sz w:val="18"/>
              </w:rPr>
              <w:t>67,000</w:t>
            </w:r>
          </w:p>
        </w:tc>
        <w:tc>
          <w:tcPr>
            <w:tcW w:type="dxa" w:w="1440"/>
          </w:tcPr>
          <w:p>
            <w:pPr>
              <w:spacing w:before="40" w:after="40"/>
            </w:pPr>
            <w:r>
              <w:rPr>
                <w:rFonts w:ascii="Calibri" w:hAnsi="Calibri"/>
                <w:sz w:val="18"/>
              </w:rPr>
              <w:t>79,000</w:t>
            </w:r>
          </w:p>
        </w:tc>
      </w:tr>
      <w:tr>
        <w:tc>
          <w:tcPr>
            <w:tcW w:type="dxa" w:w="1440"/>
            <w:shd w:fill="E8F0FE"/>
          </w:tcPr>
          <w:p>
            <w:pPr>
              <w:spacing w:before="40" w:after="40"/>
            </w:pPr>
            <w:r>
              <w:rPr>
                <w:rFonts w:ascii="Calibri" w:hAnsi="Calibri"/>
                <w:b/>
                <w:sz w:val="18"/>
              </w:rPr>
              <w:t>EBITDA Margin (%)</w:t>
            </w:r>
          </w:p>
        </w:tc>
        <w:tc>
          <w:tcPr>
            <w:tcW w:type="dxa" w:w="1440"/>
            <w:shd w:fill="E8F0FE"/>
          </w:tcPr>
          <w:p>
            <w:pPr>
              <w:spacing w:before="40" w:after="40"/>
            </w:pPr>
            <w:r>
              <w:rPr>
                <w:rFonts w:ascii="Calibri" w:hAnsi="Calibri"/>
                <w:sz w:val="18"/>
              </w:rPr>
              <w:t>45.1%</w:t>
            </w:r>
          </w:p>
        </w:tc>
        <w:tc>
          <w:tcPr>
            <w:tcW w:type="dxa" w:w="1440"/>
            <w:shd w:fill="E8F0FE"/>
          </w:tcPr>
          <w:p>
            <w:pPr>
              <w:spacing w:before="40" w:after="40"/>
            </w:pPr>
            <w:r>
              <w:rPr>
                <w:rFonts w:ascii="Calibri" w:hAnsi="Calibri"/>
                <w:sz w:val="18"/>
              </w:rPr>
              <w:t>47.4%</w:t>
            </w:r>
          </w:p>
        </w:tc>
        <w:tc>
          <w:tcPr>
            <w:tcW w:type="dxa" w:w="1440"/>
            <w:shd w:fill="E8F0FE"/>
          </w:tcPr>
          <w:p>
            <w:pPr>
              <w:spacing w:before="40" w:after="40"/>
            </w:pPr>
            <w:r>
              <w:rPr>
                <w:rFonts w:ascii="Calibri" w:hAnsi="Calibri"/>
                <w:sz w:val="18"/>
              </w:rPr>
              <w:t>48.7%</w:t>
            </w:r>
          </w:p>
        </w:tc>
        <w:tc>
          <w:tcPr>
            <w:tcW w:type="dxa" w:w="1440"/>
            <w:shd w:fill="E8F0FE"/>
          </w:tcPr>
          <w:p>
            <w:pPr>
              <w:spacing w:before="40" w:after="40"/>
            </w:pPr>
            <w:r>
              <w:rPr>
                <w:rFonts w:ascii="Calibri" w:hAnsi="Calibri"/>
                <w:sz w:val="18"/>
              </w:rPr>
              <w:t>49.6%</w:t>
            </w:r>
          </w:p>
        </w:tc>
        <w:tc>
          <w:tcPr>
            <w:tcW w:type="dxa" w:w="1440"/>
            <w:shd w:fill="E8F0FE"/>
          </w:tcPr>
          <w:p>
            <w:pPr>
              <w:spacing w:before="40" w:after="40"/>
            </w:pPr>
            <w:r>
              <w:rPr>
                <w:rFonts w:ascii="Calibri" w:hAnsi="Calibri"/>
                <w:sz w:val="18"/>
              </w:rPr>
              <w:t>51.0%</w:t>
            </w:r>
          </w:p>
        </w:tc>
      </w:tr>
      <w:tr>
        <w:tc>
          <w:tcPr>
            <w:tcW w:type="dxa" w:w="1440"/>
          </w:tcPr>
          <w:p>
            <w:pPr>
              <w:spacing w:before="40" w:after="40"/>
            </w:pPr>
            <w:r>
              <w:rPr>
                <w:rFonts w:ascii="Calibri" w:hAnsi="Calibri"/>
                <w:b/>
                <w:sz w:val="18"/>
              </w:rPr>
              <w:t>Depreciation</w:t>
            </w:r>
          </w:p>
        </w:tc>
        <w:tc>
          <w:tcPr>
            <w:tcW w:type="dxa" w:w="1440"/>
          </w:tcPr>
          <w:p>
            <w:pPr>
              <w:spacing w:before="40" w:after="40"/>
            </w:pPr>
            <w:r>
              <w:rPr>
                <w:rFonts w:ascii="Calibri" w:hAnsi="Calibri"/>
                <w:sz w:val="18"/>
              </w:rPr>
              <w:t>12,848</w:t>
            </w:r>
          </w:p>
        </w:tc>
        <w:tc>
          <w:tcPr>
            <w:tcW w:type="dxa" w:w="1440"/>
          </w:tcPr>
          <w:p>
            <w:pPr>
              <w:spacing w:before="40" w:after="40"/>
            </w:pPr>
            <w:r>
              <w:rPr>
                <w:rFonts w:ascii="Calibri" w:hAnsi="Calibri"/>
                <w:sz w:val="18"/>
              </w:rPr>
              <w:t>14,000</w:t>
            </w:r>
          </w:p>
        </w:tc>
        <w:tc>
          <w:tcPr>
            <w:tcW w:type="dxa" w:w="1440"/>
          </w:tcPr>
          <w:p>
            <w:pPr>
              <w:spacing w:before="40" w:after="40"/>
            </w:pPr>
            <w:r>
              <w:rPr>
                <w:rFonts w:ascii="Calibri" w:hAnsi="Calibri"/>
                <w:sz w:val="18"/>
              </w:rPr>
              <w:t>15,500</w:t>
            </w:r>
          </w:p>
        </w:tc>
        <w:tc>
          <w:tcPr>
            <w:tcW w:type="dxa" w:w="1440"/>
          </w:tcPr>
          <w:p>
            <w:pPr>
              <w:spacing w:before="40" w:after="40"/>
            </w:pPr>
            <w:r>
              <w:rPr>
                <w:rFonts w:ascii="Calibri" w:hAnsi="Calibri"/>
                <w:sz w:val="18"/>
              </w:rPr>
              <w:t>17,000</w:t>
            </w:r>
          </w:p>
        </w:tc>
        <w:tc>
          <w:tcPr>
            <w:tcW w:type="dxa" w:w="1440"/>
          </w:tcPr>
          <w:p>
            <w:pPr>
              <w:spacing w:before="40" w:after="40"/>
            </w:pPr>
            <w:r>
              <w:rPr>
                <w:rFonts w:ascii="Calibri" w:hAnsi="Calibri"/>
                <w:sz w:val="18"/>
              </w:rPr>
              <w:t>18,500</w:t>
            </w:r>
          </w:p>
        </w:tc>
      </w:tr>
      <w:tr>
        <w:tc>
          <w:tcPr>
            <w:tcW w:type="dxa" w:w="1440"/>
            <w:shd w:fill="E8F0FE"/>
          </w:tcPr>
          <w:p>
            <w:pPr>
              <w:spacing w:before="40" w:after="40"/>
            </w:pPr>
            <w:r>
              <w:rPr>
                <w:rFonts w:ascii="Calibri" w:hAnsi="Calibri"/>
                <w:b/>
                <w:sz w:val="18"/>
              </w:rPr>
              <w:t>Finance Cost</w:t>
            </w:r>
          </w:p>
        </w:tc>
        <w:tc>
          <w:tcPr>
            <w:tcW w:type="dxa" w:w="1440"/>
            <w:shd w:fill="E8F0FE"/>
          </w:tcPr>
          <w:p>
            <w:pPr>
              <w:spacing w:before="40" w:after="40"/>
            </w:pPr>
            <w:r>
              <w:rPr>
                <w:rFonts w:ascii="Calibri" w:hAnsi="Calibri"/>
                <w:sz w:val="18"/>
              </w:rPr>
              <w:t>2,588</w:t>
            </w:r>
          </w:p>
        </w:tc>
        <w:tc>
          <w:tcPr>
            <w:tcW w:type="dxa" w:w="1440"/>
            <w:shd w:fill="E8F0FE"/>
          </w:tcPr>
          <w:p>
            <w:pPr>
              <w:spacing w:before="40" w:after="40"/>
            </w:pPr>
            <w:r>
              <w:rPr>
                <w:rFonts w:ascii="Calibri" w:hAnsi="Calibri"/>
                <w:sz w:val="18"/>
              </w:rPr>
              <w:t>2,800</w:t>
            </w:r>
          </w:p>
        </w:tc>
        <w:tc>
          <w:tcPr>
            <w:tcW w:type="dxa" w:w="1440"/>
            <w:shd w:fill="E8F0FE"/>
          </w:tcPr>
          <w:p>
            <w:pPr>
              <w:spacing w:before="40" w:after="40"/>
            </w:pPr>
            <w:r>
              <w:rPr>
                <w:rFonts w:ascii="Calibri" w:hAnsi="Calibri"/>
                <w:sz w:val="18"/>
              </w:rPr>
              <w:t>3,000</w:t>
            </w:r>
          </w:p>
        </w:tc>
        <w:tc>
          <w:tcPr>
            <w:tcW w:type="dxa" w:w="1440"/>
            <w:shd w:fill="E8F0FE"/>
          </w:tcPr>
          <w:p>
            <w:pPr>
              <w:spacing w:before="40" w:after="40"/>
            </w:pPr>
            <w:r>
              <w:rPr>
                <w:rFonts w:ascii="Calibri" w:hAnsi="Calibri"/>
                <w:sz w:val="18"/>
              </w:rPr>
              <w:t>3,200</w:t>
            </w:r>
          </w:p>
        </w:tc>
        <w:tc>
          <w:tcPr>
            <w:tcW w:type="dxa" w:w="1440"/>
            <w:shd w:fill="E8F0FE"/>
          </w:tcPr>
          <w:p>
            <w:pPr>
              <w:spacing w:before="40" w:after="40"/>
            </w:pPr>
            <w:r>
              <w:rPr>
                <w:rFonts w:ascii="Calibri" w:hAnsi="Calibri"/>
                <w:sz w:val="18"/>
              </w:rPr>
              <w:t>3,400</w:t>
            </w:r>
          </w:p>
        </w:tc>
      </w:tr>
      <w:tr>
        <w:tc>
          <w:tcPr>
            <w:tcW w:type="dxa" w:w="1440"/>
          </w:tcPr>
          <w:p>
            <w:pPr>
              <w:spacing w:before="40" w:after="40"/>
            </w:pPr>
            <w:r>
              <w:rPr>
                <w:rFonts w:ascii="Calibri" w:hAnsi="Calibri"/>
                <w:b/>
                <w:sz w:val="18"/>
              </w:rPr>
              <w:t>PBT (Operating)</w:t>
            </w:r>
          </w:p>
        </w:tc>
        <w:tc>
          <w:tcPr>
            <w:tcW w:type="dxa" w:w="1440"/>
          </w:tcPr>
          <w:p>
            <w:pPr>
              <w:spacing w:before="40" w:after="40"/>
            </w:pPr>
            <w:r>
              <w:rPr>
                <w:rFonts w:ascii="Calibri" w:hAnsi="Calibri"/>
                <w:sz w:val="18"/>
              </w:rPr>
              <w:t>21,674</w:t>
            </w:r>
          </w:p>
        </w:tc>
        <w:tc>
          <w:tcPr>
            <w:tcW w:type="dxa" w:w="1440"/>
          </w:tcPr>
          <w:p>
            <w:pPr>
              <w:spacing w:before="40" w:after="40"/>
            </w:pPr>
            <w:r>
              <w:rPr>
                <w:rFonts w:ascii="Calibri" w:hAnsi="Calibri"/>
                <w:sz w:val="18"/>
              </w:rPr>
              <w:t>28,200</w:t>
            </w:r>
          </w:p>
        </w:tc>
        <w:tc>
          <w:tcPr>
            <w:tcW w:type="dxa" w:w="1440"/>
          </w:tcPr>
          <w:p>
            <w:pPr>
              <w:spacing w:before="40" w:after="40"/>
            </w:pPr>
            <w:r>
              <w:rPr>
                <w:rFonts w:ascii="Calibri" w:hAnsi="Calibri"/>
                <w:sz w:val="18"/>
              </w:rPr>
              <w:t>37,500</w:t>
            </w:r>
          </w:p>
        </w:tc>
        <w:tc>
          <w:tcPr>
            <w:tcW w:type="dxa" w:w="1440"/>
          </w:tcPr>
          <w:p>
            <w:pPr>
              <w:spacing w:before="40" w:after="40"/>
            </w:pPr>
            <w:r>
              <w:rPr>
                <w:rFonts w:ascii="Calibri" w:hAnsi="Calibri"/>
                <w:sz w:val="18"/>
              </w:rPr>
              <w:t>46,800</w:t>
            </w:r>
          </w:p>
        </w:tc>
        <w:tc>
          <w:tcPr>
            <w:tcW w:type="dxa" w:w="1440"/>
          </w:tcPr>
          <w:p>
            <w:pPr>
              <w:spacing w:before="40" w:after="40"/>
            </w:pPr>
            <w:r>
              <w:rPr>
                <w:rFonts w:ascii="Calibri" w:hAnsi="Calibri"/>
                <w:sz w:val="18"/>
              </w:rPr>
              <w:t>57,100</w:t>
            </w:r>
          </w:p>
        </w:tc>
      </w:tr>
      <w:tr>
        <w:tc>
          <w:tcPr>
            <w:tcW w:type="dxa" w:w="1440"/>
            <w:shd w:fill="E8F0FE"/>
          </w:tcPr>
          <w:p>
            <w:pPr>
              <w:spacing w:before="40" w:after="40"/>
            </w:pPr>
            <w:r>
              <w:rPr>
                <w:rFonts w:ascii="Calibri" w:hAnsi="Calibri"/>
                <w:b/>
                <w:sz w:val="18"/>
              </w:rPr>
              <w:t>Tax</w:t>
            </w:r>
          </w:p>
        </w:tc>
        <w:tc>
          <w:tcPr>
            <w:tcW w:type="dxa" w:w="1440"/>
            <w:shd w:fill="E8F0FE"/>
          </w:tcPr>
          <w:p>
            <w:pPr>
              <w:spacing w:before="40" w:after="40"/>
            </w:pPr>
            <w:r>
              <w:rPr>
                <w:rFonts w:ascii="Calibri" w:hAnsi="Calibri"/>
                <w:sz w:val="18"/>
              </w:rPr>
              <w:t>5,032</w:t>
            </w:r>
          </w:p>
        </w:tc>
        <w:tc>
          <w:tcPr>
            <w:tcW w:type="dxa" w:w="1440"/>
            <w:shd w:fill="E8F0FE"/>
          </w:tcPr>
          <w:p>
            <w:pPr>
              <w:spacing w:before="40" w:after="40"/>
            </w:pPr>
            <w:r>
              <w:rPr>
                <w:rFonts w:ascii="Calibri" w:hAnsi="Calibri"/>
                <w:sz w:val="18"/>
              </w:rPr>
              <w:t>6,800</w:t>
            </w:r>
          </w:p>
        </w:tc>
        <w:tc>
          <w:tcPr>
            <w:tcW w:type="dxa" w:w="1440"/>
            <w:shd w:fill="E8F0FE"/>
          </w:tcPr>
          <w:p>
            <w:pPr>
              <w:spacing w:before="40" w:after="40"/>
            </w:pPr>
            <w:r>
              <w:rPr>
                <w:rFonts w:ascii="Calibri" w:hAnsi="Calibri"/>
                <w:sz w:val="18"/>
              </w:rPr>
              <w:t>9,000</w:t>
            </w:r>
          </w:p>
        </w:tc>
        <w:tc>
          <w:tcPr>
            <w:tcW w:type="dxa" w:w="1440"/>
            <w:shd w:fill="E8F0FE"/>
          </w:tcPr>
          <w:p>
            <w:pPr>
              <w:spacing w:before="40" w:after="40"/>
            </w:pPr>
            <w:r>
              <w:rPr>
                <w:rFonts w:ascii="Calibri" w:hAnsi="Calibri"/>
                <w:sz w:val="18"/>
              </w:rPr>
              <w:t>11,200</w:t>
            </w:r>
          </w:p>
        </w:tc>
        <w:tc>
          <w:tcPr>
            <w:tcW w:type="dxa" w:w="1440"/>
            <w:shd w:fill="E8F0FE"/>
          </w:tcPr>
          <w:p>
            <w:pPr>
              <w:spacing w:before="40" w:after="40"/>
            </w:pPr>
            <w:r>
              <w:rPr>
                <w:rFonts w:ascii="Calibri" w:hAnsi="Calibri"/>
                <w:sz w:val="18"/>
              </w:rPr>
              <w:t>13,700</w:t>
            </w:r>
          </w:p>
        </w:tc>
      </w:tr>
      <w:tr>
        <w:tc>
          <w:tcPr>
            <w:tcW w:type="dxa" w:w="1440"/>
          </w:tcPr>
          <w:p>
            <w:pPr>
              <w:spacing w:before="40" w:after="40"/>
            </w:pPr>
            <w:r>
              <w:rPr>
                <w:rFonts w:ascii="Calibri" w:hAnsi="Calibri"/>
                <w:b/>
                <w:sz w:val="18"/>
              </w:rPr>
              <w:t>PAT (Operating)</w:t>
            </w:r>
          </w:p>
        </w:tc>
        <w:tc>
          <w:tcPr>
            <w:tcW w:type="dxa" w:w="1440"/>
          </w:tcPr>
          <w:p>
            <w:pPr>
              <w:spacing w:before="40" w:after="40"/>
            </w:pPr>
            <w:r>
              <w:rPr>
                <w:rFonts w:ascii="Calibri" w:hAnsi="Calibri"/>
                <w:sz w:val="18"/>
              </w:rPr>
              <w:t>16,642</w:t>
            </w:r>
          </w:p>
        </w:tc>
        <w:tc>
          <w:tcPr>
            <w:tcW w:type="dxa" w:w="1440"/>
          </w:tcPr>
          <w:p>
            <w:pPr>
              <w:spacing w:before="40" w:after="40"/>
            </w:pPr>
            <w:r>
              <w:rPr>
                <w:rFonts w:ascii="Calibri" w:hAnsi="Calibri"/>
                <w:sz w:val="18"/>
              </w:rPr>
              <w:t>21,400</w:t>
            </w:r>
          </w:p>
        </w:tc>
        <w:tc>
          <w:tcPr>
            <w:tcW w:type="dxa" w:w="1440"/>
          </w:tcPr>
          <w:p>
            <w:pPr>
              <w:spacing w:before="40" w:after="40"/>
            </w:pPr>
            <w:r>
              <w:rPr>
                <w:rFonts w:ascii="Calibri" w:hAnsi="Calibri"/>
                <w:sz w:val="18"/>
              </w:rPr>
              <w:t>28,500</w:t>
            </w:r>
          </w:p>
        </w:tc>
        <w:tc>
          <w:tcPr>
            <w:tcW w:type="dxa" w:w="1440"/>
          </w:tcPr>
          <w:p>
            <w:pPr>
              <w:spacing w:before="40" w:after="40"/>
            </w:pPr>
            <w:r>
              <w:rPr>
                <w:rFonts w:ascii="Calibri" w:hAnsi="Calibri"/>
                <w:sz w:val="18"/>
              </w:rPr>
              <w:t>35,600</w:t>
            </w:r>
          </w:p>
        </w:tc>
        <w:tc>
          <w:tcPr>
            <w:tcW w:type="dxa" w:w="1440"/>
          </w:tcPr>
          <w:p>
            <w:pPr>
              <w:spacing w:before="40" w:after="40"/>
            </w:pPr>
            <w:r>
              <w:rPr>
                <w:rFonts w:ascii="Calibri" w:hAnsi="Calibri"/>
                <w:sz w:val="18"/>
              </w:rPr>
              <w:t>43,400</w:t>
            </w:r>
          </w:p>
        </w:tc>
      </w:tr>
      <w:tr>
        <w:tc>
          <w:tcPr>
            <w:tcW w:type="dxa" w:w="1440"/>
            <w:shd w:fill="E8F0FE"/>
          </w:tcPr>
          <w:p>
            <w:pPr>
              <w:spacing w:before="40" w:after="40"/>
            </w:pPr>
            <w:r>
              <w:rPr>
                <w:rFonts w:ascii="Calibri" w:hAnsi="Calibri"/>
                <w:b/>
                <w:sz w:val="18"/>
              </w:rPr>
              <w:t>EPS (Operating)</w:t>
            </w:r>
          </w:p>
        </w:tc>
        <w:tc>
          <w:tcPr>
            <w:tcW w:type="dxa" w:w="1440"/>
            <w:shd w:fill="E8F0FE"/>
          </w:tcPr>
          <w:p>
            <w:pPr>
              <w:spacing w:before="40" w:after="40"/>
            </w:pPr>
            <w:r>
              <w:rPr>
                <w:rFonts w:ascii="Calibri" w:hAnsi="Calibri"/>
                <w:sz w:val="18"/>
              </w:rPr>
              <w:t>19.22</w:t>
            </w:r>
          </w:p>
        </w:tc>
        <w:tc>
          <w:tcPr>
            <w:tcW w:type="dxa" w:w="1440"/>
            <w:shd w:fill="E8F0FE"/>
          </w:tcPr>
          <w:p>
            <w:pPr>
              <w:spacing w:before="40" w:after="40"/>
            </w:pPr>
            <w:r>
              <w:rPr>
                <w:rFonts w:ascii="Calibri" w:hAnsi="Calibri"/>
                <w:sz w:val="18"/>
              </w:rPr>
              <w:t>24.70</w:t>
            </w:r>
          </w:p>
        </w:tc>
        <w:tc>
          <w:tcPr>
            <w:tcW w:type="dxa" w:w="1440"/>
            <w:shd w:fill="E8F0FE"/>
          </w:tcPr>
          <w:p>
            <w:pPr>
              <w:spacing w:before="40" w:after="40"/>
            </w:pPr>
            <w:r>
              <w:rPr>
                <w:rFonts w:ascii="Calibri" w:hAnsi="Calibri"/>
                <w:sz w:val="18"/>
              </w:rPr>
              <w:t>32.90</w:t>
            </w:r>
          </w:p>
        </w:tc>
        <w:tc>
          <w:tcPr>
            <w:tcW w:type="dxa" w:w="1440"/>
            <w:shd w:fill="E8F0FE"/>
          </w:tcPr>
          <w:p>
            <w:pPr>
              <w:spacing w:before="40" w:after="40"/>
            </w:pPr>
            <w:r>
              <w:rPr>
                <w:rFonts w:ascii="Calibri" w:hAnsi="Calibri"/>
                <w:sz w:val="18"/>
              </w:rPr>
              <w:t>41.10</w:t>
            </w:r>
          </w:p>
        </w:tc>
        <w:tc>
          <w:tcPr>
            <w:tcW w:type="dxa" w:w="1440"/>
            <w:shd w:fill="E8F0FE"/>
          </w:tcPr>
          <w:p>
            <w:pPr>
              <w:spacing w:before="40" w:after="40"/>
            </w:pPr>
            <w:r>
              <w:rPr>
                <w:rFonts w:ascii="Calibri" w:hAnsi="Calibri"/>
                <w:sz w:val="18"/>
              </w:rPr>
              <w:t>50.10</w:t>
            </w:r>
          </w:p>
        </w:tc>
      </w:tr>
    </w:tbl>
    <w:p/>
    <w:p>
      <w:pPr>
        <w:spacing w:after="80"/>
      </w:pPr>
      <w:r>
        <w:rPr>
          <w:rFonts w:ascii="Calibri" w:hAnsi="Calibri"/>
          <w:b/>
          <w:color w:val="333333"/>
          <w:sz w:val="20"/>
        </w:rPr>
        <w:t>Cash Flow Drivers:</w:t>
      </w:r>
      <w:r>
        <w:rPr>
          <w:rFonts w:ascii="Calibri" w:hAnsi="Calibri"/>
          <w:color w:val="333333"/>
          <w:sz w:val="20"/>
        </w:rPr>
        <w:t xml:space="preserve"> The company's cash flow from operations remains robust, driven by strong core business performance. However, significant capital expenditure for fleet expansion and international market development has led to substantial cash outflows in investing activities. Financing activities have seen proceeds from borrowings to fund capex, balanced by repayments and interest costs. The company's strategy of investing surplus cash in mutual funds and debt instruments provides additional income and liquidity.</w:t>
      </w:r>
    </w:p>
    <w:p>
      <w:pPr>
        <w:pStyle w:val="Heading2"/>
      </w:pPr>
      <w:r>
        <w:rPr>
          <w:rFonts w:ascii="Calibri" w:hAnsi="Calibri"/>
          <w:color w:val="1F5F8B"/>
          <w:sz w:val="26"/>
        </w:rPr>
        <w:t>3.1 Consolidated Profit &amp; Loss Statement (Rs. in Crores)</w:t>
      </w:r>
    </w:p>
    <w:p>
      <w:pPr>
        <w:spacing w:after="80"/>
      </w:pPr>
      <w:r>
        <w:rPr>
          <w:rFonts w:ascii="Calibri" w:hAnsi="Calibri"/>
          <w:color w:val="333333"/>
          <w:sz w:val="20"/>
        </w:rPr>
        <w:t>(Source: Screener.in)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1F5F8B"/>
          </w:tcPr>
          <w:p>
            <w:pPr>
              <w:spacing w:before="40" w:after="40"/>
            </w:pPr>
            <w:r>
              <w:rPr>
                <w:rFonts w:ascii="Calibri" w:hAnsi="Calibri"/>
                <w:b/>
                <w:color w:val="FFFFFF"/>
                <w:sz w:val="18"/>
              </w:rPr>
            </w:r>
          </w:p>
        </w:tc>
        <w:tc>
          <w:tcPr>
            <w:tcW w:type="dxa" w:w="1440"/>
            <w:shd w:fill="1F5F8B"/>
          </w:tcPr>
          <w:p>
            <w:pPr>
              <w:spacing w:before="40" w:after="40"/>
            </w:pPr>
            <w:r>
              <w:rPr>
                <w:rFonts w:ascii="Calibri" w:hAnsi="Calibri"/>
                <w:b/>
                <w:color w:val="FFFFFF"/>
                <w:sz w:val="18"/>
              </w:rPr>
              <w:t>Mar 2021</w:t>
            </w:r>
          </w:p>
        </w:tc>
        <w:tc>
          <w:tcPr>
            <w:tcW w:type="dxa" w:w="1440"/>
            <w:shd w:fill="1F5F8B"/>
          </w:tcPr>
          <w:p>
            <w:pPr>
              <w:spacing w:before="40" w:after="40"/>
            </w:pPr>
            <w:r>
              <w:rPr>
                <w:rFonts w:ascii="Calibri" w:hAnsi="Calibri"/>
                <w:b/>
                <w:color w:val="FFFFFF"/>
                <w:sz w:val="18"/>
              </w:rPr>
              <w:t>Mar 2022</w:t>
            </w:r>
          </w:p>
        </w:tc>
        <w:tc>
          <w:tcPr>
            <w:tcW w:type="dxa" w:w="1440"/>
            <w:shd w:fill="1F5F8B"/>
          </w:tcPr>
          <w:p>
            <w:pPr>
              <w:spacing w:before="40" w:after="40"/>
            </w:pPr>
            <w:r>
              <w:rPr>
                <w:rFonts w:ascii="Calibri" w:hAnsi="Calibri"/>
                <w:b/>
                <w:color w:val="FFFFFF"/>
                <w:sz w:val="18"/>
              </w:rPr>
              <w:t>Mar 2023</w:t>
            </w:r>
          </w:p>
        </w:tc>
        <w:tc>
          <w:tcPr>
            <w:tcW w:type="dxa" w:w="1440"/>
            <w:shd w:fill="1F5F8B"/>
          </w:tcPr>
          <w:p>
            <w:pPr>
              <w:spacing w:before="40" w:after="40"/>
            </w:pPr>
            <w:r>
              <w:rPr>
                <w:rFonts w:ascii="Calibri" w:hAnsi="Calibri"/>
                <w:b/>
                <w:color w:val="FFFFFF"/>
                <w:sz w:val="18"/>
              </w:rPr>
              <w:t>Mar 2025</w:t>
            </w:r>
          </w:p>
        </w:tc>
        <w:tc>
          <w:tcPr>
            <w:tcW w:type="dxa" w:w="1440"/>
            <w:shd w:fill="1F5F8B"/>
          </w:tcPr>
          <w:p>
            <w:pPr>
              <w:spacing w:before="40" w:after="40"/>
            </w:pPr>
            <w:r>
              <w:rPr>
                <w:rFonts w:ascii="Calibri" w:hAnsi="Calibri"/>
                <w:b/>
                <w:color w:val="FFFFFF"/>
                <w:sz w:val="18"/>
              </w:rPr>
              <w:t>TTM</w:t>
            </w:r>
          </w:p>
        </w:tc>
      </w:tr>
      <w:tr>
        <w:tc>
          <w:tcPr>
            <w:tcW w:type="dxa" w:w="1440"/>
          </w:tcPr>
          <w:p>
            <w:pPr>
              <w:spacing w:before="40" w:after="40"/>
            </w:pPr>
            <w:r>
              <w:rPr>
                <w:rFonts w:ascii="Calibri" w:hAnsi="Calibri"/>
                <w:b/>
                <w:sz w:val="18"/>
              </w:rPr>
              <w:t>Sales+</w:t>
            </w:r>
          </w:p>
        </w:tc>
        <w:tc>
          <w:tcPr>
            <w:tcW w:type="dxa" w:w="1440"/>
          </w:tcPr>
          <w:p>
            <w:pPr>
              <w:spacing w:before="40" w:after="40"/>
            </w:pPr>
            <w:r>
              <w:rPr>
                <w:rFonts w:ascii="Calibri" w:hAnsi="Calibri"/>
                <w:sz w:val="18"/>
              </w:rPr>
              <w:t>224</w:t>
            </w:r>
          </w:p>
        </w:tc>
        <w:tc>
          <w:tcPr>
            <w:tcW w:type="dxa" w:w="1440"/>
          </w:tcPr>
          <w:p>
            <w:pPr>
              <w:spacing w:before="40" w:after="40"/>
            </w:pPr>
            <w:r>
              <w:rPr>
                <w:rFonts w:ascii="Calibri" w:hAnsi="Calibri"/>
                <w:sz w:val="18"/>
              </w:rPr>
              <w:t>335</w:t>
            </w:r>
          </w:p>
        </w:tc>
        <w:tc>
          <w:tcPr>
            <w:tcW w:type="dxa" w:w="1440"/>
          </w:tcPr>
          <w:p>
            <w:pPr>
              <w:spacing w:before="40" w:after="40"/>
            </w:pPr>
            <w:r>
              <w:rPr>
                <w:rFonts w:ascii="Calibri" w:hAnsi="Calibri"/>
                <w:sz w:val="18"/>
              </w:rPr>
              <w:t>456</w:t>
            </w:r>
          </w:p>
        </w:tc>
        <w:tc>
          <w:tcPr>
            <w:tcW w:type="dxa" w:w="1440"/>
          </w:tcPr>
          <w:p>
            <w:pPr>
              <w:spacing w:before="40" w:after="40"/>
            </w:pPr>
            <w:r>
              <w:rPr>
                <w:rFonts w:ascii="Calibri" w:hAnsi="Calibri"/>
                <w:sz w:val="18"/>
              </w:rPr>
              <w:t>782</w:t>
            </w:r>
          </w:p>
        </w:tc>
        <w:tc>
          <w:tcPr>
            <w:tcW w:type="dxa" w:w="1440"/>
          </w:tcPr>
          <w:p>
            <w:pPr>
              <w:spacing w:before="40" w:after="40"/>
            </w:pPr>
            <w:r>
              <w:rPr>
                <w:rFonts w:ascii="Calibri" w:hAnsi="Calibri"/>
                <w:sz w:val="18"/>
              </w:rPr>
              <w:t>986</w:t>
            </w:r>
          </w:p>
        </w:tc>
      </w:tr>
      <w:tr>
        <w:tc>
          <w:tcPr>
            <w:tcW w:type="dxa" w:w="1440"/>
            <w:shd w:fill="E8F0FE"/>
          </w:tcPr>
          <w:p>
            <w:pPr>
              <w:spacing w:before="40" w:after="40"/>
            </w:pPr>
            <w:r>
              <w:rPr>
                <w:rFonts w:ascii="Calibri" w:hAnsi="Calibri"/>
                <w:b/>
                <w:sz w:val="18"/>
              </w:rPr>
              <w:t>Expenses+</w:t>
            </w:r>
          </w:p>
        </w:tc>
        <w:tc>
          <w:tcPr>
            <w:tcW w:type="dxa" w:w="1440"/>
            <w:shd w:fill="E8F0FE"/>
          </w:tcPr>
          <w:p>
            <w:pPr>
              <w:spacing w:before="40" w:after="40"/>
            </w:pPr>
            <w:r>
              <w:rPr>
                <w:rFonts w:ascii="Calibri" w:hAnsi="Calibri"/>
                <w:sz w:val="18"/>
              </w:rPr>
              <w:t>137</w:t>
            </w:r>
          </w:p>
        </w:tc>
        <w:tc>
          <w:tcPr>
            <w:tcW w:type="dxa" w:w="1440"/>
            <w:shd w:fill="E8F0FE"/>
          </w:tcPr>
          <w:p>
            <w:pPr>
              <w:spacing w:before="40" w:after="40"/>
            </w:pPr>
            <w:r>
              <w:rPr>
                <w:rFonts w:ascii="Calibri" w:hAnsi="Calibri"/>
                <w:sz w:val="18"/>
              </w:rPr>
              <w:t>197</w:t>
            </w:r>
          </w:p>
        </w:tc>
        <w:tc>
          <w:tcPr>
            <w:tcW w:type="dxa" w:w="1440"/>
            <w:shd w:fill="E8F0FE"/>
          </w:tcPr>
          <w:p>
            <w:pPr>
              <w:spacing w:before="40" w:after="40"/>
            </w:pPr>
            <w:r>
              <w:rPr>
                <w:rFonts w:ascii="Calibri" w:hAnsi="Calibri"/>
                <w:sz w:val="18"/>
              </w:rPr>
              <w:t>199</w:t>
            </w:r>
          </w:p>
        </w:tc>
        <w:tc>
          <w:tcPr>
            <w:tcW w:type="dxa" w:w="1440"/>
            <w:shd w:fill="E8F0FE"/>
          </w:tcPr>
          <w:p>
            <w:pPr>
              <w:spacing w:before="40" w:after="40"/>
            </w:pPr>
            <w:r>
              <w:rPr>
                <w:rFonts w:ascii="Calibri" w:hAnsi="Calibri"/>
                <w:sz w:val="18"/>
              </w:rPr>
              <w:t>452</w:t>
            </w:r>
          </w:p>
        </w:tc>
        <w:tc>
          <w:tcPr>
            <w:tcW w:type="dxa" w:w="1440"/>
            <w:shd w:fill="E8F0FE"/>
          </w:tcPr>
          <w:p>
            <w:pPr>
              <w:spacing w:before="40" w:after="40"/>
            </w:pPr>
            <w:r>
              <w:rPr>
                <w:rFonts w:ascii="Calibri" w:hAnsi="Calibri"/>
                <w:sz w:val="18"/>
              </w:rPr>
              <w:t>614</w:t>
            </w:r>
          </w:p>
        </w:tc>
      </w:tr>
      <w:tr>
        <w:tc>
          <w:tcPr>
            <w:tcW w:type="dxa" w:w="1440"/>
          </w:tcPr>
          <w:p>
            <w:pPr>
              <w:spacing w:before="40" w:after="40"/>
            </w:pPr>
            <w:r>
              <w:rPr>
                <w:rFonts w:ascii="Calibri" w:hAnsi="Calibri"/>
                <w:b/>
                <w:sz w:val="18"/>
              </w:rPr>
              <w:t>Operating Profit</w:t>
            </w:r>
          </w:p>
        </w:tc>
        <w:tc>
          <w:tcPr>
            <w:tcW w:type="dxa" w:w="1440"/>
          </w:tcPr>
          <w:p>
            <w:pPr>
              <w:spacing w:before="40" w:after="40"/>
            </w:pPr>
            <w:r>
              <w:rPr>
                <w:rFonts w:ascii="Calibri" w:hAnsi="Calibri"/>
                <w:sz w:val="18"/>
              </w:rPr>
              <w:t>87</w:t>
            </w:r>
          </w:p>
        </w:tc>
        <w:tc>
          <w:tcPr>
            <w:tcW w:type="dxa" w:w="1440"/>
          </w:tcPr>
          <w:p>
            <w:pPr>
              <w:spacing w:before="40" w:after="40"/>
            </w:pPr>
            <w:r>
              <w:rPr>
                <w:rFonts w:ascii="Calibri" w:hAnsi="Calibri"/>
                <w:sz w:val="18"/>
              </w:rPr>
              <w:t>138</w:t>
            </w:r>
          </w:p>
        </w:tc>
        <w:tc>
          <w:tcPr>
            <w:tcW w:type="dxa" w:w="1440"/>
          </w:tcPr>
          <w:p>
            <w:pPr>
              <w:spacing w:before="40" w:after="40"/>
            </w:pPr>
            <w:r>
              <w:rPr>
                <w:rFonts w:ascii="Calibri" w:hAnsi="Calibri"/>
                <w:sz w:val="18"/>
              </w:rPr>
              <w:t>257</w:t>
            </w:r>
          </w:p>
        </w:tc>
        <w:tc>
          <w:tcPr>
            <w:tcW w:type="dxa" w:w="1440"/>
          </w:tcPr>
          <w:p>
            <w:pPr>
              <w:spacing w:before="40" w:after="40"/>
            </w:pPr>
            <w:r>
              <w:rPr>
                <w:rFonts w:ascii="Calibri" w:hAnsi="Calibri"/>
                <w:sz w:val="18"/>
              </w:rPr>
              <w:t>330</w:t>
            </w:r>
          </w:p>
        </w:tc>
        <w:tc>
          <w:tcPr>
            <w:tcW w:type="dxa" w:w="1440"/>
          </w:tcPr>
          <w:p>
            <w:pPr>
              <w:spacing w:before="40" w:after="40"/>
            </w:pPr>
            <w:r>
              <w:rPr>
                <w:rFonts w:ascii="Calibri" w:hAnsi="Calibri"/>
                <w:sz w:val="18"/>
              </w:rPr>
              <w:t>373</w:t>
            </w:r>
          </w:p>
        </w:tc>
      </w:tr>
      <w:tr>
        <w:tc>
          <w:tcPr>
            <w:tcW w:type="dxa" w:w="1440"/>
            <w:shd w:fill="E8F0FE"/>
          </w:tcPr>
          <w:p>
            <w:pPr>
              <w:spacing w:before="40" w:after="40"/>
            </w:pPr>
            <w:r>
              <w:rPr>
                <w:rFonts w:ascii="Calibri" w:hAnsi="Calibri"/>
                <w:b/>
                <w:sz w:val="18"/>
              </w:rPr>
              <w:t>OPM %</w:t>
            </w:r>
          </w:p>
        </w:tc>
        <w:tc>
          <w:tcPr>
            <w:tcW w:type="dxa" w:w="1440"/>
            <w:shd w:fill="E8F0FE"/>
          </w:tcPr>
          <w:p>
            <w:pPr>
              <w:spacing w:before="40" w:after="40"/>
            </w:pPr>
            <w:r>
              <w:rPr>
                <w:rFonts w:ascii="Calibri" w:hAnsi="Calibri"/>
                <w:sz w:val="18"/>
              </w:rPr>
              <w:t>39%</w:t>
            </w:r>
          </w:p>
        </w:tc>
        <w:tc>
          <w:tcPr>
            <w:tcW w:type="dxa" w:w="1440"/>
            <w:shd w:fill="E8F0FE"/>
          </w:tcPr>
          <w:p>
            <w:pPr>
              <w:spacing w:before="40" w:after="40"/>
            </w:pPr>
            <w:r>
              <w:rPr>
                <w:rFonts w:ascii="Calibri" w:hAnsi="Calibri"/>
                <w:sz w:val="18"/>
              </w:rPr>
              <w:t>41%</w:t>
            </w:r>
          </w:p>
        </w:tc>
        <w:tc>
          <w:tcPr>
            <w:tcW w:type="dxa" w:w="1440"/>
            <w:shd w:fill="E8F0FE"/>
          </w:tcPr>
          <w:p>
            <w:pPr>
              <w:spacing w:before="40" w:after="40"/>
            </w:pPr>
            <w:r>
              <w:rPr>
                <w:rFonts w:ascii="Calibri" w:hAnsi="Calibri"/>
                <w:sz w:val="18"/>
              </w:rPr>
              <w:t>56%</w:t>
            </w:r>
          </w:p>
        </w:tc>
        <w:tc>
          <w:tcPr>
            <w:tcW w:type="dxa" w:w="1440"/>
            <w:shd w:fill="E8F0FE"/>
          </w:tcPr>
          <w:p>
            <w:pPr>
              <w:spacing w:before="40" w:after="40"/>
            </w:pPr>
            <w:r>
              <w:rPr>
                <w:rFonts w:ascii="Calibri" w:hAnsi="Calibri"/>
                <w:sz w:val="18"/>
              </w:rPr>
              <w:t>42%</w:t>
            </w:r>
          </w:p>
        </w:tc>
        <w:tc>
          <w:tcPr>
            <w:tcW w:type="dxa" w:w="1440"/>
            <w:shd w:fill="E8F0FE"/>
          </w:tcPr>
          <w:p>
            <w:pPr>
              <w:spacing w:before="40" w:after="40"/>
            </w:pPr>
            <w:r>
              <w:rPr>
                <w:rFonts w:ascii="Calibri" w:hAnsi="Calibri"/>
                <w:sz w:val="18"/>
              </w:rPr>
              <w:t>38%</w:t>
            </w:r>
          </w:p>
        </w:tc>
      </w:tr>
      <w:tr>
        <w:tc>
          <w:tcPr>
            <w:tcW w:type="dxa" w:w="1440"/>
          </w:tcPr>
          <w:p>
            <w:pPr>
              <w:spacing w:before="40" w:after="40"/>
            </w:pPr>
            <w:r>
              <w:rPr>
                <w:rFonts w:ascii="Calibri" w:hAnsi="Calibri"/>
                <w:b/>
                <w:sz w:val="18"/>
              </w:rPr>
              <w:t>Other Income+</w:t>
            </w:r>
          </w:p>
        </w:tc>
        <w:tc>
          <w:tcPr>
            <w:tcW w:type="dxa" w:w="1440"/>
          </w:tcPr>
          <w:p>
            <w:pPr>
              <w:spacing w:before="40" w:after="40"/>
            </w:pPr>
            <w:r>
              <w:rPr>
                <w:rFonts w:ascii="Calibri" w:hAnsi="Calibri"/>
                <w:sz w:val="18"/>
              </w:rPr>
              <w:t>29</w:t>
            </w:r>
          </w:p>
        </w:tc>
        <w:tc>
          <w:tcPr>
            <w:tcW w:type="dxa" w:w="1440"/>
          </w:tcPr>
          <w:p>
            <w:pPr>
              <w:spacing w:before="40" w:after="40"/>
            </w:pPr>
            <w:r>
              <w:rPr>
                <w:rFonts w:ascii="Calibri" w:hAnsi="Calibri"/>
                <w:sz w:val="18"/>
              </w:rPr>
              <w:t>37</w:t>
            </w:r>
          </w:p>
        </w:tc>
        <w:tc>
          <w:tcPr>
            <w:tcW w:type="dxa" w:w="1440"/>
          </w:tcPr>
          <w:p>
            <w:pPr>
              <w:spacing w:before="40" w:after="40"/>
            </w:pPr>
            <w:r>
              <w:rPr>
                <w:rFonts w:ascii="Calibri" w:hAnsi="Calibri"/>
                <w:sz w:val="18"/>
              </w:rPr>
              <w:t>30</w:t>
            </w:r>
          </w:p>
        </w:tc>
        <w:tc>
          <w:tcPr>
            <w:tcW w:type="dxa" w:w="1440"/>
          </w:tcPr>
          <w:p>
            <w:pPr>
              <w:spacing w:before="40" w:after="40"/>
            </w:pPr>
            <w:r>
              <w:rPr>
                <w:rFonts w:ascii="Calibri" w:hAnsi="Calibri"/>
                <w:sz w:val="18"/>
              </w:rPr>
              <w:t>41</w:t>
            </w:r>
          </w:p>
        </w:tc>
        <w:tc>
          <w:tcPr>
            <w:tcW w:type="dxa" w:w="1440"/>
          </w:tcPr>
          <w:p>
            <w:pPr>
              <w:spacing w:before="40" w:after="40"/>
            </w:pPr>
            <w:r>
              <w:rPr>
                <w:rFonts w:ascii="Calibri" w:hAnsi="Calibri"/>
                <w:sz w:val="18"/>
              </w:rPr>
              <w:t>19</w:t>
            </w:r>
          </w:p>
        </w:tc>
      </w:tr>
      <w:tr>
        <w:tc>
          <w:tcPr>
            <w:tcW w:type="dxa" w:w="1440"/>
            <w:shd w:fill="E8F0FE"/>
          </w:tcPr>
          <w:p>
            <w:pPr>
              <w:spacing w:before="40" w:after="40"/>
            </w:pPr>
            <w:r>
              <w:rPr>
                <w:rFonts w:ascii="Calibri" w:hAnsi="Calibri"/>
                <w:b/>
                <w:sz w:val="18"/>
              </w:rPr>
              <w:t>Interest</w:t>
            </w:r>
          </w:p>
        </w:tc>
        <w:tc>
          <w:tcPr>
            <w:tcW w:type="dxa" w:w="1440"/>
            <w:shd w:fill="E8F0FE"/>
          </w:tcPr>
          <w:p>
            <w:pPr>
              <w:spacing w:before="40" w:after="40"/>
            </w:pPr>
            <w:r>
              <w:rPr>
                <w:rFonts w:ascii="Calibri" w:hAnsi="Calibri"/>
                <w:sz w:val="18"/>
              </w:rPr>
              <w:t>26</w:t>
            </w:r>
          </w:p>
        </w:tc>
        <w:tc>
          <w:tcPr>
            <w:tcW w:type="dxa" w:w="1440"/>
            <w:shd w:fill="E8F0FE"/>
          </w:tcPr>
          <w:p>
            <w:pPr>
              <w:spacing w:before="40" w:after="40"/>
            </w:pPr>
            <w:r>
              <w:rPr>
                <w:rFonts w:ascii="Calibri" w:hAnsi="Calibri"/>
                <w:sz w:val="18"/>
              </w:rPr>
              <w:t>17</w:t>
            </w:r>
          </w:p>
        </w:tc>
        <w:tc>
          <w:tcPr>
            <w:tcW w:type="dxa" w:w="1440"/>
            <w:shd w:fill="E8F0FE"/>
          </w:tcPr>
          <w:p>
            <w:pPr>
              <w:spacing w:before="40" w:after="40"/>
            </w:pPr>
            <w:r>
              <w:rPr>
                <w:rFonts w:ascii="Calibri" w:hAnsi="Calibri"/>
                <w:sz w:val="18"/>
              </w:rPr>
              <w:t>17</w:t>
            </w:r>
          </w:p>
        </w:tc>
        <w:tc>
          <w:tcPr>
            <w:tcW w:type="dxa" w:w="1440"/>
            <w:shd w:fill="E8F0FE"/>
          </w:tcPr>
          <w:p>
            <w:pPr>
              <w:spacing w:before="40" w:after="40"/>
            </w:pPr>
            <w:r>
              <w:rPr>
                <w:rFonts w:ascii="Calibri" w:hAnsi="Calibri"/>
                <w:sz w:val="18"/>
              </w:rPr>
              <w:t>26</w:t>
            </w:r>
          </w:p>
        </w:tc>
        <w:tc>
          <w:tcPr>
            <w:tcW w:type="dxa" w:w="1440"/>
            <w:shd w:fill="E8F0FE"/>
          </w:tcPr>
          <w:p>
            <w:pPr>
              <w:spacing w:before="40" w:after="40"/>
            </w:pPr>
            <w:r>
              <w:rPr>
                <w:rFonts w:ascii="Calibri" w:hAnsi="Calibri"/>
                <w:sz w:val="18"/>
              </w:rPr>
              <w:t>31</w:t>
            </w:r>
          </w:p>
        </w:tc>
      </w:tr>
      <w:tr>
        <w:tc>
          <w:tcPr>
            <w:tcW w:type="dxa" w:w="1440"/>
          </w:tcPr>
          <w:p>
            <w:pPr>
              <w:spacing w:before="40" w:after="40"/>
            </w:pPr>
            <w:r>
              <w:rPr>
                <w:rFonts w:ascii="Calibri" w:hAnsi="Calibri"/>
                <w:b/>
                <w:sz w:val="18"/>
              </w:rPr>
              <w:t>Depreciation</w:t>
            </w:r>
          </w:p>
        </w:tc>
        <w:tc>
          <w:tcPr>
            <w:tcW w:type="dxa" w:w="1440"/>
          </w:tcPr>
          <w:p>
            <w:pPr>
              <w:spacing w:before="40" w:after="40"/>
            </w:pPr>
            <w:r>
              <w:rPr>
                <w:rFonts w:ascii="Calibri" w:hAnsi="Calibri"/>
                <w:sz w:val="18"/>
              </w:rPr>
              <w:t>122</w:t>
            </w:r>
          </w:p>
        </w:tc>
        <w:tc>
          <w:tcPr>
            <w:tcW w:type="dxa" w:w="1440"/>
          </w:tcPr>
          <w:p>
            <w:pPr>
              <w:spacing w:before="40" w:after="40"/>
            </w:pPr>
            <w:r>
              <w:rPr>
                <w:rFonts w:ascii="Calibri" w:hAnsi="Calibri"/>
                <w:sz w:val="18"/>
              </w:rPr>
              <w:t>118</w:t>
            </w:r>
          </w:p>
        </w:tc>
        <w:tc>
          <w:tcPr>
            <w:tcW w:type="dxa" w:w="1440"/>
          </w:tcPr>
          <w:p>
            <w:pPr>
              <w:spacing w:before="40" w:after="40"/>
            </w:pPr>
            <w:r>
              <w:rPr>
                <w:rFonts w:ascii="Calibri" w:hAnsi="Calibri"/>
                <w:sz w:val="18"/>
              </w:rPr>
              <w:t>121</w:t>
            </w:r>
          </w:p>
        </w:tc>
        <w:tc>
          <w:tcPr>
            <w:tcW w:type="dxa" w:w="1440"/>
          </w:tcPr>
          <w:p>
            <w:pPr>
              <w:spacing w:before="40" w:after="40"/>
            </w:pPr>
            <w:r>
              <w:rPr>
                <w:rFonts w:ascii="Calibri" w:hAnsi="Calibri"/>
                <w:sz w:val="18"/>
              </w:rPr>
              <w:t>129</w:t>
            </w:r>
          </w:p>
        </w:tc>
        <w:tc>
          <w:tcPr>
            <w:tcW w:type="dxa" w:w="1440"/>
          </w:tcPr>
          <w:p>
            <w:pPr>
              <w:spacing w:before="40" w:after="40"/>
            </w:pPr>
            <w:r>
              <w:rPr>
                <w:rFonts w:ascii="Calibri" w:hAnsi="Calibri"/>
                <w:sz w:val="18"/>
              </w:rPr>
              <w:t>127</w:t>
            </w:r>
          </w:p>
        </w:tc>
      </w:tr>
      <w:tr>
        <w:tc>
          <w:tcPr>
            <w:tcW w:type="dxa" w:w="1440"/>
            <w:shd w:fill="E8F0FE"/>
          </w:tcPr>
          <w:p>
            <w:pPr>
              <w:spacing w:before="40" w:after="40"/>
            </w:pPr>
            <w:r>
              <w:rPr>
                <w:rFonts w:ascii="Calibri" w:hAnsi="Calibri"/>
                <w:b/>
                <w:sz w:val="18"/>
              </w:rPr>
              <w:t>Profit before tax</w:t>
            </w:r>
          </w:p>
        </w:tc>
        <w:tc>
          <w:tcPr>
            <w:tcW w:type="dxa" w:w="1440"/>
            <w:shd w:fill="E8F0FE"/>
          </w:tcPr>
          <w:p>
            <w:pPr>
              <w:spacing w:before="40" w:after="40"/>
            </w:pPr>
            <w:r>
              <w:rPr>
                <w:rFonts w:ascii="Calibri" w:hAnsi="Calibri"/>
                <w:sz w:val="18"/>
              </w:rPr>
              <w:t>-32</w:t>
            </w:r>
          </w:p>
        </w:tc>
        <w:tc>
          <w:tcPr>
            <w:tcW w:type="dxa" w:w="1440"/>
            <w:shd w:fill="E8F0FE"/>
          </w:tcPr>
          <w:p>
            <w:pPr>
              <w:spacing w:before="40" w:after="40"/>
            </w:pPr>
            <w:r>
              <w:rPr>
                <w:rFonts w:ascii="Calibri" w:hAnsi="Calibri"/>
                <w:sz w:val="18"/>
              </w:rPr>
              <w:t>39</w:t>
            </w:r>
          </w:p>
        </w:tc>
        <w:tc>
          <w:tcPr>
            <w:tcW w:type="dxa" w:w="1440"/>
            <w:shd w:fill="E8F0FE"/>
          </w:tcPr>
          <w:p>
            <w:pPr>
              <w:spacing w:before="40" w:after="40"/>
            </w:pPr>
            <w:r>
              <w:rPr>
                <w:rFonts w:ascii="Calibri" w:hAnsi="Calibri"/>
                <w:sz w:val="18"/>
              </w:rPr>
              <w:t>149</w:t>
            </w:r>
          </w:p>
        </w:tc>
        <w:tc>
          <w:tcPr>
            <w:tcW w:type="dxa" w:w="1440"/>
            <w:shd w:fill="E8F0FE"/>
          </w:tcPr>
          <w:p>
            <w:pPr>
              <w:spacing w:before="40" w:after="40"/>
            </w:pPr>
            <w:r>
              <w:rPr>
                <w:rFonts w:ascii="Calibri" w:hAnsi="Calibri"/>
                <w:sz w:val="18"/>
              </w:rPr>
              <w:t>217</w:t>
            </w:r>
          </w:p>
        </w:tc>
        <w:tc>
          <w:tcPr>
            <w:tcW w:type="dxa" w:w="1440"/>
            <w:shd w:fill="E8F0FE"/>
          </w:tcPr>
          <w:p>
            <w:pPr>
              <w:spacing w:before="40" w:after="40"/>
            </w:pPr>
            <w:r>
              <w:rPr>
                <w:rFonts w:ascii="Calibri" w:hAnsi="Calibri"/>
                <w:sz w:val="18"/>
              </w:rPr>
              <w:t>233</w:t>
            </w:r>
          </w:p>
        </w:tc>
      </w:tr>
      <w:tr>
        <w:tc>
          <w:tcPr>
            <w:tcW w:type="dxa" w:w="1440"/>
          </w:tcPr>
          <w:p>
            <w:pPr>
              <w:spacing w:before="40" w:after="40"/>
            </w:pPr>
            <w:r>
              <w:rPr>
                <w:rFonts w:ascii="Calibri" w:hAnsi="Calibri"/>
                <w:b/>
                <w:sz w:val="18"/>
              </w:rPr>
              <w:t>Tax %</w:t>
            </w:r>
          </w:p>
        </w:tc>
        <w:tc>
          <w:tcPr>
            <w:tcW w:type="dxa" w:w="1440"/>
          </w:tcPr>
          <w:p>
            <w:pPr>
              <w:spacing w:before="40" w:after="40"/>
            </w:pPr>
            <w:r>
              <w:rPr>
                <w:rFonts w:ascii="Calibri" w:hAnsi="Calibri"/>
                <w:sz w:val="18"/>
              </w:rPr>
              <w:t>-30%</w:t>
            </w:r>
          </w:p>
        </w:tc>
        <w:tc>
          <w:tcPr>
            <w:tcW w:type="dxa" w:w="1440"/>
          </w:tcPr>
          <w:p>
            <w:pPr>
              <w:spacing w:before="40" w:after="40"/>
            </w:pPr>
            <w:r>
              <w:rPr>
                <w:rFonts w:ascii="Calibri" w:hAnsi="Calibri"/>
                <w:sz w:val="18"/>
              </w:rPr>
              <w:t>26%</w:t>
            </w:r>
          </w:p>
        </w:tc>
        <w:tc>
          <w:tcPr>
            <w:tcW w:type="dxa" w:w="1440"/>
          </w:tcPr>
          <w:p>
            <w:pPr>
              <w:spacing w:before="40" w:after="40"/>
            </w:pPr>
            <w:r>
              <w:rPr>
                <w:rFonts w:ascii="Calibri" w:hAnsi="Calibri"/>
                <w:sz w:val="18"/>
              </w:rPr>
              <w:t>25%</w:t>
            </w:r>
          </w:p>
        </w:tc>
        <w:tc>
          <w:tcPr>
            <w:tcW w:type="dxa" w:w="1440"/>
          </w:tcPr>
          <w:p>
            <w:pPr>
              <w:spacing w:before="40" w:after="40"/>
            </w:pPr>
            <w:r>
              <w:rPr>
                <w:rFonts w:ascii="Calibri" w:hAnsi="Calibri"/>
                <w:sz w:val="18"/>
              </w:rPr>
              <w:t>28%</w:t>
            </w:r>
          </w:p>
        </w:tc>
        <w:tc>
          <w:tcPr>
            <w:tcW w:type="dxa" w:w="1440"/>
          </w:tcPr>
          <w:p>
            <w:pPr>
              <w:spacing w:before="40" w:after="40"/>
            </w:pPr>
            <w:r>
              <w:rPr>
                <w:rFonts w:ascii="Calibri" w:hAnsi="Calibri"/>
                <w:sz w:val="18"/>
              </w:rPr>
            </w:r>
          </w:p>
        </w:tc>
      </w:tr>
      <w:tr>
        <w:tc>
          <w:tcPr>
            <w:tcW w:type="dxa" w:w="1440"/>
            <w:shd w:fill="E8F0FE"/>
          </w:tcPr>
          <w:p>
            <w:pPr>
              <w:spacing w:before="40" w:after="40"/>
            </w:pPr>
            <w:r>
              <w:rPr>
                <w:rFonts w:ascii="Calibri" w:hAnsi="Calibri"/>
                <w:b/>
                <w:sz w:val="18"/>
              </w:rPr>
              <w:t>Net Profit+</w:t>
            </w:r>
          </w:p>
        </w:tc>
        <w:tc>
          <w:tcPr>
            <w:tcW w:type="dxa" w:w="1440"/>
            <w:shd w:fill="E8F0FE"/>
          </w:tcPr>
          <w:p>
            <w:pPr>
              <w:spacing w:before="40" w:after="40"/>
            </w:pPr>
            <w:r>
              <w:rPr>
                <w:rFonts w:ascii="Calibri" w:hAnsi="Calibri"/>
                <w:sz w:val="18"/>
              </w:rPr>
              <w:t>-22</w:t>
            </w:r>
          </w:p>
        </w:tc>
        <w:tc>
          <w:tcPr>
            <w:tcW w:type="dxa" w:w="1440"/>
            <w:shd w:fill="E8F0FE"/>
          </w:tcPr>
          <w:p>
            <w:pPr>
              <w:spacing w:before="40" w:after="40"/>
            </w:pPr>
            <w:r>
              <w:rPr>
                <w:rFonts w:ascii="Calibri" w:hAnsi="Calibri"/>
                <w:sz w:val="18"/>
              </w:rPr>
              <w:t>29</w:t>
            </w:r>
          </w:p>
        </w:tc>
        <w:tc>
          <w:tcPr>
            <w:tcW w:type="dxa" w:w="1440"/>
            <w:shd w:fill="E8F0FE"/>
          </w:tcPr>
          <w:p>
            <w:pPr>
              <w:spacing w:before="40" w:after="40"/>
            </w:pPr>
            <w:r>
              <w:rPr>
                <w:rFonts w:ascii="Calibri" w:hAnsi="Calibri"/>
                <w:sz w:val="18"/>
              </w:rPr>
              <w:t>112</w:t>
            </w:r>
          </w:p>
        </w:tc>
        <w:tc>
          <w:tcPr>
            <w:tcW w:type="dxa" w:w="1440"/>
            <w:shd w:fill="E8F0FE"/>
          </w:tcPr>
          <w:p>
            <w:pPr>
              <w:spacing w:before="40" w:after="40"/>
            </w:pPr>
            <w:r>
              <w:rPr>
                <w:rFonts w:ascii="Calibri" w:hAnsi="Calibri"/>
                <w:sz w:val="18"/>
              </w:rPr>
              <w:t>157</w:t>
            </w:r>
          </w:p>
        </w:tc>
        <w:tc>
          <w:tcPr>
            <w:tcW w:type="dxa" w:w="1440"/>
            <w:shd w:fill="E8F0FE"/>
          </w:tcPr>
          <w:p>
            <w:pPr>
              <w:spacing w:before="40" w:after="40"/>
            </w:pPr>
            <w:r>
              <w:rPr>
                <w:rFonts w:ascii="Calibri" w:hAnsi="Calibri"/>
                <w:sz w:val="18"/>
              </w:rPr>
              <w:t>169</w:t>
            </w:r>
          </w:p>
        </w:tc>
      </w:tr>
      <w:tr>
        <w:tc>
          <w:tcPr>
            <w:tcW w:type="dxa" w:w="1440"/>
          </w:tcPr>
          <w:p>
            <w:pPr>
              <w:spacing w:before="40" w:after="40"/>
            </w:pPr>
            <w:r>
              <w:rPr>
                <w:rFonts w:ascii="Calibri" w:hAnsi="Calibri"/>
                <w:b/>
                <w:sz w:val="18"/>
              </w:rPr>
              <w:t>EPS in Rs</w:t>
            </w:r>
          </w:p>
        </w:tc>
        <w:tc>
          <w:tcPr>
            <w:tcW w:type="dxa" w:w="1440"/>
          </w:tcPr>
          <w:p>
            <w:pPr>
              <w:spacing w:before="40" w:after="40"/>
            </w:pPr>
            <w:r>
              <w:rPr>
                <w:rFonts w:ascii="Calibri" w:hAnsi="Calibri"/>
                <w:sz w:val="18"/>
              </w:rPr>
              <w:t>-2.59</w:t>
            </w:r>
          </w:p>
        </w:tc>
        <w:tc>
          <w:tcPr>
            <w:tcW w:type="dxa" w:w="1440"/>
          </w:tcPr>
          <w:p>
            <w:pPr>
              <w:spacing w:before="40" w:after="40"/>
            </w:pPr>
            <w:r>
              <w:rPr>
                <w:rFonts w:ascii="Calibri" w:hAnsi="Calibri"/>
                <w:sz w:val="18"/>
              </w:rPr>
              <w:t>3.39</w:t>
            </w:r>
          </w:p>
        </w:tc>
        <w:tc>
          <w:tcPr>
            <w:tcW w:type="dxa" w:w="1440"/>
          </w:tcPr>
          <w:p>
            <w:pPr>
              <w:spacing w:before="40" w:after="40"/>
            </w:pPr>
            <w:r>
              <w:rPr>
                <w:rFonts w:ascii="Calibri" w:hAnsi="Calibri"/>
                <w:sz w:val="18"/>
              </w:rPr>
              <w:t>12.94</w:t>
            </w:r>
          </w:p>
        </w:tc>
        <w:tc>
          <w:tcPr>
            <w:tcW w:type="dxa" w:w="1440"/>
          </w:tcPr>
          <w:p>
            <w:pPr>
              <w:spacing w:before="40" w:after="40"/>
            </w:pPr>
            <w:r>
              <w:rPr>
                <w:rFonts w:ascii="Calibri" w:hAnsi="Calibri"/>
                <w:sz w:val="18"/>
              </w:rPr>
              <w:t>18.08</w:t>
            </w:r>
          </w:p>
        </w:tc>
        <w:tc>
          <w:tcPr>
            <w:tcW w:type="dxa" w:w="1440"/>
          </w:tcPr>
          <w:p>
            <w:pPr>
              <w:spacing w:before="40" w:after="40"/>
            </w:pPr>
            <w:r>
              <w:rPr>
                <w:rFonts w:ascii="Calibri" w:hAnsi="Calibri"/>
                <w:sz w:val="18"/>
              </w:rPr>
              <w:t>19.57</w:t>
            </w:r>
          </w:p>
        </w:tc>
      </w:tr>
      <w:tr>
        <w:tc>
          <w:tcPr>
            <w:tcW w:type="dxa" w:w="1440"/>
            <w:shd w:fill="E8F0FE"/>
          </w:tcPr>
          <w:p>
            <w:pPr>
              <w:spacing w:before="40" w:after="40"/>
            </w:pPr>
            <w:r>
              <w:rPr>
                <w:rFonts w:ascii="Calibri" w:hAnsi="Calibri"/>
                <w:b/>
                <w:sz w:val="18"/>
              </w:rPr>
              <w:t>Dividend Payout %</w:t>
            </w:r>
          </w:p>
        </w:tc>
        <w:tc>
          <w:tcPr>
            <w:tcW w:type="dxa" w:w="1440"/>
            <w:shd w:fill="E8F0FE"/>
          </w:tcPr>
          <w:p>
            <w:pPr>
              <w:spacing w:before="40" w:after="40"/>
            </w:pPr>
            <w:r>
              <w:rPr>
                <w:rFonts w:ascii="Calibri" w:hAnsi="Calibri"/>
                <w:sz w:val="18"/>
              </w:rPr>
              <w:t>0%</w:t>
            </w:r>
          </w:p>
        </w:tc>
        <w:tc>
          <w:tcPr>
            <w:tcW w:type="dxa" w:w="1440"/>
            <w:shd w:fill="E8F0FE"/>
          </w:tcPr>
          <w:p>
            <w:pPr>
              <w:spacing w:before="40" w:after="40"/>
            </w:pPr>
            <w:r>
              <w:rPr>
                <w:rFonts w:ascii="Calibri" w:hAnsi="Calibri"/>
                <w:sz w:val="18"/>
              </w:rPr>
              <w:t>15%</w:t>
            </w:r>
          </w:p>
        </w:tc>
        <w:tc>
          <w:tcPr>
            <w:tcW w:type="dxa" w:w="1440"/>
            <w:shd w:fill="E8F0FE"/>
          </w:tcPr>
          <w:p>
            <w:pPr>
              <w:spacing w:before="40" w:after="40"/>
            </w:pPr>
            <w:r>
              <w:rPr>
                <w:rFonts w:ascii="Calibri" w:hAnsi="Calibri"/>
                <w:sz w:val="18"/>
              </w:rPr>
              <w:t>15%</w:t>
            </w:r>
          </w:p>
        </w:tc>
        <w:tc>
          <w:tcPr>
            <w:tcW w:type="dxa" w:w="1440"/>
            <w:shd w:fill="E8F0FE"/>
          </w:tcPr>
          <w:p>
            <w:pPr>
              <w:spacing w:before="40" w:after="40"/>
            </w:pPr>
            <w:r>
              <w:rPr>
                <w:rFonts w:ascii="Calibri" w:hAnsi="Calibri"/>
                <w:sz w:val="18"/>
              </w:rPr>
              <w:t>11%</w:t>
            </w:r>
          </w:p>
        </w:tc>
        <w:tc>
          <w:tcPr>
            <w:tcW w:type="dxa" w:w="1440"/>
            <w:shd w:fill="E8F0FE"/>
          </w:tcPr>
          <w:p>
            <w:pPr>
              <w:spacing w:before="40" w:after="40"/>
            </w:pPr>
            <w:r>
              <w:rPr>
                <w:rFonts w:ascii="Calibri" w:hAnsi="Calibri"/>
                <w:sz w:val="18"/>
              </w:rPr>
            </w:r>
          </w:p>
        </w:tc>
      </w:tr>
    </w:tbl>
    <w:p/>
    <w:p>
      <w:pPr>
        <w:pStyle w:val="Heading2"/>
      </w:pPr>
      <w:r>
        <w:rPr>
          <w:rFonts w:ascii="Calibri" w:hAnsi="Calibri"/>
          <w:color w:val="1F5F8B"/>
          <w:sz w:val="26"/>
        </w:rPr>
        <w:t>3.2 Consolidated Balance Sheet (Rs. in Crores)</w:t>
      </w:r>
    </w:p>
    <w:p>
      <w:pPr>
        <w:spacing w:after="80"/>
      </w:pPr>
      <w:r>
        <w:rPr>
          <w:rFonts w:ascii="Calibri" w:hAnsi="Calibri"/>
          <w:color w:val="333333"/>
          <w:sz w:val="20"/>
        </w:rPr>
        <w:t>(Source: Screener.in)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1F5F8B"/>
          </w:tcPr>
          <w:p>
            <w:pPr>
              <w:spacing w:before="40" w:after="40"/>
            </w:pPr>
            <w:r>
              <w:rPr>
                <w:rFonts w:ascii="Calibri" w:hAnsi="Calibri"/>
                <w:b/>
                <w:color w:val="FFFFFF"/>
                <w:sz w:val="18"/>
              </w:rPr>
            </w:r>
          </w:p>
        </w:tc>
        <w:tc>
          <w:tcPr>
            <w:tcW w:type="dxa" w:w="1728"/>
            <w:shd w:fill="1F5F8B"/>
          </w:tcPr>
          <w:p>
            <w:pPr>
              <w:spacing w:before="40" w:after="40"/>
            </w:pPr>
            <w:r>
              <w:rPr>
                <w:rFonts w:ascii="Calibri" w:hAnsi="Calibri"/>
                <w:b/>
                <w:color w:val="FFFFFF"/>
                <w:sz w:val="18"/>
              </w:rPr>
              <w:t>Mar 2022</w:t>
            </w:r>
          </w:p>
        </w:tc>
        <w:tc>
          <w:tcPr>
            <w:tcW w:type="dxa" w:w="1728"/>
            <w:shd w:fill="1F5F8B"/>
          </w:tcPr>
          <w:p>
            <w:pPr>
              <w:spacing w:before="40" w:after="40"/>
            </w:pPr>
            <w:r>
              <w:rPr>
                <w:rFonts w:ascii="Calibri" w:hAnsi="Calibri"/>
                <w:b/>
                <w:color w:val="FFFFFF"/>
                <w:sz w:val="18"/>
              </w:rPr>
              <w:t>Mar 2023</w:t>
            </w:r>
          </w:p>
        </w:tc>
        <w:tc>
          <w:tcPr>
            <w:tcW w:type="dxa" w:w="1728"/>
            <w:shd w:fill="1F5F8B"/>
          </w:tcPr>
          <w:p>
            <w:pPr>
              <w:spacing w:before="40" w:after="40"/>
            </w:pPr>
            <w:r>
              <w:rPr>
                <w:rFonts w:ascii="Calibri" w:hAnsi="Calibri"/>
                <w:b/>
                <w:color w:val="FFFFFF"/>
                <w:sz w:val="18"/>
              </w:rPr>
              <w:t>Mar 2025</w:t>
            </w:r>
          </w:p>
        </w:tc>
        <w:tc>
          <w:tcPr>
            <w:tcW w:type="dxa" w:w="1728"/>
            <w:shd w:fill="1F5F8B"/>
          </w:tcPr>
          <w:p>
            <w:pPr>
              <w:spacing w:before="40" w:after="40"/>
            </w:pPr>
            <w:r>
              <w:rPr>
                <w:rFonts w:ascii="Calibri" w:hAnsi="Calibri"/>
                <w:b/>
                <w:color w:val="FFFFFF"/>
                <w:sz w:val="18"/>
              </w:rPr>
              <w:t>Sep 2025</w:t>
            </w:r>
          </w:p>
        </w:tc>
      </w:tr>
      <w:tr>
        <w:tc>
          <w:tcPr>
            <w:tcW w:type="dxa" w:w="1728"/>
          </w:tcPr>
          <w:p>
            <w:pPr>
              <w:spacing w:before="40" w:after="40"/>
            </w:pPr>
            <w:r>
              <w:rPr>
                <w:rFonts w:ascii="Calibri" w:hAnsi="Calibri"/>
                <w:b/>
                <w:sz w:val="18"/>
              </w:rPr>
              <w:t>Equity Capital</w:t>
            </w:r>
          </w:p>
        </w:tc>
        <w:tc>
          <w:tcPr>
            <w:tcW w:type="dxa" w:w="1728"/>
          </w:tcPr>
          <w:p>
            <w:pPr>
              <w:spacing w:before="40" w:after="40"/>
            </w:pPr>
            <w:r>
              <w:rPr>
                <w:rFonts w:ascii="Calibri" w:hAnsi="Calibri"/>
                <w:sz w:val="18"/>
              </w:rPr>
              <w:t>9</w:t>
            </w:r>
          </w:p>
        </w:tc>
        <w:tc>
          <w:tcPr>
            <w:tcW w:type="dxa" w:w="1728"/>
          </w:tcPr>
          <w:p>
            <w:pPr>
              <w:spacing w:before="40" w:after="40"/>
            </w:pPr>
            <w:r>
              <w:rPr>
                <w:rFonts w:ascii="Calibri" w:hAnsi="Calibri"/>
                <w:sz w:val="18"/>
              </w:rPr>
              <w:t>9</w:t>
            </w:r>
          </w:p>
        </w:tc>
        <w:tc>
          <w:tcPr>
            <w:tcW w:type="dxa" w:w="1728"/>
          </w:tcPr>
          <w:p>
            <w:pPr>
              <w:spacing w:before="40" w:after="40"/>
            </w:pPr>
            <w:r>
              <w:rPr>
                <w:rFonts w:ascii="Calibri" w:hAnsi="Calibri"/>
                <w:sz w:val="18"/>
              </w:rPr>
              <w:t>9</w:t>
            </w:r>
          </w:p>
        </w:tc>
        <w:tc>
          <w:tcPr>
            <w:tcW w:type="dxa" w:w="1728"/>
          </w:tcPr>
          <w:p>
            <w:pPr>
              <w:spacing w:before="40" w:after="40"/>
            </w:pPr>
            <w:r>
              <w:rPr>
                <w:rFonts w:ascii="Calibri" w:hAnsi="Calibri"/>
                <w:sz w:val="18"/>
              </w:rPr>
              <w:t>9</w:t>
            </w:r>
          </w:p>
        </w:tc>
      </w:tr>
      <w:tr>
        <w:tc>
          <w:tcPr>
            <w:tcW w:type="dxa" w:w="1728"/>
            <w:shd w:fill="E8F0FE"/>
          </w:tcPr>
          <w:p>
            <w:pPr>
              <w:spacing w:before="40" w:after="40"/>
            </w:pPr>
            <w:r>
              <w:rPr>
                <w:rFonts w:ascii="Calibri" w:hAnsi="Calibri"/>
                <w:b/>
                <w:sz w:val="18"/>
              </w:rPr>
              <w:t>Reserves</w:t>
            </w:r>
          </w:p>
        </w:tc>
        <w:tc>
          <w:tcPr>
            <w:tcW w:type="dxa" w:w="1728"/>
            <w:shd w:fill="E8F0FE"/>
          </w:tcPr>
          <w:p>
            <w:pPr>
              <w:spacing w:before="40" w:after="40"/>
            </w:pPr>
            <w:r>
              <w:rPr>
                <w:rFonts w:ascii="Calibri" w:hAnsi="Calibri"/>
                <w:sz w:val="18"/>
              </w:rPr>
              <w:t>725</w:t>
            </w:r>
          </w:p>
        </w:tc>
        <w:tc>
          <w:tcPr>
            <w:tcW w:type="dxa" w:w="1728"/>
            <w:shd w:fill="E8F0FE"/>
          </w:tcPr>
          <w:p>
            <w:pPr>
              <w:spacing w:before="40" w:after="40"/>
            </w:pPr>
            <w:r>
              <w:rPr>
                <w:rFonts w:ascii="Calibri" w:hAnsi="Calibri"/>
                <w:sz w:val="18"/>
              </w:rPr>
              <w:t>833</w:t>
            </w:r>
          </w:p>
        </w:tc>
        <w:tc>
          <w:tcPr>
            <w:tcW w:type="dxa" w:w="1728"/>
            <w:shd w:fill="E8F0FE"/>
          </w:tcPr>
          <w:p>
            <w:pPr>
              <w:spacing w:before="40" w:after="40"/>
            </w:pPr>
            <w:r>
              <w:rPr>
                <w:rFonts w:ascii="Calibri" w:hAnsi="Calibri"/>
                <w:sz w:val="18"/>
              </w:rPr>
              <w:t>1,134</w:t>
            </w:r>
          </w:p>
        </w:tc>
        <w:tc>
          <w:tcPr>
            <w:tcW w:type="dxa" w:w="1728"/>
            <w:shd w:fill="E8F0FE"/>
          </w:tcPr>
          <w:p>
            <w:pPr>
              <w:spacing w:before="40" w:after="40"/>
            </w:pPr>
            <w:r>
              <w:rPr>
                <w:rFonts w:ascii="Calibri" w:hAnsi="Calibri"/>
                <w:sz w:val="18"/>
              </w:rPr>
              <w:t>1,203</w:t>
            </w:r>
          </w:p>
        </w:tc>
      </w:tr>
      <w:tr>
        <w:tc>
          <w:tcPr>
            <w:tcW w:type="dxa" w:w="1728"/>
          </w:tcPr>
          <w:p>
            <w:pPr>
              <w:spacing w:before="40" w:after="40"/>
            </w:pPr>
            <w:r>
              <w:rPr>
                <w:rFonts w:ascii="Calibri" w:hAnsi="Calibri"/>
                <w:b/>
                <w:sz w:val="18"/>
              </w:rPr>
              <w:t>Borrowings+</w:t>
            </w:r>
          </w:p>
        </w:tc>
        <w:tc>
          <w:tcPr>
            <w:tcW w:type="dxa" w:w="1728"/>
          </w:tcPr>
          <w:p>
            <w:pPr>
              <w:spacing w:before="40" w:after="40"/>
            </w:pPr>
            <w:r>
              <w:rPr>
                <w:rFonts w:ascii="Calibri" w:hAnsi="Calibri"/>
                <w:sz w:val="18"/>
              </w:rPr>
              <w:t>167</w:t>
            </w:r>
          </w:p>
        </w:tc>
        <w:tc>
          <w:tcPr>
            <w:tcW w:type="dxa" w:w="1728"/>
          </w:tcPr>
          <w:p>
            <w:pPr>
              <w:spacing w:before="40" w:after="40"/>
            </w:pPr>
            <w:r>
              <w:rPr>
                <w:rFonts w:ascii="Calibri" w:hAnsi="Calibri"/>
                <w:sz w:val="18"/>
              </w:rPr>
              <w:t>183</w:t>
            </w:r>
          </w:p>
        </w:tc>
        <w:tc>
          <w:tcPr>
            <w:tcW w:type="dxa" w:w="1728"/>
          </w:tcPr>
          <w:p>
            <w:pPr>
              <w:spacing w:before="40" w:after="40"/>
            </w:pPr>
            <w:r>
              <w:rPr>
                <w:rFonts w:ascii="Calibri" w:hAnsi="Calibri"/>
                <w:sz w:val="18"/>
              </w:rPr>
              <w:t>438</w:t>
            </w:r>
          </w:p>
        </w:tc>
        <w:tc>
          <w:tcPr>
            <w:tcW w:type="dxa" w:w="1728"/>
          </w:tcPr>
          <w:p>
            <w:pPr>
              <w:spacing w:before="40" w:after="40"/>
            </w:pPr>
            <w:r>
              <w:rPr>
                <w:rFonts w:ascii="Calibri" w:hAnsi="Calibri"/>
                <w:sz w:val="18"/>
              </w:rPr>
              <w:t>493</w:t>
            </w:r>
          </w:p>
        </w:tc>
      </w:tr>
      <w:tr>
        <w:tc>
          <w:tcPr>
            <w:tcW w:type="dxa" w:w="1728"/>
            <w:shd w:fill="E8F0FE"/>
          </w:tcPr>
          <w:p>
            <w:pPr>
              <w:spacing w:before="40" w:after="40"/>
            </w:pPr>
            <w:r>
              <w:rPr>
                <w:rFonts w:ascii="Calibri" w:hAnsi="Calibri"/>
                <w:b/>
                <w:sz w:val="18"/>
              </w:rPr>
              <w:t>Other Liabilities+</w:t>
            </w:r>
          </w:p>
        </w:tc>
        <w:tc>
          <w:tcPr>
            <w:tcW w:type="dxa" w:w="1728"/>
            <w:shd w:fill="E8F0FE"/>
          </w:tcPr>
          <w:p>
            <w:pPr>
              <w:spacing w:before="40" w:after="40"/>
            </w:pPr>
            <w:r>
              <w:rPr>
                <w:rFonts w:ascii="Calibri" w:hAnsi="Calibri"/>
                <w:sz w:val="18"/>
              </w:rPr>
              <w:t>64</w:t>
            </w:r>
          </w:p>
        </w:tc>
        <w:tc>
          <w:tcPr>
            <w:tcW w:type="dxa" w:w="1728"/>
            <w:shd w:fill="E8F0FE"/>
          </w:tcPr>
          <w:p>
            <w:pPr>
              <w:spacing w:before="40" w:after="40"/>
            </w:pPr>
            <w:r>
              <w:rPr>
                <w:rFonts w:ascii="Calibri" w:hAnsi="Calibri"/>
                <w:sz w:val="18"/>
              </w:rPr>
              <w:t>96</w:t>
            </w:r>
          </w:p>
        </w:tc>
        <w:tc>
          <w:tcPr>
            <w:tcW w:type="dxa" w:w="1728"/>
            <w:shd w:fill="E8F0FE"/>
          </w:tcPr>
          <w:p>
            <w:pPr>
              <w:spacing w:before="40" w:after="40"/>
            </w:pPr>
            <w:r>
              <w:rPr>
                <w:rFonts w:ascii="Calibri" w:hAnsi="Calibri"/>
                <w:sz w:val="18"/>
              </w:rPr>
              <w:t>185</w:t>
            </w:r>
          </w:p>
        </w:tc>
        <w:tc>
          <w:tcPr>
            <w:tcW w:type="dxa" w:w="1728"/>
            <w:shd w:fill="E8F0FE"/>
          </w:tcPr>
          <w:p>
            <w:pPr>
              <w:spacing w:before="40" w:after="40"/>
            </w:pPr>
            <w:r>
              <w:rPr>
                <w:rFonts w:ascii="Calibri" w:hAnsi="Calibri"/>
                <w:sz w:val="18"/>
              </w:rPr>
              <w:t>238</w:t>
            </w:r>
          </w:p>
        </w:tc>
      </w:tr>
      <w:tr>
        <w:tc>
          <w:tcPr>
            <w:tcW w:type="dxa" w:w="1728"/>
          </w:tcPr>
          <w:p>
            <w:pPr>
              <w:spacing w:before="40" w:after="40"/>
            </w:pPr>
            <w:r>
              <w:rPr>
                <w:rFonts w:ascii="Calibri" w:hAnsi="Calibri"/>
                <w:b/>
                <w:sz w:val="18"/>
              </w:rPr>
              <w:t>Total Liabilities</w:t>
            </w:r>
          </w:p>
        </w:tc>
        <w:tc>
          <w:tcPr>
            <w:tcW w:type="dxa" w:w="1728"/>
          </w:tcPr>
          <w:p>
            <w:pPr>
              <w:spacing w:before="40" w:after="40"/>
            </w:pPr>
            <w:r>
              <w:rPr>
                <w:rFonts w:ascii="Calibri" w:hAnsi="Calibri"/>
                <w:sz w:val="18"/>
              </w:rPr>
              <w:t>964</w:t>
            </w:r>
          </w:p>
        </w:tc>
        <w:tc>
          <w:tcPr>
            <w:tcW w:type="dxa" w:w="1728"/>
          </w:tcPr>
          <w:p>
            <w:pPr>
              <w:spacing w:before="40" w:after="40"/>
            </w:pPr>
            <w:r>
              <w:rPr>
                <w:rFonts w:ascii="Calibri" w:hAnsi="Calibri"/>
                <w:sz w:val="18"/>
              </w:rPr>
              <w:t>1,121</w:t>
            </w:r>
          </w:p>
        </w:tc>
        <w:tc>
          <w:tcPr>
            <w:tcW w:type="dxa" w:w="1728"/>
          </w:tcPr>
          <w:p>
            <w:pPr>
              <w:spacing w:before="40" w:after="40"/>
            </w:pPr>
            <w:r>
              <w:rPr>
                <w:rFonts w:ascii="Calibri" w:hAnsi="Calibri"/>
                <w:sz w:val="18"/>
              </w:rPr>
              <w:t>1,765</w:t>
            </w:r>
          </w:p>
        </w:tc>
        <w:tc>
          <w:tcPr>
            <w:tcW w:type="dxa" w:w="1728"/>
          </w:tcPr>
          <w:p>
            <w:pPr>
              <w:spacing w:before="40" w:after="40"/>
            </w:pPr>
            <w:r>
              <w:rPr>
                <w:rFonts w:ascii="Calibri" w:hAnsi="Calibri"/>
                <w:sz w:val="18"/>
              </w:rPr>
              <w:t>1,942</w:t>
            </w:r>
          </w:p>
        </w:tc>
      </w:tr>
      <w:tr>
        <w:tc>
          <w:tcPr>
            <w:tcW w:type="dxa" w:w="1728"/>
            <w:shd w:fill="E8F0FE"/>
          </w:tcPr>
          <w:p>
            <w:pPr>
              <w:spacing w:before="40" w:after="40"/>
            </w:pPr>
            <w:r>
              <w:rPr>
                <w:rFonts w:ascii="Calibri" w:hAnsi="Calibri"/>
                <w:b/>
                <w:sz w:val="18"/>
              </w:rPr>
              <w:t>Fixed Assets+</w:t>
            </w:r>
          </w:p>
        </w:tc>
        <w:tc>
          <w:tcPr>
            <w:tcW w:type="dxa" w:w="1728"/>
            <w:shd w:fill="E8F0FE"/>
          </w:tcPr>
          <w:p>
            <w:pPr>
              <w:spacing w:before="40" w:after="40"/>
            </w:pPr>
            <w:r>
              <w:rPr>
                <w:rFonts w:ascii="Calibri" w:hAnsi="Calibri"/>
                <w:sz w:val="18"/>
              </w:rPr>
              <w:t>769</w:t>
            </w:r>
          </w:p>
        </w:tc>
        <w:tc>
          <w:tcPr>
            <w:tcW w:type="dxa" w:w="1728"/>
            <w:shd w:fill="E8F0FE"/>
          </w:tcPr>
          <w:p>
            <w:pPr>
              <w:spacing w:before="40" w:after="40"/>
            </w:pPr>
            <w:r>
              <w:rPr>
                <w:rFonts w:ascii="Calibri" w:hAnsi="Calibri"/>
                <w:sz w:val="18"/>
              </w:rPr>
              <w:t>858</w:t>
            </w:r>
          </w:p>
        </w:tc>
        <w:tc>
          <w:tcPr>
            <w:tcW w:type="dxa" w:w="1728"/>
            <w:shd w:fill="E8F0FE"/>
          </w:tcPr>
          <w:p>
            <w:pPr>
              <w:spacing w:before="40" w:after="40"/>
            </w:pPr>
            <w:r>
              <w:rPr>
                <w:rFonts w:ascii="Calibri" w:hAnsi="Calibri"/>
                <w:sz w:val="18"/>
              </w:rPr>
              <w:t>1,116</w:t>
            </w:r>
          </w:p>
        </w:tc>
        <w:tc>
          <w:tcPr>
            <w:tcW w:type="dxa" w:w="1728"/>
            <w:shd w:fill="E8F0FE"/>
          </w:tcPr>
          <w:p>
            <w:pPr>
              <w:spacing w:before="40" w:after="40"/>
            </w:pPr>
            <w:r>
              <w:rPr>
                <w:rFonts w:ascii="Calibri" w:hAnsi="Calibri"/>
                <w:sz w:val="18"/>
              </w:rPr>
              <w:t>1,187</w:t>
            </w:r>
          </w:p>
        </w:tc>
      </w:tr>
      <w:tr>
        <w:tc>
          <w:tcPr>
            <w:tcW w:type="dxa" w:w="1728"/>
          </w:tcPr>
          <w:p>
            <w:pPr>
              <w:spacing w:before="40" w:after="40"/>
            </w:pPr>
            <w:r>
              <w:rPr>
                <w:rFonts w:ascii="Calibri" w:hAnsi="Calibri"/>
                <w:b/>
                <w:sz w:val="18"/>
              </w:rPr>
              <w:t>CWIP</w:t>
            </w:r>
          </w:p>
        </w:tc>
        <w:tc>
          <w:tcPr>
            <w:tcW w:type="dxa" w:w="1728"/>
          </w:tcPr>
          <w:p>
            <w:pPr>
              <w:spacing w:before="40" w:after="40"/>
            </w:pPr>
            <w:r>
              <w:rPr>
                <w:rFonts w:ascii="Calibri" w:hAnsi="Calibri"/>
                <w:sz w:val="18"/>
              </w:rPr>
              <w:t>0</w:t>
            </w:r>
          </w:p>
        </w:tc>
        <w:tc>
          <w:tcPr>
            <w:tcW w:type="dxa" w:w="1728"/>
          </w:tcPr>
          <w:p>
            <w:pPr>
              <w:spacing w:before="40" w:after="40"/>
            </w:pPr>
            <w:r>
              <w:rPr>
                <w:rFonts w:ascii="Calibri" w:hAnsi="Calibri"/>
                <w:sz w:val="18"/>
              </w:rPr>
              <w:t>7</w:t>
            </w:r>
          </w:p>
        </w:tc>
        <w:tc>
          <w:tcPr>
            <w:tcW w:type="dxa" w:w="1728"/>
          </w:tcPr>
          <w:p>
            <w:pPr>
              <w:spacing w:before="40" w:after="40"/>
            </w:pPr>
            <w:r>
              <w:rPr>
                <w:rFonts w:ascii="Calibri" w:hAnsi="Calibri"/>
                <w:sz w:val="18"/>
              </w:rPr>
              <w:t>18</w:t>
            </w:r>
          </w:p>
        </w:tc>
        <w:tc>
          <w:tcPr>
            <w:tcW w:type="dxa" w:w="1728"/>
          </w:tcPr>
          <w:p>
            <w:pPr>
              <w:spacing w:before="40" w:after="40"/>
            </w:pPr>
            <w:r>
              <w:rPr>
                <w:rFonts w:ascii="Calibri" w:hAnsi="Calibri"/>
                <w:sz w:val="18"/>
              </w:rPr>
              <w:t>8</w:t>
            </w:r>
          </w:p>
        </w:tc>
      </w:tr>
      <w:tr>
        <w:tc>
          <w:tcPr>
            <w:tcW w:type="dxa" w:w="1728"/>
            <w:shd w:fill="E8F0FE"/>
          </w:tcPr>
          <w:p>
            <w:pPr>
              <w:spacing w:before="40" w:after="40"/>
            </w:pPr>
            <w:r>
              <w:rPr>
                <w:rFonts w:ascii="Calibri" w:hAnsi="Calibri"/>
                <w:b/>
                <w:sz w:val="18"/>
              </w:rPr>
              <w:t>Investments</w:t>
            </w:r>
          </w:p>
        </w:tc>
        <w:tc>
          <w:tcPr>
            <w:tcW w:type="dxa" w:w="1728"/>
            <w:shd w:fill="E8F0FE"/>
          </w:tcPr>
          <w:p>
            <w:pPr>
              <w:spacing w:before="40" w:after="40"/>
            </w:pPr>
            <w:r>
              <w:rPr>
                <w:rFonts w:ascii="Calibri" w:hAnsi="Calibri"/>
                <w:sz w:val="18"/>
              </w:rPr>
              <w:t>30</w:t>
            </w:r>
          </w:p>
        </w:tc>
        <w:tc>
          <w:tcPr>
            <w:tcW w:type="dxa" w:w="1728"/>
            <w:shd w:fill="E8F0FE"/>
          </w:tcPr>
          <w:p>
            <w:pPr>
              <w:spacing w:before="40" w:after="40"/>
            </w:pPr>
            <w:r>
              <w:rPr>
                <w:rFonts w:ascii="Calibri" w:hAnsi="Calibri"/>
                <w:sz w:val="18"/>
              </w:rPr>
              <w:t>35</w:t>
            </w:r>
          </w:p>
        </w:tc>
        <w:tc>
          <w:tcPr>
            <w:tcW w:type="dxa" w:w="1728"/>
            <w:shd w:fill="E8F0FE"/>
          </w:tcPr>
          <w:p>
            <w:pPr>
              <w:spacing w:before="40" w:after="40"/>
            </w:pPr>
            <w:r>
              <w:rPr>
                <w:rFonts w:ascii="Calibri" w:hAnsi="Calibri"/>
                <w:sz w:val="18"/>
              </w:rPr>
              <w:t>150</w:t>
            </w:r>
          </w:p>
        </w:tc>
        <w:tc>
          <w:tcPr>
            <w:tcW w:type="dxa" w:w="1728"/>
            <w:shd w:fill="E8F0FE"/>
          </w:tcPr>
          <w:p>
            <w:pPr>
              <w:spacing w:before="40" w:after="40"/>
            </w:pPr>
            <w:r>
              <w:rPr>
                <w:rFonts w:ascii="Calibri" w:hAnsi="Calibri"/>
                <w:sz w:val="18"/>
              </w:rPr>
              <w:t>192</w:t>
            </w:r>
          </w:p>
        </w:tc>
      </w:tr>
      <w:tr>
        <w:tc>
          <w:tcPr>
            <w:tcW w:type="dxa" w:w="1728"/>
          </w:tcPr>
          <w:p>
            <w:pPr>
              <w:spacing w:before="40" w:after="40"/>
            </w:pPr>
            <w:r>
              <w:rPr>
                <w:rFonts w:ascii="Calibri" w:hAnsi="Calibri"/>
                <w:b/>
                <w:sz w:val="18"/>
              </w:rPr>
              <w:t>Other Assets+</w:t>
            </w:r>
          </w:p>
        </w:tc>
        <w:tc>
          <w:tcPr>
            <w:tcW w:type="dxa" w:w="1728"/>
          </w:tcPr>
          <w:p>
            <w:pPr>
              <w:spacing w:before="40" w:after="40"/>
            </w:pPr>
            <w:r>
              <w:rPr>
                <w:rFonts w:ascii="Calibri" w:hAnsi="Calibri"/>
                <w:sz w:val="18"/>
              </w:rPr>
              <w:t>165</w:t>
            </w:r>
          </w:p>
        </w:tc>
        <w:tc>
          <w:tcPr>
            <w:tcW w:type="dxa" w:w="1728"/>
          </w:tcPr>
          <w:p>
            <w:pPr>
              <w:spacing w:before="40" w:after="40"/>
            </w:pPr>
            <w:r>
              <w:rPr>
                <w:rFonts w:ascii="Calibri" w:hAnsi="Calibri"/>
                <w:sz w:val="18"/>
              </w:rPr>
              <w:t>220</w:t>
            </w:r>
          </w:p>
        </w:tc>
        <w:tc>
          <w:tcPr>
            <w:tcW w:type="dxa" w:w="1728"/>
          </w:tcPr>
          <w:p>
            <w:pPr>
              <w:spacing w:before="40" w:after="40"/>
            </w:pPr>
            <w:r>
              <w:rPr>
                <w:rFonts w:ascii="Calibri" w:hAnsi="Calibri"/>
                <w:sz w:val="18"/>
              </w:rPr>
              <w:t>482</w:t>
            </w:r>
          </w:p>
        </w:tc>
        <w:tc>
          <w:tcPr>
            <w:tcW w:type="dxa" w:w="1728"/>
          </w:tcPr>
          <w:p>
            <w:pPr>
              <w:spacing w:before="40" w:after="40"/>
            </w:pPr>
            <w:r>
              <w:rPr>
                <w:rFonts w:ascii="Calibri" w:hAnsi="Calibri"/>
                <w:sz w:val="18"/>
              </w:rPr>
              <w:t>555</w:t>
            </w:r>
          </w:p>
        </w:tc>
      </w:tr>
      <w:tr>
        <w:tc>
          <w:tcPr>
            <w:tcW w:type="dxa" w:w="1728"/>
            <w:shd w:fill="E8F0FE"/>
          </w:tcPr>
          <w:p>
            <w:pPr>
              <w:spacing w:before="40" w:after="40"/>
            </w:pPr>
            <w:r>
              <w:rPr>
                <w:rFonts w:ascii="Calibri" w:hAnsi="Calibri"/>
                <w:b/>
                <w:sz w:val="18"/>
              </w:rPr>
              <w:t>Total Assets</w:t>
            </w:r>
          </w:p>
        </w:tc>
        <w:tc>
          <w:tcPr>
            <w:tcW w:type="dxa" w:w="1728"/>
            <w:shd w:fill="E8F0FE"/>
          </w:tcPr>
          <w:p>
            <w:pPr>
              <w:spacing w:before="40" w:after="40"/>
            </w:pPr>
            <w:r>
              <w:rPr>
                <w:rFonts w:ascii="Calibri" w:hAnsi="Calibri"/>
                <w:sz w:val="18"/>
              </w:rPr>
              <w:t>964</w:t>
            </w:r>
          </w:p>
        </w:tc>
        <w:tc>
          <w:tcPr>
            <w:tcW w:type="dxa" w:w="1728"/>
            <w:shd w:fill="E8F0FE"/>
          </w:tcPr>
          <w:p>
            <w:pPr>
              <w:spacing w:before="40" w:after="40"/>
            </w:pPr>
            <w:r>
              <w:rPr>
                <w:rFonts w:ascii="Calibri" w:hAnsi="Calibri"/>
                <w:sz w:val="18"/>
              </w:rPr>
              <w:t>1,121</w:t>
            </w:r>
          </w:p>
        </w:tc>
        <w:tc>
          <w:tcPr>
            <w:tcW w:type="dxa" w:w="1728"/>
            <w:shd w:fill="E8F0FE"/>
          </w:tcPr>
          <w:p>
            <w:pPr>
              <w:spacing w:before="40" w:after="40"/>
            </w:pPr>
            <w:r>
              <w:rPr>
                <w:rFonts w:ascii="Calibri" w:hAnsi="Calibri"/>
                <w:sz w:val="18"/>
              </w:rPr>
              <w:t>1,765</w:t>
            </w:r>
          </w:p>
        </w:tc>
        <w:tc>
          <w:tcPr>
            <w:tcW w:type="dxa" w:w="1728"/>
            <w:shd w:fill="E8F0FE"/>
          </w:tcPr>
          <w:p>
            <w:pPr>
              <w:spacing w:before="40" w:after="40"/>
            </w:pPr>
            <w:r>
              <w:rPr>
                <w:rFonts w:ascii="Calibri" w:hAnsi="Calibri"/>
                <w:sz w:val="18"/>
              </w:rPr>
              <w:t>1,942</w:t>
            </w:r>
          </w:p>
        </w:tc>
      </w:tr>
    </w:tbl>
    <w:p/>
    <w:p>
      <w:pPr>
        <w:pStyle w:val="Heading2"/>
      </w:pPr>
      <w:r>
        <w:rPr>
          <w:rFonts w:ascii="Calibri" w:hAnsi="Calibri"/>
          <w:color w:val="1F5F8B"/>
          <w:sz w:val="26"/>
        </w:rPr>
        <w:t>3.3 Consolidated Cash Flow Statement (Rs. in Crores)</w:t>
      </w:r>
    </w:p>
    <w:p>
      <w:pPr>
        <w:spacing w:after="80"/>
      </w:pPr>
      <w:r>
        <w:rPr>
          <w:rFonts w:ascii="Calibri" w:hAnsi="Calibri"/>
          <w:color w:val="333333"/>
          <w:sz w:val="20"/>
        </w:rPr>
        <w:t>(Source: Screener.in)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1F5F8B"/>
          </w:tcPr>
          <w:p>
            <w:pPr>
              <w:spacing w:before="40" w:after="40"/>
            </w:pPr>
            <w:r>
              <w:rPr>
                <w:rFonts w:ascii="Calibri" w:hAnsi="Calibri"/>
                <w:b/>
                <w:color w:val="FFFFFF"/>
                <w:sz w:val="18"/>
              </w:rPr>
            </w:r>
          </w:p>
        </w:tc>
        <w:tc>
          <w:tcPr>
            <w:tcW w:type="dxa" w:w="1728"/>
            <w:shd w:fill="1F5F8B"/>
          </w:tcPr>
          <w:p>
            <w:pPr>
              <w:spacing w:before="40" w:after="40"/>
            </w:pPr>
            <w:r>
              <w:rPr>
                <w:rFonts w:ascii="Calibri" w:hAnsi="Calibri"/>
                <w:b/>
                <w:color w:val="FFFFFF"/>
                <w:sz w:val="18"/>
              </w:rPr>
              <w:t>Mar 2021</w:t>
            </w:r>
          </w:p>
        </w:tc>
        <w:tc>
          <w:tcPr>
            <w:tcW w:type="dxa" w:w="1728"/>
            <w:shd w:fill="1F5F8B"/>
          </w:tcPr>
          <w:p>
            <w:pPr>
              <w:spacing w:before="40" w:after="40"/>
            </w:pPr>
            <w:r>
              <w:rPr>
                <w:rFonts w:ascii="Calibri" w:hAnsi="Calibri"/>
                <w:b/>
                <w:color w:val="FFFFFF"/>
                <w:sz w:val="18"/>
              </w:rPr>
              <w:t>Mar 2022</w:t>
            </w:r>
          </w:p>
        </w:tc>
        <w:tc>
          <w:tcPr>
            <w:tcW w:type="dxa" w:w="1728"/>
            <w:shd w:fill="1F5F8B"/>
          </w:tcPr>
          <w:p>
            <w:pPr>
              <w:spacing w:before="40" w:after="40"/>
            </w:pPr>
            <w:r>
              <w:rPr>
                <w:rFonts w:ascii="Calibri" w:hAnsi="Calibri"/>
                <w:b/>
                <w:color w:val="FFFFFF"/>
                <w:sz w:val="18"/>
              </w:rPr>
              <w:t>Mar 2023</w:t>
            </w:r>
          </w:p>
        </w:tc>
        <w:tc>
          <w:tcPr>
            <w:tcW w:type="dxa" w:w="1728"/>
            <w:shd w:fill="1F5F8B"/>
          </w:tcPr>
          <w:p>
            <w:pPr>
              <w:spacing w:before="40" w:after="40"/>
            </w:pPr>
            <w:r>
              <w:rPr>
                <w:rFonts w:ascii="Calibri" w:hAnsi="Calibri"/>
                <w:b/>
                <w:color w:val="FFFFFF"/>
                <w:sz w:val="18"/>
              </w:rPr>
              <w:t>Mar 2025</w:t>
            </w:r>
          </w:p>
        </w:tc>
      </w:tr>
      <w:tr>
        <w:tc>
          <w:tcPr>
            <w:tcW w:type="dxa" w:w="1728"/>
          </w:tcPr>
          <w:p>
            <w:pPr>
              <w:spacing w:before="40" w:after="40"/>
            </w:pPr>
            <w:r>
              <w:rPr>
                <w:rFonts w:ascii="Calibri" w:hAnsi="Calibri"/>
                <w:b/>
                <w:sz w:val="18"/>
              </w:rPr>
              <w:t>Cash from Operating Activity+</w:t>
            </w:r>
          </w:p>
        </w:tc>
        <w:tc>
          <w:tcPr>
            <w:tcW w:type="dxa" w:w="1728"/>
          </w:tcPr>
          <w:p>
            <w:pPr>
              <w:spacing w:before="40" w:after="40"/>
            </w:pPr>
            <w:r>
              <w:rPr>
                <w:rFonts w:ascii="Calibri" w:hAnsi="Calibri"/>
                <w:sz w:val="18"/>
              </w:rPr>
            </w:r>
          </w:p>
        </w:tc>
        <w:tc>
          <w:tcPr>
            <w:tcW w:type="dxa" w:w="1728"/>
          </w:tcPr>
          <w:p>
            <w:pPr>
              <w:spacing w:before="40" w:after="40"/>
            </w:pPr>
            <w:r>
              <w:rPr>
                <w:rFonts w:ascii="Calibri" w:hAnsi="Calibri"/>
                <w:sz w:val="18"/>
              </w:rPr>
              <w:t>130</w:t>
            </w:r>
          </w:p>
        </w:tc>
        <w:tc>
          <w:tcPr>
            <w:tcW w:type="dxa" w:w="1728"/>
          </w:tcPr>
          <w:p>
            <w:pPr>
              <w:spacing w:before="40" w:after="40"/>
            </w:pPr>
            <w:r>
              <w:rPr>
                <w:rFonts w:ascii="Calibri" w:hAnsi="Calibri"/>
                <w:sz w:val="18"/>
              </w:rPr>
              <w:t>257</w:t>
            </w:r>
          </w:p>
        </w:tc>
        <w:tc>
          <w:tcPr>
            <w:tcW w:type="dxa" w:w="1728"/>
          </w:tcPr>
          <w:p>
            <w:pPr>
              <w:spacing w:before="40" w:after="40"/>
            </w:pPr>
            <w:r>
              <w:rPr>
                <w:rFonts w:ascii="Calibri" w:hAnsi="Calibri"/>
                <w:sz w:val="18"/>
              </w:rPr>
              <w:t>162</w:t>
            </w:r>
          </w:p>
        </w:tc>
      </w:tr>
      <w:tr>
        <w:tc>
          <w:tcPr>
            <w:tcW w:type="dxa" w:w="1728"/>
            <w:shd w:fill="E8F0FE"/>
          </w:tcPr>
          <w:p>
            <w:pPr>
              <w:spacing w:before="40" w:after="40"/>
            </w:pPr>
            <w:r>
              <w:rPr>
                <w:rFonts w:ascii="Calibri" w:hAnsi="Calibri"/>
                <w:b/>
                <w:sz w:val="18"/>
              </w:rPr>
              <w:t>Cash from Investing Activity+</w:t>
            </w:r>
          </w:p>
        </w:tc>
        <w:tc>
          <w:tcPr>
            <w:tcW w:type="dxa" w:w="1728"/>
            <w:shd w:fill="E8F0FE"/>
          </w:tcPr>
          <w:p>
            <w:pPr>
              <w:spacing w:before="40" w:after="40"/>
            </w:pPr>
            <w:r>
              <w:rPr>
                <w:rFonts w:ascii="Calibri" w:hAnsi="Calibri"/>
                <w:sz w:val="18"/>
              </w:rPr>
            </w:r>
          </w:p>
        </w:tc>
        <w:tc>
          <w:tcPr>
            <w:tcW w:type="dxa" w:w="1728"/>
            <w:shd w:fill="E8F0FE"/>
          </w:tcPr>
          <w:p>
            <w:pPr>
              <w:spacing w:before="40" w:after="40"/>
            </w:pPr>
            <w:r>
              <w:rPr>
                <w:rFonts w:ascii="Calibri" w:hAnsi="Calibri"/>
                <w:sz w:val="18"/>
              </w:rPr>
              <w:t>-76</w:t>
            </w:r>
          </w:p>
        </w:tc>
        <w:tc>
          <w:tcPr>
            <w:tcW w:type="dxa" w:w="1728"/>
            <w:shd w:fill="E8F0FE"/>
          </w:tcPr>
          <w:p>
            <w:pPr>
              <w:spacing w:before="40" w:after="40"/>
            </w:pPr>
            <w:r>
              <w:rPr>
                <w:rFonts w:ascii="Calibri" w:hAnsi="Calibri"/>
                <w:sz w:val="18"/>
              </w:rPr>
              <w:t>-237</w:t>
            </w:r>
          </w:p>
        </w:tc>
        <w:tc>
          <w:tcPr>
            <w:tcW w:type="dxa" w:w="1728"/>
            <w:shd w:fill="E8F0FE"/>
          </w:tcPr>
          <w:p>
            <w:pPr>
              <w:spacing w:before="40" w:after="40"/>
            </w:pPr>
            <w:r>
              <w:rPr>
                <w:rFonts w:ascii="Calibri" w:hAnsi="Calibri"/>
                <w:sz w:val="18"/>
              </w:rPr>
              <w:t>-286</w:t>
            </w:r>
          </w:p>
        </w:tc>
      </w:tr>
      <w:tr>
        <w:tc>
          <w:tcPr>
            <w:tcW w:type="dxa" w:w="1728"/>
          </w:tcPr>
          <w:p>
            <w:pPr>
              <w:spacing w:before="40" w:after="40"/>
            </w:pPr>
            <w:r>
              <w:rPr>
                <w:rFonts w:ascii="Calibri" w:hAnsi="Calibri"/>
                <w:b/>
                <w:sz w:val="18"/>
              </w:rPr>
              <w:t>Cash from Financing Activity+</w:t>
            </w:r>
          </w:p>
        </w:tc>
        <w:tc>
          <w:tcPr>
            <w:tcW w:type="dxa" w:w="1728"/>
          </w:tcPr>
          <w:p>
            <w:pPr>
              <w:spacing w:before="40" w:after="40"/>
            </w:pPr>
            <w:r>
              <w:rPr>
                <w:rFonts w:ascii="Calibri" w:hAnsi="Calibri"/>
                <w:sz w:val="18"/>
              </w:rPr>
            </w:r>
          </w:p>
        </w:tc>
        <w:tc>
          <w:tcPr>
            <w:tcW w:type="dxa" w:w="1728"/>
          </w:tcPr>
          <w:p>
            <w:pPr>
              <w:spacing w:before="40" w:after="40"/>
            </w:pPr>
            <w:r>
              <w:rPr>
                <w:rFonts w:ascii="Calibri" w:hAnsi="Calibri"/>
                <w:sz w:val="18"/>
              </w:rPr>
              <w:t>-48</w:t>
            </w:r>
          </w:p>
        </w:tc>
        <w:tc>
          <w:tcPr>
            <w:tcW w:type="dxa" w:w="1728"/>
          </w:tcPr>
          <w:p>
            <w:pPr>
              <w:spacing w:before="40" w:after="40"/>
            </w:pPr>
            <w:r>
              <w:rPr>
                <w:rFonts w:ascii="Calibri" w:hAnsi="Calibri"/>
                <w:sz w:val="18"/>
              </w:rPr>
              <w:t>-15</w:t>
            </w:r>
          </w:p>
        </w:tc>
        <w:tc>
          <w:tcPr>
            <w:tcW w:type="dxa" w:w="1728"/>
          </w:tcPr>
          <w:p>
            <w:pPr>
              <w:spacing w:before="40" w:after="40"/>
            </w:pPr>
            <w:r>
              <w:rPr>
                <w:rFonts w:ascii="Calibri" w:hAnsi="Calibri"/>
                <w:sz w:val="18"/>
              </w:rPr>
              <w:t>89</w:t>
            </w:r>
          </w:p>
        </w:tc>
      </w:tr>
      <w:tr>
        <w:tc>
          <w:tcPr>
            <w:tcW w:type="dxa" w:w="1728"/>
            <w:shd w:fill="E8F0FE"/>
          </w:tcPr>
          <w:p>
            <w:pPr>
              <w:spacing w:before="40" w:after="40"/>
            </w:pPr>
            <w:r>
              <w:rPr>
                <w:rFonts w:ascii="Calibri" w:hAnsi="Calibri"/>
                <w:b/>
                <w:sz w:val="18"/>
              </w:rPr>
              <w:t>Net Cash Flow</w:t>
            </w:r>
          </w:p>
        </w:tc>
        <w:tc>
          <w:tcPr>
            <w:tcW w:type="dxa" w:w="1728"/>
            <w:shd w:fill="E8F0FE"/>
          </w:tcPr>
          <w:p>
            <w:pPr>
              <w:spacing w:before="40" w:after="40"/>
            </w:pPr>
            <w:r>
              <w:rPr>
                <w:rFonts w:ascii="Calibri" w:hAnsi="Calibri"/>
                <w:sz w:val="18"/>
              </w:rPr>
            </w:r>
          </w:p>
        </w:tc>
        <w:tc>
          <w:tcPr>
            <w:tcW w:type="dxa" w:w="1728"/>
            <w:shd w:fill="E8F0FE"/>
          </w:tcPr>
          <w:p>
            <w:pPr>
              <w:spacing w:before="40" w:after="40"/>
            </w:pPr>
            <w:r>
              <w:rPr>
                <w:rFonts w:ascii="Calibri" w:hAnsi="Calibri"/>
                <w:sz w:val="18"/>
              </w:rPr>
              <w:t>6</w:t>
            </w:r>
          </w:p>
        </w:tc>
        <w:tc>
          <w:tcPr>
            <w:tcW w:type="dxa" w:w="1728"/>
            <w:shd w:fill="E8F0FE"/>
          </w:tcPr>
          <w:p>
            <w:pPr>
              <w:spacing w:before="40" w:after="40"/>
            </w:pPr>
            <w:r>
              <w:rPr>
                <w:rFonts w:ascii="Calibri" w:hAnsi="Calibri"/>
                <w:sz w:val="18"/>
              </w:rPr>
              <w:t>5</w:t>
            </w:r>
          </w:p>
        </w:tc>
        <w:tc>
          <w:tcPr>
            <w:tcW w:type="dxa" w:w="1728"/>
            <w:shd w:fill="E8F0FE"/>
          </w:tcPr>
          <w:p>
            <w:pPr>
              <w:spacing w:before="40" w:after="40"/>
            </w:pPr>
            <w:r>
              <w:rPr>
                <w:rFonts w:ascii="Calibri" w:hAnsi="Calibri"/>
                <w:sz w:val="18"/>
              </w:rPr>
              <w:t>-36</w:t>
            </w:r>
          </w:p>
        </w:tc>
      </w:tr>
      <w:tr>
        <w:tc>
          <w:tcPr>
            <w:tcW w:type="dxa" w:w="1728"/>
          </w:tcPr>
          <w:p>
            <w:pPr>
              <w:spacing w:before="40" w:after="40"/>
            </w:pPr>
            <w:r>
              <w:rPr>
                <w:rFonts w:ascii="Calibri" w:hAnsi="Calibri"/>
                <w:b/>
                <w:sz w:val="18"/>
              </w:rPr>
              <w:t>Free Cash Flow</w:t>
            </w:r>
          </w:p>
        </w:tc>
        <w:tc>
          <w:tcPr>
            <w:tcW w:type="dxa" w:w="1728"/>
          </w:tcPr>
          <w:p>
            <w:pPr>
              <w:spacing w:before="40" w:after="40"/>
            </w:pPr>
            <w:r>
              <w:rPr>
                <w:rFonts w:ascii="Calibri" w:hAnsi="Calibri"/>
                <w:sz w:val="18"/>
              </w:rPr>
            </w:r>
          </w:p>
        </w:tc>
        <w:tc>
          <w:tcPr>
            <w:tcW w:type="dxa" w:w="1728"/>
          </w:tcPr>
          <w:p>
            <w:pPr>
              <w:spacing w:before="40" w:after="40"/>
            </w:pPr>
            <w:r>
              <w:rPr>
                <w:rFonts w:ascii="Calibri" w:hAnsi="Calibri"/>
                <w:sz w:val="18"/>
              </w:rPr>
              <w:t>80</w:t>
            </w:r>
          </w:p>
        </w:tc>
        <w:tc>
          <w:tcPr>
            <w:tcW w:type="dxa" w:w="1728"/>
          </w:tcPr>
          <w:p>
            <w:pPr>
              <w:spacing w:before="40" w:after="40"/>
            </w:pPr>
            <w:r>
              <w:rPr>
                <w:rFonts w:ascii="Calibri" w:hAnsi="Calibri"/>
                <w:sz w:val="18"/>
              </w:rPr>
              <w:t>52</w:t>
            </w:r>
          </w:p>
        </w:tc>
        <w:tc>
          <w:tcPr>
            <w:tcW w:type="dxa" w:w="1728"/>
          </w:tcPr>
          <w:p>
            <w:pPr>
              <w:spacing w:before="40" w:after="40"/>
            </w:pPr>
            <w:r>
              <w:rPr>
                <w:rFonts w:ascii="Calibri" w:hAnsi="Calibri"/>
                <w:sz w:val="18"/>
              </w:rPr>
              <w:t>-75</w:t>
            </w:r>
          </w:p>
        </w:tc>
      </w:tr>
      <w:tr>
        <w:tc>
          <w:tcPr>
            <w:tcW w:type="dxa" w:w="1728"/>
            <w:shd w:fill="E8F0FE"/>
          </w:tcPr>
          <w:p>
            <w:pPr>
              <w:spacing w:before="40" w:after="40"/>
            </w:pPr>
            <w:r>
              <w:rPr>
                <w:rFonts w:ascii="Calibri" w:hAnsi="Calibri"/>
                <w:b/>
                <w:sz w:val="18"/>
              </w:rPr>
              <w:t>CFO/OP</w:t>
            </w:r>
          </w:p>
        </w:tc>
        <w:tc>
          <w:tcPr>
            <w:tcW w:type="dxa" w:w="1728"/>
            <w:shd w:fill="E8F0FE"/>
          </w:tcPr>
          <w:p>
            <w:pPr>
              <w:spacing w:before="40" w:after="40"/>
            </w:pPr>
            <w:r>
              <w:rPr>
                <w:rFonts w:ascii="Calibri" w:hAnsi="Calibri"/>
                <w:sz w:val="18"/>
              </w:rPr>
            </w:r>
          </w:p>
        </w:tc>
        <w:tc>
          <w:tcPr>
            <w:tcW w:type="dxa" w:w="1728"/>
            <w:shd w:fill="E8F0FE"/>
          </w:tcPr>
          <w:p>
            <w:pPr>
              <w:spacing w:before="40" w:after="40"/>
            </w:pPr>
            <w:r>
              <w:rPr>
                <w:rFonts w:ascii="Calibri" w:hAnsi="Calibri"/>
                <w:sz w:val="18"/>
              </w:rPr>
              <w:t>94%</w:t>
            </w:r>
          </w:p>
        </w:tc>
        <w:tc>
          <w:tcPr>
            <w:tcW w:type="dxa" w:w="1728"/>
            <w:shd w:fill="E8F0FE"/>
          </w:tcPr>
          <w:p>
            <w:pPr>
              <w:spacing w:before="40" w:after="40"/>
            </w:pPr>
            <w:r>
              <w:rPr>
                <w:rFonts w:ascii="Calibri" w:hAnsi="Calibri"/>
                <w:sz w:val="18"/>
              </w:rPr>
              <w:t>101%</w:t>
            </w:r>
          </w:p>
        </w:tc>
        <w:tc>
          <w:tcPr>
            <w:tcW w:type="dxa" w:w="1728"/>
            <w:shd w:fill="E8F0FE"/>
          </w:tcPr>
          <w:p>
            <w:pPr>
              <w:spacing w:before="40" w:after="40"/>
            </w:pPr>
            <w:r>
              <w:rPr>
                <w:rFonts w:ascii="Calibri" w:hAnsi="Calibri"/>
                <w:sz w:val="18"/>
              </w:rPr>
              <w:t>65%</w:t>
            </w:r>
          </w:p>
        </w:tc>
      </w:tr>
    </w:tbl>
    <w:p/>
    <w:p>
      <w:pPr>
        <w:pStyle w:val="Heading1"/>
      </w:pPr>
      <w:r>
        <w:rPr>
          <w:rFonts w:ascii="Calibri" w:hAnsi="Calibri"/>
          <w:color w:val="1F5F8B"/>
          <w:sz w:val="32"/>
        </w:rPr>
        <w:t>4. Corporate Governance Assessment</w:t>
      </w:r>
    </w:p>
    <w:p>
      <w:pPr>
        <w:spacing w:before="0" w:after="120"/>
      </w:pPr>
    </w:p>
    <w:p>
      <w:pPr>
        <w:pStyle w:val="Heading2"/>
      </w:pPr>
      <w:r>
        <w:rPr>
          <w:rFonts w:ascii="Calibri" w:hAnsi="Calibri"/>
          <w:color w:val="1F5F8B"/>
          <w:sz w:val="26"/>
        </w:rPr>
        <w:t>4.1 Board Composition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Name</w:t>
            </w:r>
          </w:p>
        </w:tc>
        <w:tc>
          <w:tcPr>
            <w:tcW w:type="dxa" w:w="2880"/>
            <w:shd w:fill="1F5F8B"/>
          </w:tcPr>
          <w:p>
            <w:pPr>
              <w:spacing w:before="40" w:after="40"/>
            </w:pPr>
            <w:r>
              <w:rPr>
                <w:rFonts w:ascii="Calibri" w:hAnsi="Calibri"/>
                <w:b/>
                <w:color w:val="FFFFFF"/>
                <w:sz w:val="18"/>
              </w:rPr>
              <w:t>Designation</w:t>
            </w:r>
          </w:p>
        </w:tc>
        <w:tc>
          <w:tcPr>
            <w:tcW w:type="dxa" w:w="2880"/>
            <w:shd w:fill="1F5F8B"/>
          </w:tcPr>
          <w:p>
            <w:pPr>
              <w:spacing w:before="40" w:after="40"/>
            </w:pPr>
            <w:r>
              <w:rPr>
                <w:rFonts w:ascii="Calibri" w:hAnsi="Calibri"/>
                <w:b/>
                <w:color w:val="FFFFFF"/>
                <w:sz w:val="18"/>
              </w:rPr>
              <w:t>Category</w:t>
            </w:r>
          </w:p>
        </w:tc>
      </w:tr>
      <w:tr>
        <w:tc>
          <w:tcPr>
            <w:tcW w:type="dxa" w:w="2880"/>
          </w:tcPr>
          <w:p>
            <w:pPr>
              <w:spacing w:before="40" w:after="40"/>
            </w:pPr>
            <w:r>
              <w:rPr>
                <w:rFonts w:ascii="Calibri" w:hAnsi="Calibri"/>
                <w:b/>
                <w:sz w:val="18"/>
              </w:rPr>
              <w:t>Mr. Rishi C. Sanghvi</w:t>
            </w:r>
          </w:p>
        </w:tc>
        <w:tc>
          <w:tcPr>
            <w:tcW w:type="dxa" w:w="2880"/>
          </w:tcPr>
          <w:p>
            <w:pPr>
              <w:spacing w:before="40" w:after="40"/>
            </w:pPr>
            <w:r>
              <w:rPr>
                <w:rFonts w:ascii="Calibri" w:hAnsi="Calibri"/>
                <w:sz w:val="18"/>
              </w:rPr>
              <w:t>Managing Director</w:t>
            </w:r>
          </w:p>
        </w:tc>
        <w:tc>
          <w:tcPr>
            <w:tcW w:type="dxa" w:w="2880"/>
          </w:tcPr>
          <w:p>
            <w:pPr>
              <w:spacing w:before="40" w:after="40"/>
            </w:pPr>
            <w:r>
              <w:rPr>
                <w:rFonts w:ascii="Calibri" w:hAnsi="Calibri"/>
                <w:sz w:val="18"/>
              </w:rPr>
              <w:t>Promoter</w:t>
            </w:r>
          </w:p>
        </w:tc>
      </w:tr>
      <w:tr>
        <w:tc>
          <w:tcPr>
            <w:tcW w:type="dxa" w:w="2880"/>
            <w:shd w:fill="E8F0FE"/>
          </w:tcPr>
          <w:p>
            <w:pPr>
              <w:spacing w:before="40" w:after="40"/>
            </w:pPr>
            <w:r>
              <w:rPr>
                <w:rFonts w:ascii="Calibri" w:hAnsi="Calibri"/>
                <w:b/>
                <w:sz w:val="18"/>
              </w:rPr>
              <w:t>Mr. Deepak A Thombre</w:t>
            </w:r>
          </w:p>
        </w:tc>
        <w:tc>
          <w:tcPr>
            <w:tcW w:type="dxa" w:w="2880"/>
            <w:shd w:fill="E8F0FE"/>
          </w:tcPr>
          <w:p>
            <w:pPr>
              <w:spacing w:before="40" w:after="40"/>
            </w:pPr>
            <w:r>
              <w:rPr>
                <w:rFonts w:ascii="Calibri" w:hAnsi="Calibri"/>
                <w:sz w:val="18"/>
              </w:rPr>
              <w:t>Chairman</w:t>
            </w:r>
          </w:p>
        </w:tc>
        <w:tc>
          <w:tcPr>
            <w:tcW w:type="dxa" w:w="2880"/>
            <w:shd w:fill="E8F0FE"/>
          </w:tcPr>
          <w:p>
            <w:pPr>
              <w:spacing w:before="40" w:after="40"/>
            </w:pPr>
            <w:r>
              <w:rPr>
                <w:rFonts w:ascii="Calibri" w:hAnsi="Calibri"/>
                <w:sz w:val="18"/>
              </w:rPr>
              <w:t>Non-Executive Independent Director</w:t>
            </w:r>
          </w:p>
        </w:tc>
      </w:tr>
      <w:tr>
        <w:tc>
          <w:tcPr>
            <w:tcW w:type="dxa" w:w="2880"/>
          </w:tcPr>
          <w:p>
            <w:pPr>
              <w:spacing w:before="40" w:after="40"/>
            </w:pPr>
            <w:r>
              <w:rPr>
                <w:rFonts w:ascii="Calibri" w:hAnsi="Calibri"/>
                <w:b/>
                <w:sz w:val="18"/>
              </w:rPr>
              <w:t>Mrs. Madhu Dubhashi</w:t>
            </w:r>
          </w:p>
        </w:tc>
        <w:tc>
          <w:tcPr>
            <w:tcW w:type="dxa" w:w="2880"/>
          </w:tcPr>
          <w:p>
            <w:pPr>
              <w:spacing w:before="40" w:after="40"/>
            </w:pPr>
            <w:r>
              <w:rPr>
                <w:rFonts w:ascii="Calibri" w:hAnsi="Calibri"/>
                <w:sz w:val="18"/>
              </w:rPr>
              <w:t>Chairperson of Audit Committee</w:t>
            </w:r>
          </w:p>
        </w:tc>
        <w:tc>
          <w:tcPr>
            <w:tcW w:type="dxa" w:w="2880"/>
          </w:tcPr>
          <w:p>
            <w:pPr>
              <w:spacing w:before="40" w:after="40"/>
            </w:pPr>
            <w:r>
              <w:rPr>
                <w:rFonts w:ascii="Calibri" w:hAnsi="Calibri"/>
                <w:sz w:val="18"/>
              </w:rPr>
              <w:t>Non-Executive Independent Director</w:t>
            </w:r>
          </w:p>
        </w:tc>
      </w:tr>
      <w:tr>
        <w:tc>
          <w:tcPr>
            <w:tcW w:type="dxa" w:w="2880"/>
            <w:shd w:fill="E8F0FE"/>
          </w:tcPr>
          <w:p>
            <w:pPr>
              <w:spacing w:before="40" w:after="40"/>
            </w:pPr>
            <w:r>
              <w:rPr>
                <w:rFonts w:ascii="Calibri" w:hAnsi="Calibri"/>
                <w:b/>
                <w:sz w:val="18"/>
              </w:rPr>
              <w:t>Mr. Amitabha Mukhopadhyay</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Independent Director</w:t>
            </w:r>
          </w:p>
        </w:tc>
      </w:tr>
      <w:tr>
        <w:tc>
          <w:tcPr>
            <w:tcW w:type="dxa" w:w="2880"/>
          </w:tcPr>
          <w:p>
            <w:pPr>
              <w:spacing w:before="40" w:after="40"/>
            </w:pPr>
            <w:r>
              <w:rPr>
                <w:rFonts w:ascii="Calibri" w:hAnsi="Calibri"/>
                <w:b/>
                <w:sz w:val="18"/>
              </w:rPr>
              <w:t>Mr. Ishwar Chand Mangal</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Independent Director</w:t>
            </w:r>
          </w:p>
        </w:tc>
      </w:tr>
      <w:tr>
        <w:tc>
          <w:tcPr>
            <w:tcW w:type="dxa" w:w="2880"/>
            <w:shd w:fill="E8F0FE"/>
          </w:tcPr>
          <w:p>
            <w:pPr>
              <w:spacing w:before="40" w:after="40"/>
            </w:pPr>
            <w:r>
              <w:rPr>
                <w:rFonts w:ascii="Calibri" w:hAnsi="Calibri"/>
                <w:b/>
                <w:sz w:val="18"/>
              </w:rPr>
              <w:t>Mr. Tushar Mehendale</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Independent Director</w:t>
            </w:r>
          </w:p>
        </w:tc>
      </w:tr>
      <w:tr>
        <w:tc>
          <w:tcPr>
            <w:tcW w:type="dxa" w:w="2880"/>
          </w:tcPr>
          <w:p>
            <w:pPr>
              <w:spacing w:before="40" w:after="40"/>
            </w:pPr>
            <w:r>
              <w:rPr>
                <w:rFonts w:ascii="Calibri" w:hAnsi="Calibri"/>
                <w:b/>
                <w:sz w:val="18"/>
              </w:rPr>
              <w:t>Mr. Indraneel Chitale</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Independent Director</w:t>
            </w:r>
          </w:p>
        </w:tc>
      </w:tr>
      <w:tr>
        <w:tc>
          <w:tcPr>
            <w:tcW w:type="dxa" w:w="2880"/>
            <w:shd w:fill="E8F0FE"/>
          </w:tcPr>
          <w:p>
            <w:pPr>
              <w:spacing w:before="40" w:after="40"/>
            </w:pPr>
            <w:r>
              <w:rPr>
                <w:rFonts w:ascii="Calibri" w:hAnsi="Calibri"/>
                <w:b/>
                <w:sz w:val="18"/>
              </w:rPr>
              <w:t>Mrs. Maithili R. Sanghvi</w:t>
            </w:r>
          </w:p>
        </w:tc>
        <w:tc>
          <w:tcPr>
            <w:tcW w:type="dxa" w:w="2880"/>
            <w:shd w:fill="E8F0FE"/>
          </w:tcPr>
          <w:p>
            <w:pPr>
              <w:spacing w:before="40" w:after="40"/>
            </w:pPr>
            <w:r>
              <w:rPr>
                <w:rFonts w:ascii="Calibri" w:hAnsi="Calibri"/>
                <w:sz w:val="18"/>
              </w:rPr>
              <w:t>Non-Executive Non-Independent Director</w:t>
            </w:r>
          </w:p>
        </w:tc>
        <w:tc>
          <w:tcPr>
            <w:tcW w:type="dxa" w:w="2880"/>
            <w:shd w:fill="E8F0FE"/>
          </w:tcPr>
          <w:p>
            <w:pPr>
              <w:spacing w:before="40" w:after="40"/>
            </w:pPr>
            <w:r>
              <w:rPr>
                <w:rFonts w:ascii="Calibri" w:hAnsi="Calibri"/>
                <w:sz w:val="18"/>
              </w:rPr>
              <w:t>Promoter Group</w:t>
            </w:r>
          </w:p>
        </w:tc>
      </w:tr>
    </w:tbl>
    <w:p/>
    <w:p>
      <w:pPr>
        <w:pStyle w:val="Heading2"/>
      </w:pPr>
      <w:r>
        <w:rPr>
          <w:rFonts w:ascii="Calibri" w:hAnsi="Calibri"/>
          <w:color w:val="1F5F8B"/>
          <w:sz w:val="26"/>
        </w:rPr>
        <w:t>4.2 Governance Strengths</w:t>
      </w:r>
    </w:p>
    <w:p>
      <w:pPr>
        <w:pStyle w:val="ListBullet"/>
        <w:spacing w:after="80"/>
      </w:pPr>
      <w:r>
        <w:rPr>
          <w:rFonts w:ascii="Calibri" w:hAnsi="Calibri"/>
          <w:color w:val="333333"/>
          <w:sz w:val="20"/>
        </w:rPr>
        <w:t xml:space="preserve">  </w:t>
      </w:r>
      <w:r>
        <w:rPr>
          <w:rFonts w:ascii="Calibri" w:hAnsi="Calibri"/>
          <w:b/>
          <w:color w:val="333333"/>
          <w:sz w:val="20"/>
        </w:rPr>
        <w:t>Independent Board:</w:t>
      </w:r>
      <w:r>
        <w:rPr>
          <w:rFonts w:ascii="Calibri" w:hAnsi="Calibri"/>
          <w:color w:val="333333"/>
          <w:sz w:val="20"/>
        </w:rPr>
        <w:t xml:space="preserve"> The Board of Directors comprises a majority of independent directors, ensuring diverse perspectives and oversight.</w:t>
      </w:r>
    </w:p>
    <w:p>
      <w:pPr>
        <w:pStyle w:val="ListBullet"/>
        <w:spacing w:after="80"/>
      </w:pPr>
      <w:r>
        <w:rPr>
          <w:rFonts w:ascii="Calibri" w:hAnsi="Calibri"/>
          <w:color w:val="333333"/>
          <w:sz w:val="20"/>
        </w:rPr>
        <w:t xml:space="preserve">  </w:t>
      </w:r>
      <w:r>
        <w:rPr>
          <w:rFonts w:ascii="Calibri" w:hAnsi="Calibri"/>
          <w:b/>
          <w:color w:val="333333"/>
          <w:sz w:val="20"/>
        </w:rPr>
        <w:t>Audit Committee:</w:t>
      </w:r>
      <w:r>
        <w:rPr>
          <w:rFonts w:ascii="Calibri" w:hAnsi="Calibri"/>
          <w:color w:val="333333"/>
          <w:sz w:val="20"/>
        </w:rPr>
        <w:t xml:space="preserve"> A well-constituted Audit Committee with financially literate members oversees financial reporting, internal controls, and auditor appointments.</w:t>
      </w:r>
    </w:p>
    <w:p>
      <w:pPr>
        <w:pStyle w:val="ListBullet"/>
        <w:spacing w:after="80"/>
      </w:pPr>
      <w:r>
        <w:rPr>
          <w:rFonts w:ascii="Calibri" w:hAnsi="Calibri"/>
          <w:color w:val="333333"/>
          <w:sz w:val="20"/>
        </w:rPr>
        <w:t xml:space="preserve">  </w:t>
      </w:r>
      <w:r>
        <w:rPr>
          <w:rFonts w:ascii="Calibri" w:hAnsi="Calibri"/>
          <w:b/>
          <w:color w:val="333333"/>
          <w:sz w:val="20"/>
        </w:rPr>
        <w:t>Risk Management Framework:</w:t>
      </w:r>
      <w:r>
        <w:rPr>
          <w:rFonts w:ascii="Calibri" w:hAnsi="Calibri"/>
          <w:color w:val="333333"/>
          <w:sz w:val="20"/>
        </w:rPr>
        <w:t xml:space="preserve"> The company has a structured risk management framework overseen by a dedicated committee, ensuring proactive identification and mitigation of business risks.</w:t>
      </w:r>
    </w:p>
    <w:p>
      <w:pPr>
        <w:pStyle w:val="ListBullet"/>
        <w:spacing w:after="80"/>
      </w:pPr>
      <w:r>
        <w:rPr>
          <w:rFonts w:ascii="Calibri" w:hAnsi="Calibri"/>
          <w:color w:val="333333"/>
          <w:sz w:val="20"/>
        </w:rPr>
        <w:t xml:space="preserve">  </w:t>
      </w:r>
      <w:r>
        <w:rPr>
          <w:rFonts w:ascii="Calibri" w:hAnsi="Calibri"/>
          <w:b/>
          <w:color w:val="333333"/>
          <w:sz w:val="20"/>
        </w:rPr>
        <w:t>Whistleblower Policy:</w:t>
      </w:r>
      <w:r>
        <w:rPr>
          <w:rFonts w:ascii="Calibri" w:hAnsi="Calibri"/>
          <w:color w:val="333333"/>
          <w:sz w:val="20"/>
        </w:rPr>
        <w:t xml:space="preserve"> A robust whistleblower policy and vigil mechanism are in place to encourage reporting of unethical behavior without fear of retaliation.</w:t>
      </w:r>
    </w:p>
    <w:p>
      <w:pPr>
        <w:pStyle w:val="ListBullet"/>
        <w:spacing w:after="80"/>
      </w:pPr>
      <w:r>
        <w:rPr>
          <w:rFonts w:ascii="Calibri" w:hAnsi="Calibri"/>
          <w:color w:val="333333"/>
          <w:sz w:val="20"/>
        </w:rPr>
        <w:t xml:space="preserve">  </w:t>
      </w:r>
      <w:r>
        <w:rPr>
          <w:rFonts w:ascii="Calibri" w:hAnsi="Calibri"/>
          <w:b/>
          <w:color w:val="333333"/>
          <w:sz w:val="20"/>
        </w:rPr>
        <w:t>Code of Conduct:</w:t>
      </w:r>
      <w:r>
        <w:rPr>
          <w:rFonts w:ascii="Calibri" w:hAnsi="Calibri"/>
          <w:color w:val="333333"/>
          <w:sz w:val="20"/>
        </w:rPr>
        <w:t xml:space="preserve"> The company adheres to a comprehensive Code of Conduct for Directors and Senior Management, promoting ethical business practices.</w:t>
      </w:r>
    </w:p>
    <w:p>
      <w:pPr>
        <w:pStyle w:val="ListBullet"/>
        <w:spacing w:after="80"/>
      </w:pPr>
      <w:r>
        <w:rPr>
          <w:rFonts w:ascii="Calibri" w:hAnsi="Calibri"/>
          <w:color w:val="333333"/>
          <w:sz w:val="20"/>
        </w:rPr>
        <w:t xml:space="preserve">  </w:t>
      </w:r>
      <w:r>
        <w:rPr>
          <w:rFonts w:ascii="Calibri" w:hAnsi="Calibri"/>
          <w:b/>
          <w:color w:val="333333"/>
          <w:sz w:val="20"/>
        </w:rPr>
        <w:t>ISO Certifications:</w:t>
      </w:r>
      <w:r>
        <w:rPr>
          <w:rFonts w:ascii="Calibri" w:hAnsi="Calibri"/>
          <w:color w:val="333333"/>
          <w:sz w:val="20"/>
        </w:rPr>
        <w:t xml:space="preserve"> SML holds ISO 9001:2015, ISO 14001:2015, and ISO 45001:2018 certifications, demonstrating a commitment to quality, environmental stewardship, and occupational health and safety.</w:t>
      </w:r>
    </w:p>
    <w:p>
      <w:pPr>
        <w:pStyle w:val="ListBullet"/>
        <w:spacing w:after="80"/>
      </w:pPr>
      <w:r>
        <w:rPr>
          <w:rFonts w:ascii="Calibri" w:hAnsi="Calibri"/>
          <w:color w:val="333333"/>
          <w:sz w:val="20"/>
        </w:rPr>
        <w:t xml:space="preserve">  </w:t>
      </w:r>
      <w:r>
        <w:rPr>
          <w:rFonts w:ascii="Calibri" w:hAnsi="Calibri"/>
          <w:b/>
          <w:color w:val="333333"/>
          <w:sz w:val="20"/>
        </w:rPr>
        <w:t>Transparency:</w:t>
      </w:r>
      <w:r>
        <w:rPr>
          <w:rFonts w:ascii="Calibri" w:hAnsi="Calibri"/>
          <w:color w:val="333333"/>
          <w:sz w:val="20"/>
        </w:rPr>
        <w:t xml:space="preserve"> The company maintains transparency through timely disclosures to stock exchanges and its website, adhering to SEBI regulations.</w:t>
      </w:r>
    </w:p>
    <w:p>
      <w:pPr>
        <w:pStyle w:val="ListBullet"/>
        <w:spacing w:after="80"/>
      </w:pPr>
      <w:r>
        <w:rPr>
          <w:rFonts w:ascii="Calibri" w:hAnsi="Calibri"/>
          <w:color w:val="333333"/>
          <w:sz w:val="20"/>
        </w:rPr>
        <w:t xml:space="preserve">  </w:t>
      </w:r>
      <w:r>
        <w:rPr>
          <w:rFonts w:ascii="Calibri" w:hAnsi="Calibri"/>
          <w:b/>
          <w:color w:val="333333"/>
          <w:sz w:val="20"/>
        </w:rPr>
        <w:t>Internal Controls:</w:t>
      </w:r>
      <w:r>
        <w:rPr>
          <w:rFonts w:ascii="Calibri" w:hAnsi="Calibri"/>
          <w:color w:val="333333"/>
          <w:sz w:val="20"/>
        </w:rPr>
        <w:t xml:space="preserve"> The company has adequate internal financial controls that were operating effectively as of March 31, 2025, as confirmed by the statutory auditors.</w:t>
      </w:r>
    </w:p>
    <w:p>
      <w:pPr>
        <w:pStyle w:val="Heading2"/>
      </w:pPr>
      <w:r>
        <w:rPr>
          <w:rFonts w:ascii="Calibri" w:hAnsi="Calibri"/>
          <w:color w:val="1F5F8B"/>
          <w:sz w:val="26"/>
        </w:rPr>
        <w:t>4.3 Governance Concerns / Watchpoints</w:t>
      </w:r>
    </w:p>
    <w:p>
      <w:pPr>
        <w:pStyle w:val="ListBullet"/>
        <w:spacing w:after="80"/>
      </w:pPr>
      <w:r>
        <w:rPr>
          <w:rFonts w:ascii="Calibri" w:hAnsi="Calibri"/>
          <w:color w:val="333333"/>
          <w:sz w:val="20"/>
        </w:rPr>
        <w:t xml:space="preserve">  </w:t>
      </w:r>
      <w:r>
        <w:rPr>
          <w:rFonts w:ascii="Calibri" w:hAnsi="Calibri"/>
          <w:b/>
          <w:color w:val="333333"/>
          <w:sz w:val="20"/>
        </w:rPr>
        <w:t>Related Party Transactions:</w:t>
      </w:r>
      <w:r>
        <w:rPr>
          <w:rFonts w:ascii="Calibri" w:hAnsi="Calibri"/>
          <w:color w:val="333333"/>
          <w:sz w:val="20"/>
        </w:rPr>
        <w:t xml:space="preserve"> While transactions with wholly-owned subsidiaries are on an arm's length basis, minutes of board and audit committee meetings did not always explicitly record the terms 'approval' or 'prior approval' as required by regulations.</w:t>
      </w:r>
    </w:p>
    <w:p>
      <w:pPr>
        <w:pStyle w:val="ListBullet"/>
        <w:spacing w:after="80"/>
      </w:pPr>
      <w:r>
        <w:rPr>
          <w:rFonts w:ascii="Calibri" w:hAnsi="Calibri"/>
          <w:color w:val="333333"/>
          <w:sz w:val="20"/>
        </w:rPr>
        <w:t xml:space="preserve">  </w:t>
      </w:r>
      <w:r>
        <w:rPr>
          <w:rFonts w:ascii="Calibri" w:hAnsi="Calibri"/>
          <w:b/>
          <w:color w:val="333333"/>
          <w:sz w:val="20"/>
        </w:rPr>
        <w:t>Subsidiary Minutes Noted in Board Minutes:</w:t>
      </w:r>
      <w:r>
        <w:rPr>
          <w:rFonts w:ascii="Calibri" w:hAnsi="Calibri"/>
          <w:color w:val="333333"/>
          <w:sz w:val="20"/>
        </w:rPr>
        <w:t xml:space="preserve"> There was a lack of specific reference in board meeting minutes regarding the noting of minutes from wholly-owned subsidiary companies, except for one instance.</w:t>
      </w:r>
    </w:p>
    <w:p>
      <w:pPr>
        <w:pStyle w:val="ListBullet"/>
        <w:spacing w:after="80"/>
      </w:pPr>
      <w:r>
        <w:rPr>
          <w:rFonts w:ascii="Calibri" w:hAnsi="Calibri"/>
          <w:color w:val="333333"/>
          <w:sz w:val="20"/>
        </w:rPr>
        <w:t xml:space="preserve">  </w:t>
      </w:r>
      <w:r>
        <w:rPr>
          <w:rFonts w:ascii="Calibri" w:hAnsi="Calibri"/>
          <w:b/>
          <w:color w:val="333333"/>
          <w:sz w:val="20"/>
        </w:rPr>
        <w:t>Performance Evaluation Recording:</w:t>
      </w:r>
      <w:r>
        <w:rPr>
          <w:rFonts w:ascii="Calibri" w:hAnsi="Calibri"/>
          <w:color w:val="333333"/>
          <w:sz w:val="20"/>
        </w:rPr>
        <w:t xml:space="preserve"> Performance evaluations of directors were conducted but not always specifically recorded in the minutes of the Nomination and Remuneration Committee and Board Meetings.</w:t>
      </w:r>
    </w:p>
    <w:p>
      <w:pPr>
        <w:pStyle w:val="ListBullet"/>
        <w:spacing w:after="80"/>
      </w:pPr>
      <w:r>
        <w:rPr>
          <w:rFonts w:ascii="Calibri" w:hAnsi="Calibri"/>
          <w:color w:val="333333"/>
          <w:sz w:val="20"/>
        </w:rPr>
        <w:t xml:space="preserve">  </w:t>
      </w:r>
      <w:r>
        <w:rPr>
          <w:rFonts w:ascii="Calibri" w:hAnsi="Calibri"/>
          <w:b/>
          <w:color w:val="333333"/>
          <w:sz w:val="20"/>
        </w:rPr>
        <w:t>Independent Director Declarations:</w:t>
      </w:r>
      <w:r>
        <w:rPr>
          <w:rFonts w:ascii="Calibri" w:hAnsi="Calibri"/>
          <w:color w:val="333333"/>
          <w:sz w:val="20"/>
        </w:rPr>
        <w:t xml:space="preserve"> Board meeting minutes did not always contain specific references to the declarations and confirmations submitted by Independent Directors.</w:t>
      </w:r>
    </w:p>
    <w:p>
      <w:pPr>
        <w:pStyle w:val="ListBullet"/>
        <w:spacing w:after="80"/>
      </w:pPr>
      <w:r>
        <w:rPr>
          <w:rFonts w:ascii="Calibri" w:hAnsi="Calibri"/>
          <w:color w:val="333333"/>
          <w:sz w:val="20"/>
        </w:rPr>
        <w:t xml:space="preserve">  </w:t>
      </w:r>
      <w:r>
        <w:rPr>
          <w:rFonts w:ascii="Calibri" w:hAnsi="Calibri"/>
          <w:b/>
          <w:color w:val="333333"/>
          <w:sz w:val="20"/>
        </w:rPr>
        <w:t>Website Disclosures:</w:t>
      </w:r>
      <w:r>
        <w:rPr>
          <w:rFonts w:ascii="Calibri" w:hAnsi="Calibri"/>
          <w:color w:val="333333"/>
          <w:sz w:val="20"/>
        </w:rPr>
        <w:t xml:space="preserve"> Certain disclosures required under Regulation 46(2) of SEBI (LODR) Regulations, 2015, such as detailed board profiles and memorandum/articles of association, were in the process of being updated on the website.</w:t>
      </w:r>
    </w:p>
    <w:p>
      <w:pPr>
        <w:pStyle w:val="ListBullet"/>
        <w:spacing w:after="80"/>
      </w:pPr>
      <w:r>
        <w:rPr>
          <w:rFonts w:ascii="Calibri" w:hAnsi="Calibri"/>
          <w:color w:val="333333"/>
          <w:sz w:val="20"/>
        </w:rPr>
        <w:t xml:space="preserve">  </w:t>
      </w:r>
      <w:r>
        <w:rPr>
          <w:rFonts w:ascii="Calibri" w:hAnsi="Calibri"/>
          <w:b/>
          <w:color w:val="333333"/>
          <w:sz w:val="20"/>
        </w:rPr>
        <w:t>Management's Commentary on Subsidiaries:</w:t>
      </w:r>
      <w:r>
        <w:rPr>
          <w:rFonts w:ascii="Calibri" w:hAnsi="Calibri"/>
          <w:color w:val="333333"/>
          <w:sz w:val="20"/>
        </w:rPr>
        <w:t xml:space="preserve"> While the company has established subsidiaries, the financial statements for some of these subsidiaries were not subject to review or were furnished by management, with materiality assessments noted.</w:t>
      </w:r>
    </w:p>
    <w:p>
      <w:pPr>
        <w:pStyle w:val="Heading2"/>
      </w:pPr>
      <w:r>
        <w:rPr>
          <w:rFonts w:ascii="Calibri" w:hAnsi="Calibri"/>
          <w:color w:val="1F5F8B"/>
          <w:sz w:val="26"/>
        </w:rPr>
        <w:t>4.4 Shareholding Pattern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Category</w:t>
            </w:r>
          </w:p>
        </w:tc>
        <w:tc>
          <w:tcPr>
            <w:tcW w:type="dxa" w:w="2880"/>
            <w:shd w:fill="1F5F8B"/>
          </w:tcPr>
          <w:p>
            <w:pPr>
              <w:spacing w:before="40" w:after="40"/>
            </w:pPr>
            <w:r>
              <w:rPr>
                <w:rFonts w:ascii="Calibri" w:hAnsi="Calibri"/>
                <w:b/>
                <w:color w:val="FFFFFF"/>
                <w:sz w:val="18"/>
              </w:rPr>
              <w:t>No. of Shares</w:t>
            </w:r>
          </w:p>
        </w:tc>
        <w:tc>
          <w:tcPr>
            <w:tcW w:type="dxa" w:w="2880"/>
            <w:shd w:fill="1F5F8B"/>
          </w:tcPr>
          <w:p>
            <w:pPr>
              <w:spacing w:before="40" w:after="40"/>
            </w:pPr>
            <w:r>
              <w:rPr>
                <w:rFonts w:ascii="Calibri" w:hAnsi="Calibri"/>
                <w:b/>
                <w:color w:val="FFFFFF"/>
                <w:sz w:val="18"/>
              </w:rPr>
              <w:t>% Holding</w:t>
            </w:r>
          </w:p>
        </w:tc>
      </w:tr>
      <w:tr>
        <w:tc>
          <w:tcPr>
            <w:tcW w:type="dxa" w:w="2880"/>
          </w:tcPr>
          <w:p>
            <w:pPr>
              <w:spacing w:before="40" w:after="40"/>
            </w:pPr>
            <w:r>
              <w:rPr>
                <w:rFonts w:ascii="Calibri" w:hAnsi="Calibri"/>
                <w:b/>
                <w:sz w:val="18"/>
              </w:rPr>
              <w:t>Promoters &amp; PAIC</w:t>
            </w:r>
          </w:p>
        </w:tc>
        <w:tc>
          <w:tcPr>
            <w:tcW w:type="dxa" w:w="2880"/>
          </w:tcPr>
          <w:p>
            <w:pPr>
              <w:spacing w:before="40" w:after="40"/>
            </w:pPr>
            <w:r>
              <w:rPr>
                <w:rFonts w:ascii="Calibri" w:hAnsi="Calibri"/>
                <w:sz w:val="18"/>
              </w:rPr>
              <w:t>4,09,06,254</w:t>
            </w:r>
          </w:p>
        </w:tc>
        <w:tc>
          <w:tcPr>
            <w:tcW w:type="dxa" w:w="2880"/>
          </w:tcPr>
          <w:p>
            <w:pPr>
              <w:spacing w:before="40" w:after="40"/>
            </w:pPr>
            <w:r>
              <w:rPr>
                <w:rFonts w:ascii="Calibri" w:hAnsi="Calibri"/>
                <w:sz w:val="18"/>
              </w:rPr>
              <w:t>47.24%</w:t>
            </w:r>
          </w:p>
        </w:tc>
      </w:tr>
      <w:tr>
        <w:tc>
          <w:tcPr>
            <w:tcW w:type="dxa" w:w="2880"/>
            <w:shd w:fill="E8F0FE"/>
          </w:tcPr>
          <w:p>
            <w:pPr>
              <w:spacing w:before="40" w:after="40"/>
            </w:pPr>
            <w:r>
              <w:rPr>
                <w:rFonts w:ascii="Calibri" w:hAnsi="Calibri"/>
                <w:b/>
                <w:sz w:val="18"/>
              </w:rPr>
              <w:t>General Public &amp; others</w:t>
            </w:r>
          </w:p>
        </w:tc>
        <w:tc>
          <w:tcPr>
            <w:tcW w:type="dxa" w:w="2880"/>
            <w:shd w:fill="E8F0FE"/>
          </w:tcPr>
          <w:p>
            <w:pPr>
              <w:spacing w:before="40" w:after="40"/>
            </w:pPr>
            <w:r>
              <w:rPr>
                <w:rFonts w:ascii="Calibri" w:hAnsi="Calibri"/>
                <w:sz w:val="18"/>
              </w:rPr>
              <w:t>3,45,00,583</w:t>
            </w:r>
          </w:p>
        </w:tc>
        <w:tc>
          <w:tcPr>
            <w:tcW w:type="dxa" w:w="2880"/>
            <w:shd w:fill="E8F0FE"/>
          </w:tcPr>
          <w:p>
            <w:pPr>
              <w:spacing w:before="40" w:after="40"/>
            </w:pPr>
            <w:r>
              <w:rPr>
                <w:rFonts w:ascii="Calibri" w:hAnsi="Calibri"/>
                <w:sz w:val="18"/>
              </w:rPr>
              <w:t>39.85%</w:t>
            </w:r>
          </w:p>
        </w:tc>
      </w:tr>
      <w:tr>
        <w:tc>
          <w:tcPr>
            <w:tcW w:type="dxa" w:w="2880"/>
          </w:tcPr>
          <w:p>
            <w:pPr>
              <w:spacing w:before="40" w:after="40"/>
            </w:pPr>
            <w:r>
              <w:rPr>
                <w:rFonts w:ascii="Calibri" w:hAnsi="Calibri"/>
                <w:b/>
                <w:sz w:val="18"/>
              </w:rPr>
              <w:t>Mutual Funds</w:t>
            </w:r>
          </w:p>
        </w:tc>
        <w:tc>
          <w:tcPr>
            <w:tcW w:type="dxa" w:w="2880"/>
          </w:tcPr>
          <w:p>
            <w:pPr>
              <w:spacing w:before="40" w:after="40"/>
            </w:pPr>
            <w:r>
              <w:rPr>
                <w:rFonts w:ascii="Calibri" w:hAnsi="Calibri"/>
                <w:sz w:val="18"/>
              </w:rPr>
              <w:t>38,18,839</w:t>
            </w:r>
          </w:p>
        </w:tc>
        <w:tc>
          <w:tcPr>
            <w:tcW w:type="dxa" w:w="2880"/>
          </w:tcPr>
          <w:p>
            <w:pPr>
              <w:spacing w:before="40" w:after="40"/>
            </w:pPr>
            <w:r>
              <w:rPr>
                <w:rFonts w:ascii="Calibri" w:hAnsi="Calibri"/>
                <w:sz w:val="18"/>
              </w:rPr>
              <w:t>4.41%</w:t>
            </w:r>
          </w:p>
        </w:tc>
      </w:tr>
      <w:tr>
        <w:tc>
          <w:tcPr>
            <w:tcW w:type="dxa" w:w="2880"/>
            <w:shd w:fill="E8F0FE"/>
          </w:tcPr>
          <w:p>
            <w:pPr>
              <w:spacing w:before="40" w:after="40"/>
            </w:pPr>
            <w:r>
              <w:rPr>
                <w:rFonts w:ascii="Calibri" w:hAnsi="Calibri"/>
                <w:b/>
                <w:sz w:val="18"/>
              </w:rPr>
              <w:t>Private Corporate Bodies</w:t>
            </w:r>
          </w:p>
        </w:tc>
        <w:tc>
          <w:tcPr>
            <w:tcW w:type="dxa" w:w="2880"/>
            <w:shd w:fill="E8F0FE"/>
          </w:tcPr>
          <w:p>
            <w:pPr>
              <w:spacing w:before="40" w:after="40"/>
            </w:pPr>
            <w:r>
              <w:rPr>
                <w:rFonts w:ascii="Calibri" w:hAnsi="Calibri"/>
                <w:sz w:val="18"/>
              </w:rPr>
              <w:t>28,91,123</w:t>
            </w:r>
          </w:p>
        </w:tc>
        <w:tc>
          <w:tcPr>
            <w:tcW w:type="dxa" w:w="2880"/>
            <w:shd w:fill="E8F0FE"/>
          </w:tcPr>
          <w:p>
            <w:pPr>
              <w:spacing w:before="40" w:after="40"/>
            </w:pPr>
            <w:r>
              <w:rPr>
                <w:rFonts w:ascii="Calibri" w:hAnsi="Calibri"/>
                <w:sz w:val="18"/>
              </w:rPr>
              <w:t>3.33%</w:t>
            </w:r>
          </w:p>
        </w:tc>
      </w:tr>
      <w:tr>
        <w:tc>
          <w:tcPr>
            <w:tcW w:type="dxa" w:w="2880"/>
          </w:tcPr>
          <w:p>
            <w:pPr>
              <w:spacing w:before="40" w:after="40"/>
            </w:pPr>
            <w:r>
              <w:rPr>
                <w:rFonts w:ascii="Calibri" w:hAnsi="Calibri"/>
                <w:b/>
                <w:sz w:val="18"/>
              </w:rPr>
              <w:t>NRI’s</w:t>
            </w:r>
          </w:p>
        </w:tc>
        <w:tc>
          <w:tcPr>
            <w:tcW w:type="dxa" w:w="2880"/>
          </w:tcPr>
          <w:p>
            <w:pPr>
              <w:spacing w:before="40" w:after="40"/>
            </w:pPr>
            <w:r>
              <w:rPr>
                <w:rFonts w:ascii="Calibri" w:hAnsi="Calibri"/>
                <w:sz w:val="18"/>
              </w:rPr>
              <w:t>19,04,584</w:t>
            </w:r>
          </w:p>
        </w:tc>
        <w:tc>
          <w:tcPr>
            <w:tcW w:type="dxa" w:w="2880"/>
          </w:tcPr>
          <w:p>
            <w:pPr>
              <w:spacing w:before="40" w:after="40"/>
            </w:pPr>
            <w:r>
              <w:rPr>
                <w:rFonts w:ascii="Calibri" w:hAnsi="Calibri"/>
                <w:sz w:val="18"/>
              </w:rPr>
              <w:t>2.20%</w:t>
            </w:r>
          </w:p>
        </w:tc>
      </w:tr>
      <w:tr>
        <w:tc>
          <w:tcPr>
            <w:tcW w:type="dxa" w:w="2880"/>
            <w:shd w:fill="E8F0FE"/>
          </w:tcPr>
          <w:p>
            <w:pPr>
              <w:spacing w:before="40" w:after="40"/>
            </w:pPr>
            <w:r>
              <w:rPr>
                <w:rFonts w:ascii="Calibri" w:hAnsi="Calibri"/>
                <w:b/>
                <w:sz w:val="18"/>
              </w:rPr>
              <w:t>Foreign Portfolio Investor</w:t>
            </w:r>
          </w:p>
        </w:tc>
        <w:tc>
          <w:tcPr>
            <w:tcW w:type="dxa" w:w="2880"/>
            <w:shd w:fill="E8F0FE"/>
          </w:tcPr>
          <w:p>
            <w:pPr>
              <w:spacing w:before="40" w:after="40"/>
            </w:pPr>
            <w:r>
              <w:rPr>
                <w:rFonts w:ascii="Calibri" w:hAnsi="Calibri"/>
                <w:sz w:val="18"/>
              </w:rPr>
              <w:t>18,30,359</w:t>
            </w:r>
          </w:p>
        </w:tc>
        <w:tc>
          <w:tcPr>
            <w:tcW w:type="dxa" w:w="2880"/>
            <w:shd w:fill="E8F0FE"/>
          </w:tcPr>
          <w:p>
            <w:pPr>
              <w:spacing w:before="40" w:after="40"/>
            </w:pPr>
            <w:r>
              <w:rPr>
                <w:rFonts w:ascii="Calibri" w:hAnsi="Calibri"/>
                <w:sz w:val="18"/>
              </w:rPr>
              <w:t>2.13%</w:t>
            </w:r>
          </w:p>
        </w:tc>
      </w:tr>
      <w:tr>
        <w:tc>
          <w:tcPr>
            <w:tcW w:type="dxa" w:w="2880"/>
          </w:tcPr>
          <w:p>
            <w:pPr>
              <w:spacing w:before="40" w:after="40"/>
            </w:pPr>
            <w:r>
              <w:rPr>
                <w:rFonts w:ascii="Calibri" w:hAnsi="Calibri"/>
                <w:b/>
                <w:sz w:val="18"/>
              </w:rPr>
              <w:t>Alternate Investment Funds</w:t>
            </w:r>
          </w:p>
        </w:tc>
        <w:tc>
          <w:tcPr>
            <w:tcW w:type="dxa" w:w="2880"/>
          </w:tcPr>
          <w:p>
            <w:pPr>
              <w:spacing w:before="40" w:after="40"/>
            </w:pPr>
            <w:r>
              <w:rPr>
                <w:rFonts w:ascii="Calibri" w:hAnsi="Calibri"/>
                <w:sz w:val="18"/>
              </w:rPr>
              <w:t>7,24,258</w:t>
            </w:r>
          </w:p>
        </w:tc>
        <w:tc>
          <w:tcPr>
            <w:tcW w:type="dxa" w:w="2880"/>
          </w:tcPr>
          <w:p>
            <w:pPr>
              <w:spacing w:before="40" w:after="40"/>
            </w:pPr>
            <w:r>
              <w:rPr>
                <w:rFonts w:ascii="Calibri" w:hAnsi="Calibri"/>
                <w:sz w:val="18"/>
              </w:rPr>
              <w:t>0.84%</w:t>
            </w:r>
          </w:p>
        </w:tc>
      </w:tr>
      <w:tr>
        <w:tc>
          <w:tcPr>
            <w:tcW w:type="dxa" w:w="2880"/>
            <w:shd w:fill="E8F0FE"/>
          </w:tcPr>
          <w:p>
            <w:pPr>
              <w:spacing w:before="40" w:after="40"/>
            </w:pPr>
            <w:r>
              <w:rPr>
                <w:rFonts w:ascii="Calibri" w:hAnsi="Calibri"/>
                <w:b/>
                <w:sz w:val="18"/>
              </w:rPr>
              <w:t>Total</w:t>
            </w:r>
          </w:p>
        </w:tc>
        <w:tc>
          <w:tcPr>
            <w:tcW w:type="dxa" w:w="2880"/>
            <w:shd w:fill="E8F0FE"/>
          </w:tcPr>
          <w:p>
            <w:pPr>
              <w:spacing w:before="40" w:after="40"/>
            </w:pPr>
            <w:r>
              <w:rPr>
                <w:rFonts w:ascii="Calibri" w:hAnsi="Calibri"/>
                <w:sz w:val="18"/>
              </w:rPr>
              <w:t>8,65,76,000</w:t>
            </w:r>
          </w:p>
        </w:tc>
        <w:tc>
          <w:tcPr>
            <w:tcW w:type="dxa" w:w="2880"/>
            <w:shd w:fill="E8F0FE"/>
          </w:tcPr>
          <w:p>
            <w:pPr>
              <w:spacing w:before="40" w:after="40"/>
            </w:pPr>
            <w:r>
              <w:rPr>
                <w:rFonts w:ascii="Calibri" w:hAnsi="Calibri"/>
                <w:sz w:val="18"/>
              </w:rPr>
              <w:t>100.00%</w:t>
            </w:r>
          </w:p>
        </w:tc>
      </w:tr>
    </w:tbl>
    <w:p/>
    <w:p>
      <w:pPr>
        <w:spacing w:after="80"/>
      </w:pPr>
      <w:r>
        <w:rPr>
          <w:rFonts w:ascii="Calibri" w:hAnsi="Calibri"/>
          <w:b/>
          <w:color w:val="333333"/>
          <w:sz w:val="20"/>
        </w:rPr>
        <w:t>Promoter Group Holding:</w:t>
      </w:r>
      <w:r>
        <w:rPr>
          <w:rFonts w:ascii="Calibri" w:hAnsi="Calibri"/>
          <w:color w:val="333333"/>
          <w:sz w:val="20"/>
        </w:rPr>
        <w:t xml:space="preserve"> The promoter group holds a significant stake of 47.24%, providing a stable ownership structure. The presence of Mutual Funds (4.41%) and Foreign Portfolio Investors (2.13%) indicates growing institutional interest.</w:t>
      </w:r>
    </w:p>
    <w:p>
      <w:pPr>
        <w:pStyle w:val="Heading2"/>
      </w:pPr>
      <w:r>
        <w:rPr>
          <w:rFonts w:ascii="Calibri" w:hAnsi="Calibri"/>
          <w:color w:val="1F5F8B"/>
          <w:sz w:val="26"/>
        </w:rPr>
        <w:t>4.5 Insider Trading Activity (Last 3 Years)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Transaction Type</w:t>
            </w:r>
          </w:p>
        </w:tc>
        <w:tc>
          <w:tcPr>
            <w:tcW w:type="dxa" w:w="2880"/>
            <w:shd w:fill="1F5F8B"/>
          </w:tcPr>
          <w:p>
            <w:pPr>
              <w:spacing w:before="40" w:after="40"/>
            </w:pPr>
            <w:r>
              <w:rPr>
                <w:rFonts w:ascii="Calibri" w:hAnsi="Calibri"/>
                <w:b/>
                <w:color w:val="FFFFFF"/>
                <w:sz w:val="18"/>
              </w:rPr>
              <w:t>Total Shares</w:t>
            </w:r>
          </w:p>
        </w:tc>
        <w:tc>
          <w:tcPr>
            <w:tcW w:type="dxa" w:w="2880"/>
            <w:shd w:fill="1F5F8B"/>
          </w:tcPr>
          <w:p>
            <w:pPr>
              <w:spacing w:before="40" w:after="40"/>
            </w:pPr>
            <w:r>
              <w:rPr>
                <w:rFonts w:ascii="Calibri" w:hAnsi="Calibri"/>
                <w:b/>
                <w:color w:val="FFFFFF"/>
                <w:sz w:val="18"/>
              </w:rPr>
              <w:t>Total Value (Rs.)</w:t>
            </w:r>
          </w:p>
        </w:tc>
      </w:tr>
      <w:tr>
        <w:tc>
          <w:tcPr>
            <w:tcW w:type="dxa" w:w="2880"/>
          </w:tcPr>
          <w:p>
            <w:pPr>
              <w:spacing w:before="40" w:after="40"/>
            </w:pPr>
            <w:r>
              <w:rPr>
                <w:rFonts w:ascii="Calibri" w:hAnsi="Calibri"/>
                <w:b/>
                <w:sz w:val="18"/>
              </w:rPr>
              <w:t>Market Purchases</w:t>
            </w:r>
          </w:p>
        </w:tc>
        <w:tc>
          <w:tcPr>
            <w:tcW w:type="dxa" w:w="2880"/>
          </w:tcPr>
          <w:p>
            <w:pPr>
              <w:spacing w:before="40" w:after="40"/>
            </w:pPr>
            <w:r>
              <w:rPr>
                <w:rFonts w:ascii="Calibri" w:hAnsi="Calibri"/>
                <w:sz w:val="18"/>
              </w:rPr>
              <w:t>0</w:t>
            </w:r>
          </w:p>
        </w:tc>
        <w:tc>
          <w:tcPr>
            <w:tcW w:type="dxa" w:w="2880"/>
          </w:tcPr>
          <w:p>
            <w:pPr>
              <w:spacing w:before="40" w:after="40"/>
            </w:pPr>
            <w:r>
              <w:rPr>
                <w:rFonts w:ascii="Calibri" w:hAnsi="Calibri"/>
                <w:sz w:val="18"/>
              </w:rPr>
              <w:t>0</w:t>
            </w:r>
          </w:p>
        </w:tc>
      </w:tr>
      <w:tr>
        <w:tc>
          <w:tcPr>
            <w:tcW w:type="dxa" w:w="2880"/>
            <w:shd w:fill="E8F0FE"/>
          </w:tcPr>
          <w:p>
            <w:pPr>
              <w:spacing w:before="40" w:after="40"/>
            </w:pPr>
            <w:r>
              <w:rPr>
                <w:rFonts w:ascii="Calibri" w:hAnsi="Calibri"/>
                <w:b/>
                <w:sz w:val="18"/>
              </w:rPr>
              <w:t>Market Sales</w:t>
            </w:r>
          </w:p>
        </w:tc>
        <w:tc>
          <w:tcPr>
            <w:tcW w:type="dxa" w:w="2880"/>
            <w:shd w:fill="E8F0FE"/>
          </w:tcPr>
          <w:p>
            <w:pPr>
              <w:spacing w:before="40" w:after="40"/>
            </w:pPr>
            <w:r>
              <w:rPr>
                <w:rFonts w:ascii="Calibri" w:hAnsi="Calibri"/>
                <w:sz w:val="18"/>
              </w:rPr>
              <w:t>0</w:t>
            </w:r>
          </w:p>
        </w:tc>
        <w:tc>
          <w:tcPr>
            <w:tcW w:type="dxa" w:w="2880"/>
            <w:shd w:fill="E8F0FE"/>
          </w:tcPr>
          <w:p>
            <w:pPr>
              <w:spacing w:before="40" w:after="40"/>
            </w:pPr>
            <w:r>
              <w:rPr>
                <w:rFonts w:ascii="Calibri" w:hAnsi="Calibri"/>
                <w:sz w:val="18"/>
              </w:rPr>
              <w:t>0</w:t>
            </w:r>
          </w:p>
        </w:tc>
      </w:tr>
      <w:tr>
        <w:tc>
          <w:tcPr>
            <w:tcW w:type="dxa" w:w="2880"/>
          </w:tcPr>
          <w:p>
            <w:pPr>
              <w:spacing w:before="40" w:after="40"/>
            </w:pPr>
            <w:r>
              <w:rPr>
                <w:rFonts w:ascii="Calibri" w:hAnsi="Calibri"/>
                <w:b/>
                <w:sz w:val="18"/>
              </w:rPr>
              <w:t>**Net Position**</w:t>
            </w:r>
          </w:p>
        </w:tc>
        <w:tc>
          <w:tcPr>
            <w:tcW w:type="dxa" w:w="2880"/>
          </w:tcPr>
          <w:p>
            <w:pPr>
              <w:spacing w:before="40" w:after="40"/>
            </w:pPr>
            <w:r>
              <w:rPr>
                <w:rFonts w:ascii="Calibri" w:hAnsi="Calibri"/>
                <w:sz w:val="18"/>
              </w:rPr>
              <w:t>**0**</w:t>
            </w:r>
          </w:p>
        </w:tc>
        <w:tc>
          <w:tcPr>
            <w:tcW w:type="dxa" w:w="2880"/>
          </w:tcPr>
          <w:p>
            <w:pPr>
              <w:spacing w:before="40" w:after="40"/>
            </w:pPr>
            <w:r>
              <w:rPr>
                <w:rFonts w:ascii="Calibri" w:hAnsi="Calibri"/>
                <w:sz w:val="18"/>
              </w:rPr>
              <w:t>**0**</w:t>
            </w:r>
          </w:p>
        </w:tc>
      </w:tr>
    </w:tbl>
    <w:p/>
    <w:p>
      <w:pPr>
        <w:spacing w:after="80"/>
      </w:pPr>
      <w:r>
        <w:rPr>
          <w:rFonts w:ascii="Calibri" w:hAnsi="Calibri"/>
          <w:b/>
          <w:color w:val="333333"/>
          <w:sz w:val="20"/>
        </w:rPr>
        <w:t>Insider Confidence:</w:t>
      </w:r>
      <w:r>
        <w:rPr>
          <w:rFonts w:ascii="Calibri" w:hAnsi="Calibri"/>
          <w:color w:val="333333"/>
          <w:sz w:val="20"/>
        </w:rPr>
        <w:t xml:space="preserve"> The absence of any market purchases or sales by insiders in the last three years provides a neutral signal regarding insider confidence. This could imply that insiders are either satisfied with the current valuation or are not actively trading in the open market.</w:t>
      </w:r>
    </w:p>
    <w:p>
      <w:pPr>
        <w:pStyle w:val="Heading1"/>
      </w:pPr>
      <w:r>
        <w:rPr>
          <w:rFonts w:ascii="Calibri" w:hAnsi="Calibri"/>
          <w:color w:val="1F5F8B"/>
          <w:sz w:val="32"/>
        </w:rPr>
        <w:t>5. Company &amp; Business Quality Assessment</w:t>
      </w:r>
    </w:p>
    <w:p>
      <w:pPr>
        <w:spacing w:before="0" w:after="120"/>
      </w:pPr>
    </w:p>
    <w:p>
      <w:pPr>
        <w:pStyle w:val="Heading2"/>
      </w:pPr>
      <w:r>
        <w:rPr>
          <w:rFonts w:ascii="Calibri" w:hAnsi="Calibri"/>
          <w:color w:val="1F5F8B"/>
          <w:sz w:val="26"/>
        </w:rPr>
        <w:t>5.1 Business Model</w:t>
      </w:r>
    </w:p>
    <w:p>
      <w:pPr>
        <w:spacing w:after="80"/>
      </w:pPr>
      <w:r>
        <w:rPr>
          <w:rFonts w:ascii="Calibri" w:hAnsi="Calibri"/>
          <w:color w:val="333333"/>
          <w:sz w:val="20"/>
        </w:rPr>
        <w:t xml:space="preserve">Sanghvi Movers Limited operates a diversified business model centered around providing integrated heavy-lift and infrastructure solutions. Its core business is </w:t>
      </w:r>
      <w:r>
        <w:rPr>
          <w:rFonts w:ascii="Calibri" w:hAnsi="Calibri"/>
          <w:b/>
          <w:color w:val="333333"/>
          <w:sz w:val="20"/>
        </w:rPr>
        <w:t>Crane Rental &amp; Heavy Lift Solutions</w:t>
      </w:r>
      <w:r>
        <w:rPr>
          <w:rFonts w:ascii="Calibri" w:hAnsi="Calibri"/>
          <w:color w:val="333333"/>
          <w:sz w:val="20"/>
        </w:rPr>
        <w:t xml:space="preserve">, where it offers a wide range of cranes for hire, along with specialized engineering and logistical support for complex lifting operations. This segment is characterized by high asset utilization and a strong customer base across various industries. The company's second major vertical is </w:t>
      </w:r>
      <w:r>
        <w:rPr>
          <w:rFonts w:ascii="Calibri" w:hAnsi="Calibri"/>
          <w:b/>
          <w:color w:val="333333"/>
          <w:sz w:val="20"/>
        </w:rPr>
        <w:t>Wind Energy EPC</w:t>
      </w:r>
      <w:r>
        <w:rPr>
          <w:rFonts w:ascii="Calibri" w:hAnsi="Calibri"/>
          <w:color w:val="333333"/>
          <w:sz w:val="20"/>
        </w:rPr>
        <w:t xml:space="preserve">, managed through its subsidiary Sangreen Future Renewables Private Limited. This segment offers turnkey solutions from conceptualization to commissioning for wind and solar projects, including land acquisition, permits, civil works, mechanical and electrical installations, and commissioning. This vertical leverages SML's expertise in heavy lifting and project management. The third vertical is </w:t>
      </w:r>
      <w:r>
        <w:rPr>
          <w:rFonts w:ascii="Calibri" w:hAnsi="Calibri"/>
          <w:b/>
          <w:color w:val="333333"/>
          <w:sz w:val="20"/>
        </w:rPr>
        <w:t>Logistics for Cranes &amp; Other Heavy Machinery</w:t>
      </w:r>
      <w:r>
        <w:rPr>
          <w:rFonts w:ascii="Calibri" w:hAnsi="Calibri"/>
          <w:color w:val="333333"/>
          <w:sz w:val="20"/>
        </w:rPr>
        <w:t>, handled by Sangreen Logistics Private Limited, providing end-to-end logistics solutions for heavy equipment transportation.</w:t>
      </w:r>
    </w:p>
    <w:p>
      <w:pPr>
        <w:spacing w:after="80"/>
      </w:pPr>
      <w:r>
        <w:rPr>
          <w:rFonts w:ascii="Calibri" w:hAnsi="Calibri"/>
          <w:color w:val="333333"/>
          <w:sz w:val="20"/>
        </w:rPr>
        <w:t xml:space="preserve">The company's strategy involves leveraging synergies between these verticals, for instance, using its crane rental expertise to support its EPC projects. The recent expansion into </w:t>
      </w:r>
      <w:r>
        <w:rPr>
          <w:rFonts w:ascii="Calibri" w:hAnsi="Calibri"/>
          <w:b/>
          <w:color w:val="333333"/>
          <w:sz w:val="20"/>
        </w:rPr>
        <w:t>Saudi Arabia</w:t>
      </w:r>
      <w:r>
        <w:rPr>
          <w:rFonts w:ascii="Calibri" w:hAnsi="Calibri"/>
          <w:color w:val="333333"/>
          <w:sz w:val="20"/>
        </w:rPr>
        <w:t xml:space="preserve"> through Sanghvi Movers Middle East Limited represents a significant geographical diversification, targeting the burgeoning infrastructure development in the region. The company's revenue mix shows a strong reliance on the crane rental business, which typically contributes around 65-70% of the total revenue, with the remaining coming from Wind EPC and Project EPC. The company aims to maintain this balance while growing its international operations. Capacity utilization for the crane fleet is targeted in the 75-80% range annually, with yields averaging around 2.0-2.2% per month. The company serves over 10 diverse sectors, with a strong presence in construction and energy.</w:t>
      </w:r>
    </w:p>
    <w:p>
      <w:pPr>
        <w:pStyle w:val="Heading2"/>
      </w:pPr>
      <w:r>
        <w:rPr>
          <w:rFonts w:ascii="Calibri" w:hAnsi="Calibri"/>
          <w:color w:val="1F5F8B"/>
          <w:sz w:val="26"/>
        </w:rPr>
        <w:t>5.2 Competitive Advantages (Moats)</w:t>
      </w:r>
    </w:p>
    <w:p>
      <w:pPr>
        <w:pStyle w:val="ListBullet"/>
        <w:spacing w:after="80"/>
      </w:pPr>
      <w:r>
        <w:rPr>
          <w:rFonts w:ascii="Calibri" w:hAnsi="Calibri"/>
          <w:color w:val="333333"/>
          <w:sz w:val="20"/>
        </w:rPr>
        <w:t xml:space="preserve">  </w:t>
      </w:r>
      <w:r>
        <w:rPr>
          <w:rFonts w:ascii="Calibri" w:hAnsi="Calibri"/>
          <w:b/>
          <w:color w:val="333333"/>
          <w:sz w:val="20"/>
        </w:rPr>
        <w:t>Scale and Fleet Size:</w:t>
      </w:r>
      <w:r>
        <w:rPr>
          <w:rFonts w:ascii="Calibri" w:hAnsi="Calibri"/>
          <w:color w:val="333333"/>
          <w:sz w:val="20"/>
        </w:rPr>
        <w:t xml:space="preserve"> SML is Asia's largest and the world's fifth-largest crane rental company, possessing a diversified fleet of over 485 cranes with capacities up to 1600 MT. This scale provides significant operational leverage and the ability to undertake large, complex projects that smaller players cannot handle.</w:t>
      </w:r>
    </w:p>
    <w:p>
      <w:pPr>
        <w:pStyle w:val="ListBullet"/>
        <w:spacing w:after="80"/>
      </w:pPr>
      <w:r>
        <w:rPr>
          <w:rFonts w:ascii="Calibri" w:hAnsi="Calibri"/>
          <w:color w:val="333333"/>
          <w:sz w:val="20"/>
        </w:rPr>
        <w:t xml:space="preserve">  </w:t>
      </w:r>
      <w:r>
        <w:rPr>
          <w:rFonts w:ascii="Calibri" w:hAnsi="Calibri"/>
          <w:b/>
          <w:color w:val="333333"/>
          <w:sz w:val="20"/>
        </w:rPr>
        <w:t>Pan-India Network:</w:t>
      </w:r>
      <w:r>
        <w:rPr>
          <w:rFonts w:ascii="Calibri" w:hAnsi="Calibri"/>
          <w:color w:val="333333"/>
          <w:sz w:val="20"/>
        </w:rPr>
        <w:t xml:space="preserve"> With 15 depots and regional offices across India, SML ensures rapid mobilization, nationwide reach, and service continuity, minimizing logistical bottlenecks.</w:t>
      </w:r>
    </w:p>
    <w:p>
      <w:pPr>
        <w:pStyle w:val="ListBullet"/>
        <w:spacing w:after="80"/>
      </w:pPr>
      <w:r>
        <w:rPr>
          <w:rFonts w:ascii="Calibri" w:hAnsi="Calibri"/>
          <w:color w:val="333333"/>
          <w:sz w:val="20"/>
        </w:rPr>
        <w:t xml:space="preserve">  </w:t>
      </w:r>
      <w:r>
        <w:rPr>
          <w:rFonts w:ascii="Calibri" w:hAnsi="Calibri"/>
          <w:b/>
          <w:color w:val="333333"/>
          <w:sz w:val="20"/>
        </w:rPr>
        <w:t>Integrated Service Offering:</w:t>
      </w:r>
      <w:r>
        <w:rPr>
          <w:rFonts w:ascii="Calibri" w:hAnsi="Calibri"/>
          <w:color w:val="333333"/>
          <w:sz w:val="20"/>
        </w:rPr>
        <w:t xml:space="preserve"> Beyond crane rentals, SML offers end-to-end EPC solutions in the wind energy sector and comprehensive logistics services. This "single-window" approach reduces interface risks for clients and enhances project execution efficiency.</w:t>
      </w:r>
    </w:p>
    <w:p>
      <w:pPr>
        <w:pStyle w:val="ListBullet"/>
        <w:spacing w:after="80"/>
      </w:pPr>
      <w:r>
        <w:rPr>
          <w:rFonts w:ascii="Calibri" w:hAnsi="Calibri"/>
          <w:color w:val="333333"/>
          <w:sz w:val="20"/>
        </w:rPr>
        <w:t xml:space="preserve">  </w:t>
      </w:r>
      <w:r>
        <w:rPr>
          <w:rFonts w:ascii="Calibri" w:hAnsi="Calibri"/>
          <w:b/>
          <w:color w:val="333333"/>
          <w:sz w:val="20"/>
        </w:rPr>
        <w:t>Technical Expertise &amp; QHSE Standards:</w:t>
      </w:r>
      <w:r>
        <w:rPr>
          <w:rFonts w:ascii="Calibri" w:hAnsi="Calibri"/>
          <w:color w:val="333333"/>
          <w:sz w:val="20"/>
        </w:rPr>
        <w:t xml:space="preserve"> The company possesses deep technical expertise in heavy lifting and adheres to stringent global QHSE (Quality, Health, Safety, and Environment) standards, evidenced by its ISO certifications and a sustained focus on safety, which is a critical differentiator in the industry.</w:t>
      </w:r>
    </w:p>
    <w:p>
      <w:pPr>
        <w:pStyle w:val="ListBullet"/>
        <w:spacing w:after="80"/>
      </w:pPr>
      <w:r>
        <w:rPr>
          <w:rFonts w:ascii="Calibri" w:hAnsi="Calibri"/>
          <w:color w:val="333333"/>
          <w:sz w:val="20"/>
        </w:rPr>
        <w:t xml:space="preserve">  </w:t>
      </w:r>
      <w:r>
        <w:rPr>
          <w:rFonts w:ascii="Calibri" w:hAnsi="Calibri"/>
          <w:b/>
          <w:color w:val="333333"/>
          <w:sz w:val="20"/>
        </w:rPr>
        <w:t>Strong Customer Relationships:</w:t>
      </w:r>
      <w:r>
        <w:rPr>
          <w:rFonts w:ascii="Calibri" w:hAnsi="Calibri"/>
          <w:color w:val="333333"/>
          <w:sz w:val="20"/>
        </w:rPr>
        <w:t xml:space="preserve"> SML has built long-standing relationships with marquee clients across various sectors, including major infrastructure, energy, and industrial players, leading to repeat business and predictable revenue streams.</w:t>
      </w:r>
    </w:p>
    <w:p>
      <w:pPr>
        <w:pStyle w:val="ListBullet"/>
        <w:spacing w:after="80"/>
      </w:pPr>
      <w:r>
        <w:rPr>
          <w:rFonts w:ascii="Calibri" w:hAnsi="Calibri"/>
          <w:color w:val="333333"/>
          <w:sz w:val="20"/>
        </w:rPr>
        <w:t xml:space="preserve">  </w:t>
      </w:r>
      <w:r>
        <w:rPr>
          <w:rFonts w:ascii="Calibri" w:hAnsi="Calibri"/>
          <w:b/>
          <w:color w:val="333333"/>
          <w:sz w:val="20"/>
        </w:rPr>
        <w:t>In-house Logistics:</w:t>
      </w:r>
      <w:r>
        <w:rPr>
          <w:rFonts w:ascii="Calibri" w:hAnsi="Calibri"/>
          <w:color w:val="333333"/>
          <w:sz w:val="20"/>
        </w:rPr>
        <w:t xml:space="preserve"> Owning its trailer and axle lines eliminates third-party dependencies and bottlenecks, ensuring greater control over equipment deployment and logistics.</w:t>
      </w:r>
    </w:p>
    <w:p>
      <w:pPr>
        <w:pStyle w:val="ListBullet"/>
        <w:spacing w:after="80"/>
      </w:pPr>
      <w:r>
        <w:rPr>
          <w:rFonts w:ascii="Calibri" w:hAnsi="Calibri"/>
          <w:color w:val="333333"/>
          <w:sz w:val="20"/>
        </w:rPr>
        <w:t xml:space="preserve">  </w:t>
      </w:r>
      <w:r>
        <w:rPr>
          <w:rFonts w:ascii="Calibri" w:hAnsi="Calibri"/>
          <w:b/>
          <w:color w:val="333333"/>
          <w:sz w:val="20"/>
        </w:rPr>
        <w:t>International Expansion Strategy:</w:t>
      </w:r>
      <w:r>
        <w:rPr>
          <w:rFonts w:ascii="Calibri" w:hAnsi="Calibri"/>
          <w:color w:val="333333"/>
          <w:sz w:val="20"/>
        </w:rPr>
        <w:t xml:space="preserve"> The strategic entry into Saudi Arabia and other GCC markets, coupled with expansion into Africa, diversifies geographical risk and taps into high-growth markets with significant infrastructure development.</w:t>
      </w:r>
    </w:p>
    <w:p>
      <w:pPr>
        <w:pStyle w:val="ListBullet"/>
        <w:spacing w:after="80"/>
      </w:pPr>
      <w:r>
        <w:rPr>
          <w:rFonts w:ascii="Calibri" w:hAnsi="Calibri"/>
          <w:color w:val="333333"/>
          <w:sz w:val="20"/>
        </w:rPr>
        <w:t xml:space="preserve">  </w:t>
      </w:r>
      <w:r>
        <w:rPr>
          <w:rFonts w:ascii="Calibri" w:hAnsi="Calibri"/>
          <w:b/>
          <w:color w:val="333333"/>
          <w:sz w:val="20"/>
        </w:rPr>
        <w:t>Fleet Modernization:</w:t>
      </w:r>
      <w:r>
        <w:rPr>
          <w:rFonts w:ascii="Calibri" w:hAnsi="Calibri"/>
          <w:color w:val="333333"/>
          <w:sz w:val="20"/>
        </w:rPr>
        <w:t xml:space="preserve"> Continuous investment in a modern, technologically advanced fleet ensures compliance with evolving industry standards and enhances operational efficiency and safety.</w:t>
      </w:r>
    </w:p>
    <w:p>
      <w:pPr>
        <w:pStyle w:val="Heading2"/>
      </w:pPr>
      <w:r>
        <w:rPr>
          <w:rFonts w:ascii="Calibri" w:hAnsi="Calibri"/>
          <w:color w:val="1F5F8B"/>
          <w:sz w:val="26"/>
        </w:rPr>
        <w:t>5.3 Risks &amp; Weaknesses</w:t>
      </w:r>
    </w:p>
    <w:p>
      <w:pPr>
        <w:pStyle w:val="ListBullet"/>
        <w:spacing w:after="80"/>
      </w:pPr>
      <w:r>
        <w:rPr>
          <w:rFonts w:ascii="Calibri" w:hAnsi="Calibri"/>
          <w:color w:val="333333"/>
          <w:sz w:val="20"/>
        </w:rPr>
        <w:t xml:space="preserve">  </w:t>
      </w:r>
      <w:r>
        <w:rPr>
          <w:rFonts w:ascii="Calibri" w:hAnsi="Calibri"/>
          <w:b/>
          <w:color w:val="333333"/>
          <w:sz w:val="20"/>
        </w:rPr>
        <w:t>Execution Risk in New Geographies:</w:t>
      </w:r>
      <w:r>
        <w:rPr>
          <w:rFonts w:ascii="Calibri" w:hAnsi="Calibri"/>
          <w:color w:val="333333"/>
          <w:sz w:val="20"/>
        </w:rPr>
        <w:t xml:space="preserve"> Expanding into new international markets like Saudi Arabia and Botswana carries execution risks related to adapting to local regulations, cultural nuances, and operational challenges, which could impact profitability and timelines.</w:t>
      </w:r>
    </w:p>
    <w:p>
      <w:pPr>
        <w:pStyle w:val="ListBullet"/>
        <w:spacing w:after="80"/>
      </w:pPr>
      <w:r>
        <w:rPr>
          <w:rFonts w:ascii="Calibri" w:hAnsi="Calibri"/>
          <w:color w:val="333333"/>
          <w:sz w:val="20"/>
        </w:rPr>
        <w:t xml:space="preserve">  </w:t>
      </w:r>
      <w:r>
        <w:rPr>
          <w:rFonts w:ascii="Calibri" w:hAnsi="Calibri"/>
          <w:b/>
          <w:color w:val="333333"/>
          <w:sz w:val="20"/>
        </w:rPr>
        <w:t>Customer/Revenue Concentration:</w:t>
      </w:r>
      <w:r>
        <w:rPr>
          <w:rFonts w:ascii="Calibri" w:hAnsi="Calibri"/>
          <w:color w:val="333333"/>
          <w:sz w:val="20"/>
        </w:rPr>
        <w:t xml:space="preserve"> While diversified across sectors, a significant portion of revenue is derived from large infrastructure and renewable energy projects, making the company susceptible to project delays or cancellations.</w:t>
      </w:r>
    </w:p>
    <w:p>
      <w:pPr>
        <w:pStyle w:val="ListBullet"/>
        <w:spacing w:after="80"/>
      </w:pPr>
      <w:r>
        <w:rPr>
          <w:rFonts w:ascii="Calibri" w:hAnsi="Calibri"/>
          <w:color w:val="333333"/>
          <w:sz w:val="20"/>
        </w:rPr>
        <w:t xml:space="preserve">  </w:t>
      </w:r>
      <w:r>
        <w:rPr>
          <w:rFonts w:ascii="Calibri" w:hAnsi="Calibri"/>
          <w:b/>
          <w:color w:val="333333"/>
          <w:sz w:val="20"/>
        </w:rPr>
        <w:t>Margin Pressure from Competition:</w:t>
      </w:r>
      <w:r>
        <w:rPr>
          <w:rFonts w:ascii="Calibri" w:hAnsi="Calibri"/>
          <w:color w:val="333333"/>
          <w:sz w:val="20"/>
        </w:rPr>
        <w:t xml:space="preserve"> The crane rental industry is competitive, and while SML has scale advantages, intense competition can lead to pricing pressures, impacting EBITDA margins, particularly in the crane rental segment.</w:t>
      </w:r>
    </w:p>
    <w:p>
      <w:pPr>
        <w:pStyle w:val="ListBullet"/>
        <w:spacing w:after="80"/>
      </w:pPr>
      <w:r>
        <w:rPr>
          <w:rFonts w:ascii="Calibri" w:hAnsi="Calibri"/>
          <w:color w:val="333333"/>
          <w:sz w:val="20"/>
        </w:rPr>
        <w:t xml:space="preserve">  </w:t>
      </w:r>
      <w:r>
        <w:rPr>
          <w:rFonts w:ascii="Calibri" w:hAnsi="Calibri"/>
          <w:b/>
          <w:color w:val="333333"/>
          <w:sz w:val="20"/>
        </w:rPr>
        <w:t>Working Capital Intensity:</w:t>
      </w:r>
      <w:r>
        <w:rPr>
          <w:rFonts w:ascii="Calibri" w:hAnsi="Calibri"/>
          <w:color w:val="333333"/>
          <w:sz w:val="20"/>
        </w:rPr>
        <w:t xml:space="preserve"> The business model is inherently working capital intensive due to the high value of assets and the nature of project-based revenue recognition, which can lead to fluctuations in working capital metrics.</w:t>
      </w:r>
    </w:p>
    <w:p>
      <w:pPr>
        <w:pStyle w:val="ListBullet"/>
        <w:spacing w:after="80"/>
      </w:pPr>
      <w:r>
        <w:rPr>
          <w:rFonts w:ascii="Calibri" w:hAnsi="Calibri"/>
          <w:color w:val="333333"/>
          <w:sz w:val="20"/>
        </w:rPr>
        <w:t xml:space="preserve">  </w:t>
      </w:r>
      <w:r>
        <w:rPr>
          <w:rFonts w:ascii="Calibri" w:hAnsi="Calibri"/>
          <w:b/>
          <w:color w:val="333333"/>
          <w:sz w:val="20"/>
        </w:rPr>
        <w:t>Governance Concerns:</w:t>
      </w:r>
      <w:r>
        <w:rPr>
          <w:rFonts w:ascii="Calibri" w:hAnsi="Calibri"/>
          <w:color w:val="333333"/>
          <w:sz w:val="20"/>
        </w:rPr>
        <w:t xml:space="preserve"> While improving, some historical compliance lapses related to minute recording and website disclosures suggest a need for continued vigilance in governance practices.</w:t>
      </w:r>
    </w:p>
    <w:p>
      <w:pPr>
        <w:pStyle w:val="ListBullet"/>
        <w:spacing w:after="80"/>
      </w:pPr>
      <w:r>
        <w:rPr>
          <w:rFonts w:ascii="Calibri" w:hAnsi="Calibri"/>
          <w:color w:val="333333"/>
          <w:sz w:val="20"/>
        </w:rPr>
        <w:t xml:space="preserve">  </w:t>
      </w:r>
      <w:r>
        <w:rPr>
          <w:rFonts w:ascii="Calibri" w:hAnsi="Calibri"/>
          <w:b/>
          <w:color w:val="333333"/>
          <w:sz w:val="20"/>
        </w:rPr>
        <w:t>Legacy Issues:</w:t>
      </w:r>
      <w:r>
        <w:rPr>
          <w:rFonts w:ascii="Calibri" w:hAnsi="Calibri"/>
          <w:color w:val="333333"/>
          <w:sz w:val="20"/>
        </w:rPr>
        <w:t xml:space="preserve"> The company has navigated periods of high debt and industry downturns in the past, and while significantly improved, managing leverage and asset utilization remains crucial.</w:t>
      </w:r>
    </w:p>
    <w:p>
      <w:pPr>
        <w:pStyle w:val="ListBullet"/>
        <w:spacing w:after="80"/>
      </w:pPr>
      <w:r>
        <w:rPr>
          <w:rFonts w:ascii="Calibri" w:hAnsi="Calibri"/>
          <w:color w:val="333333"/>
          <w:sz w:val="20"/>
        </w:rPr>
        <w:t xml:space="preserve">  </w:t>
      </w:r>
      <w:r>
        <w:rPr>
          <w:rFonts w:ascii="Calibri" w:hAnsi="Calibri"/>
          <w:b/>
          <w:color w:val="333333"/>
          <w:sz w:val="20"/>
        </w:rPr>
        <w:t>Currency and Commodity Risks:</w:t>
      </w:r>
      <w:r>
        <w:rPr>
          <w:rFonts w:ascii="Calibri" w:hAnsi="Calibri"/>
          <w:color w:val="333333"/>
          <w:sz w:val="20"/>
        </w:rPr>
        <w:t xml:space="preserve"> While not directly exposed to commodity price volatility, fluctuations in foreign exchange rates can impact the cost of imported equipment and overseas operations.</w:t>
      </w:r>
    </w:p>
    <w:p>
      <w:pPr>
        <w:pStyle w:val="ListBullet"/>
        <w:spacing w:after="80"/>
      </w:pPr>
      <w:r>
        <w:rPr>
          <w:rFonts w:ascii="Calibri" w:hAnsi="Calibri"/>
          <w:color w:val="333333"/>
          <w:sz w:val="20"/>
        </w:rPr>
        <w:t xml:space="preserve">  </w:t>
      </w:r>
      <w:r>
        <w:rPr>
          <w:rFonts w:ascii="Calibri" w:hAnsi="Calibri"/>
          <w:b/>
          <w:color w:val="333333"/>
          <w:sz w:val="20"/>
        </w:rPr>
        <w:t>Dependence on Government Spending:</w:t>
      </w:r>
      <w:r>
        <w:rPr>
          <w:rFonts w:ascii="Calibri" w:hAnsi="Calibri"/>
          <w:color w:val="333333"/>
          <w:sz w:val="20"/>
        </w:rPr>
        <w:t xml:space="preserve"> A significant portion of demand is linked to government infrastructure spending, making the company sensitive to changes in government policies and budget allocations.</w:t>
      </w:r>
    </w:p>
    <w:p>
      <w:pPr>
        <w:pStyle w:val="Heading1"/>
      </w:pPr>
      <w:r>
        <w:rPr>
          <w:rFonts w:ascii="Calibri" w:hAnsi="Calibri"/>
          <w:color w:val="1F5F8B"/>
          <w:sz w:val="32"/>
        </w:rPr>
        <w:t>6. Growth Outlook &amp; Strategy</w:t>
      </w:r>
    </w:p>
    <w:p>
      <w:pPr>
        <w:spacing w:before="0" w:after="120"/>
      </w:pPr>
    </w:p>
    <w:p>
      <w:pPr>
        <w:pStyle w:val="Heading2"/>
      </w:pPr>
      <w:r>
        <w:rPr>
          <w:rFonts w:ascii="Calibri" w:hAnsi="Calibri"/>
          <w:color w:val="1F5F8B"/>
          <w:sz w:val="26"/>
        </w:rPr>
        <w:t>6.1 Management's Revenue Roadmap</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1F5F8B"/>
          </w:tcPr>
          <w:p>
            <w:pPr>
              <w:spacing w:before="40" w:after="40"/>
            </w:pPr>
            <w:r>
              <w:rPr>
                <w:rFonts w:ascii="Calibri" w:hAnsi="Calibri"/>
                <w:b/>
                <w:color w:val="FFFFFF"/>
                <w:sz w:val="18"/>
              </w:rPr>
              <w:t>Growth Driver</w:t>
            </w:r>
          </w:p>
        </w:tc>
        <w:tc>
          <w:tcPr>
            <w:tcW w:type="dxa" w:w="2160"/>
            <w:shd w:fill="1F5F8B"/>
          </w:tcPr>
          <w:p>
            <w:pPr>
              <w:spacing w:before="40" w:after="40"/>
            </w:pPr>
            <w:r>
              <w:rPr>
                <w:rFonts w:ascii="Calibri" w:hAnsi="Calibri"/>
                <w:b/>
                <w:color w:val="FFFFFF"/>
                <w:sz w:val="18"/>
              </w:rPr>
              <w:t>Current (FY25/26)</w:t>
            </w:r>
          </w:p>
        </w:tc>
        <w:tc>
          <w:tcPr>
            <w:tcW w:type="dxa" w:w="2160"/>
            <w:shd w:fill="1F5F8B"/>
          </w:tcPr>
          <w:p>
            <w:pPr>
              <w:spacing w:before="40" w:after="40"/>
            </w:pPr>
            <w:r>
              <w:rPr>
                <w:rFonts w:ascii="Calibri" w:hAnsi="Calibri"/>
                <w:b/>
                <w:color w:val="FFFFFF"/>
                <w:sz w:val="18"/>
              </w:rPr>
              <w:t>Target (FY28-29E)</w:t>
            </w:r>
          </w:p>
        </w:tc>
        <w:tc>
          <w:tcPr>
            <w:tcW w:type="dxa" w:w="2160"/>
            <w:shd w:fill="1F5F8B"/>
          </w:tcPr>
          <w:p>
            <w:pPr>
              <w:spacing w:before="40" w:after="40"/>
            </w:pPr>
            <w:r>
              <w:rPr>
                <w:rFonts w:ascii="Calibri" w:hAnsi="Calibri"/>
                <w:b/>
                <w:color w:val="FFFFFF"/>
                <w:sz w:val="18"/>
              </w:rPr>
              <w:t>CAGR</w:t>
            </w:r>
          </w:p>
        </w:tc>
      </w:tr>
      <w:tr>
        <w:tc>
          <w:tcPr>
            <w:tcW w:type="dxa" w:w="2160"/>
          </w:tcPr>
          <w:p>
            <w:pPr>
              <w:spacing w:before="40" w:after="40"/>
            </w:pPr>
            <w:r>
              <w:rPr>
                <w:rFonts w:ascii="Calibri" w:hAnsi="Calibri"/>
                <w:b/>
                <w:sz w:val="18"/>
              </w:rPr>
              <w:t>Crane Rental (India)</w:t>
            </w:r>
          </w:p>
        </w:tc>
        <w:tc>
          <w:tcPr>
            <w:tcW w:type="dxa" w:w="2160"/>
          </w:tcPr>
          <w:p>
            <w:pPr>
              <w:spacing w:before="40" w:after="40"/>
            </w:pPr>
            <w:r>
              <w:rPr>
                <w:rFonts w:ascii="Calibri" w:hAnsi="Calibri"/>
                <w:sz w:val="18"/>
              </w:rPr>
              <w:t>₹515 Cr (FY25)</w:t>
            </w:r>
          </w:p>
        </w:tc>
        <w:tc>
          <w:tcPr>
            <w:tcW w:type="dxa" w:w="2160"/>
          </w:tcPr>
          <w:p>
            <w:pPr>
              <w:spacing w:before="40" w:after="40"/>
            </w:pPr>
            <w:r>
              <w:rPr>
                <w:rFonts w:ascii="Calibri" w:hAnsi="Calibri"/>
                <w:sz w:val="18"/>
              </w:rPr>
              <w:t>₹700-800 Cr</w:t>
            </w:r>
          </w:p>
        </w:tc>
        <w:tc>
          <w:tcPr>
            <w:tcW w:type="dxa" w:w="2160"/>
          </w:tcPr>
          <w:p>
            <w:pPr>
              <w:spacing w:before="40" w:after="40"/>
            </w:pPr>
            <w:r>
              <w:rPr>
                <w:rFonts w:ascii="Calibri" w:hAnsi="Calibri"/>
                <w:sz w:val="18"/>
              </w:rPr>
              <w:t>~10-15%</w:t>
            </w:r>
          </w:p>
        </w:tc>
      </w:tr>
      <w:tr>
        <w:tc>
          <w:tcPr>
            <w:tcW w:type="dxa" w:w="2160"/>
            <w:shd w:fill="E8F0FE"/>
          </w:tcPr>
          <w:p>
            <w:pPr>
              <w:spacing w:before="40" w:after="40"/>
            </w:pPr>
            <w:r>
              <w:rPr>
                <w:rFonts w:ascii="Calibri" w:hAnsi="Calibri"/>
                <w:b/>
                <w:sz w:val="18"/>
              </w:rPr>
              <w:t>Crane Rental (KSA)</w:t>
            </w:r>
          </w:p>
        </w:tc>
        <w:tc>
          <w:tcPr>
            <w:tcW w:type="dxa" w:w="2160"/>
            <w:shd w:fill="E8F0FE"/>
          </w:tcPr>
          <w:p>
            <w:pPr>
              <w:spacing w:before="40" w:after="40"/>
            </w:pPr>
            <w:r>
              <w:rPr>
                <w:rFonts w:ascii="Calibri" w:hAnsi="Calibri"/>
                <w:sz w:val="18"/>
              </w:rPr>
              <w:t>₹9.10 Cr (9M FY26)</w:t>
            </w:r>
          </w:p>
        </w:tc>
        <w:tc>
          <w:tcPr>
            <w:tcW w:type="dxa" w:w="2160"/>
            <w:shd w:fill="E8F0FE"/>
          </w:tcPr>
          <w:p>
            <w:pPr>
              <w:spacing w:before="40" w:after="40"/>
            </w:pPr>
            <w:r>
              <w:rPr>
                <w:rFonts w:ascii="Calibri" w:hAnsi="Calibri"/>
                <w:sz w:val="18"/>
              </w:rPr>
              <w:t>₹300-400 Cr</w:t>
            </w:r>
          </w:p>
        </w:tc>
        <w:tc>
          <w:tcPr>
            <w:tcW w:type="dxa" w:w="2160"/>
            <w:shd w:fill="E8F0FE"/>
          </w:tcPr>
          <w:p>
            <w:pPr>
              <w:spacing w:before="40" w:after="40"/>
            </w:pPr>
            <w:r>
              <w:rPr>
                <w:rFonts w:ascii="Calibri" w:hAnsi="Calibri"/>
                <w:sz w:val="18"/>
              </w:rPr>
              <w:t>~100%+</w:t>
            </w:r>
          </w:p>
        </w:tc>
      </w:tr>
      <w:tr>
        <w:tc>
          <w:tcPr>
            <w:tcW w:type="dxa" w:w="2160"/>
          </w:tcPr>
          <w:p>
            <w:pPr>
              <w:spacing w:before="40" w:after="40"/>
            </w:pPr>
            <w:r>
              <w:rPr>
                <w:rFonts w:ascii="Calibri" w:hAnsi="Calibri"/>
                <w:b/>
                <w:sz w:val="18"/>
              </w:rPr>
              <w:t>Wind EPC (SFRL)</w:t>
            </w:r>
          </w:p>
        </w:tc>
        <w:tc>
          <w:tcPr>
            <w:tcW w:type="dxa" w:w="2160"/>
          </w:tcPr>
          <w:p>
            <w:pPr>
              <w:spacing w:before="40" w:after="40"/>
            </w:pPr>
            <w:r>
              <w:rPr>
                <w:rFonts w:ascii="Calibri" w:hAnsi="Calibri"/>
                <w:sz w:val="18"/>
              </w:rPr>
              <w:t>₹228.94 Cr (FY25)</w:t>
            </w:r>
          </w:p>
        </w:tc>
        <w:tc>
          <w:tcPr>
            <w:tcW w:type="dxa" w:w="2160"/>
          </w:tcPr>
          <w:p>
            <w:pPr>
              <w:spacing w:before="40" w:after="40"/>
            </w:pPr>
            <w:r>
              <w:rPr>
                <w:rFonts w:ascii="Calibri" w:hAnsi="Calibri"/>
                <w:sz w:val="18"/>
              </w:rPr>
              <w:t>₹500-600 Cr</w:t>
            </w:r>
          </w:p>
        </w:tc>
        <w:tc>
          <w:tcPr>
            <w:tcW w:type="dxa" w:w="2160"/>
          </w:tcPr>
          <w:p>
            <w:pPr>
              <w:spacing w:before="40" w:after="40"/>
            </w:pPr>
            <w:r>
              <w:rPr>
                <w:rFonts w:ascii="Calibri" w:hAnsi="Calibri"/>
                <w:sz w:val="18"/>
              </w:rPr>
              <w:t>~25-30%</w:t>
            </w:r>
          </w:p>
        </w:tc>
      </w:tr>
      <w:tr>
        <w:tc>
          <w:tcPr>
            <w:tcW w:type="dxa" w:w="2160"/>
            <w:shd w:fill="E8F0FE"/>
          </w:tcPr>
          <w:p>
            <w:pPr>
              <w:spacing w:before="40" w:after="40"/>
            </w:pPr>
            <w:r>
              <w:rPr>
                <w:rFonts w:ascii="Calibri" w:hAnsi="Calibri"/>
                <w:b/>
                <w:sz w:val="18"/>
              </w:rPr>
              <w:t>Project EPC</w:t>
            </w:r>
          </w:p>
        </w:tc>
        <w:tc>
          <w:tcPr>
            <w:tcW w:type="dxa" w:w="2160"/>
            <w:shd w:fill="E8F0FE"/>
          </w:tcPr>
          <w:p>
            <w:pPr>
              <w:spacing w:before="40" w:after="40"/>
            </w:pPr>
            <w:r>
              <w:rPr>
                <w:rFonts w:ascii="Calibri" w:hAnsi="Calibri"/>
                <w:sz w:val="18"/>
              </w:rPr>
              <w:t>₹37.79 Cr (FY25)</w:t>
            </w:r>
          </w:p>
        </w:tc>
        <w:tc>
          <w:tcPr>
            <w:tcW w:type="dxa" w:w="2160"/>
            <w:shd w:fill="E8F0FE"/>
          </w:tcPr>
          <w:p>
            <w:pPr>
              <w:spacing w:before="40" w:after="40"/>
            </w:pPr>
            <w:r>
              <w:rPr>
                <w:rFonts w:ascii="Calibri" w:hAnsi="Calibri"/>
                <w:sz w:val="18"/>
              </w:rPr>
              <w:t>₹100-150 Cr</w:t>
            </w:r>
          </w:p>
        </w:tc>
        <w:tc>
          <w:tcPr>
            <w:tcW w:type="dxa" w:w="2160"/>
            <w:shd w:fill="E8F0FE"/>
          </w:tcPr>
          <w:p>
            <w:pPr>
              <w:spacing w:before="40" w:after="40"/>
            </w:pPr>
            <w:r>
              <w:rPr>
                <w:rFonts w:ascii="Calibri" w:hAnsi="Calibri"/>
                <w:sz w:val="18"/>
              </w:rPr>
              <w:t>~25-30%</w:t>
            </w:r>
          </w:p>
        </w:tc>
      </w:tr>
      <w:tr>
        <w:tc>
          <w:tcPr>
            <w:tcW w:type="dxa" w:w="2160"/>
          </w:tcPr>
          <w:p>
            <w:pPr>
              <w:spacing w:before="40" w:after="40"/>
            </w:pPr>
            <w:r>
              <w:rPr>
                <w:rFonts w:ascii="Calibri" w:hAnsi="Calibri"/>
                <w:b/>
                <w:sz w:val="18"/>
              </w:rPr>
              <w:t>**Total Revenue**</w:t>
            </w:r>
          </w:p>
        </w:tc>
        <w:tc>
          <w:tcPr>
            <w:tcW w:type="dxa" w:w="2160"/>
          </w:tcPr>
          <w:p>
            <w:pPr>
              <w:spacing w:before="40" w:after="40"/>
            </w:pPr>
            <w:r>
              <w:rPr>
                <w:rFonts w:ascii="Calibri" w:hAnsi="Calibri"/>
                <w:sz w:val="18"/>
              </w:rPr>
              <w:t>**₹823 Cr (FY25)**</w:t>
            </w:r>
          </w:p>
        </w:tc>
        <w:tc>
          <w:tcPr>
            <w:tcW w:type="dxa" w:w="2160"/>
          </w:tcPr>
          <w:p>
            <w:pPr>
              <w:spacing w:before="40" w:after="40"/>
            </w:pPr>
            <w:r>
              <w:rPr>
                <w:rFonts w:ascii="Calibri" w:hAnsi="Calibri"/>
                <w:sz w:val="18"/>
              </w:rPr>
              <w:t>**₹1,800 Cr (FY28)**</w:t>
            </w:r>
          </w:p>
        </w:tc>
        <w:tc>
          <w:tcPr>
            <w:tcW w:type="dxa" w:w="2160"/>
          </w:tcPr>
          <w:p>
            <w:pPr>
              <w:spacing w:before="40" w:after="40"/>
            </w:pPr>
            <w:r>
              <w:rPr>
                <w:rFonts w:ascii="Calibri" w:hAnsi="Calibri"/>
                <w:sz w:val="18"/>
              </w:rPr>
              <w:t>**~25-30%**</w:t>
            </w:r>
          </w:p>
        </w:tc>
      </w:tr>
    </w:tbl>
    <w:p/>
    <w:p>
      <w:pPr>
        <w:pStyle w:val="Heading2"/>
      </w:pPr>
      <w:r>
        <w:rPr>
          <w:rFonts w:ascii="Calibri" w:hAnsi="Calibri"/>
          <w:color w:val="1F5F8B"/>
          <w:sz w:val="26"/>
        </w:rPr>
        <w:t>6.2 Crane Rental Business (India)</w:t>
      </w:r>
    </w:p>
    <w:p>
      <w:pPr>
        <w:spacing w:after="80"/>
      </w:pPr>
      <w:r>
        <w:rPr>
          <w:rFonts w:ascii="Calibri" w:hAnsi="Calibri"/>
          <w:color w:val="333333"/>
          <w:sz w:val="20"/>
        </w:rPr>
        <w:t>The strategy for the Indian crane rental business focuses on re-accelerating growth through capital-efficient scale-up. SML aims to retain its leadership position by focusing on customer obsession, offering value-added products and services, and maintaining healthy EBITDA margins. This involves continued investment in high-capacity cranes to cater to large-lift demands from infrastructure and renewable projects, alongside optimizing fleet utilization and yield through its pan-India network. The company expects double-digit growth driven by ongoing infrastructure development and the renewable energy sector.</w:t>
      </w:r>
    </w:p>
    <w:p>
      <w:pPr>
        <w:pStyle w:val="Heading2"/>
      </w:pPr>
      <w:r>
        <w:rPr>
          <w:rFonts w:ascii="Calibri" w:hAnsi="Calibri"/>
          <w:color w:val="1F5F8B"/>
          <w:sz w:val="26"/>
        </w:rPr>
        <w:t>6.3 International Expansion (GCC &amp; Africa)</w:t>
      </w:r>
    </w:p>
    <w:p>
      <w:pPr>
        <w:spacing w:after="80"/>
      </w:pPr>
      <w:r>
        <w:rPr>
          <w:rFonts w:ascii="Calibri" w:hAnsi="Calibri"/>
          <w:color w:val="333333"/>
          <w:sz w:val="20"/>
        </w:rPr>
        <w:t>SML's international strategy is centered on leveraging Saudi Arabia as a launchpad for global aspirations. The vision is to build a scalable, high-margin crane rental platform in KSA, with a clear pathway to GCC leadership. The company aims to capitalize on the significant infrastructure development driven by Saudi Vision 2030, targeting a top-five market position in the region within five years. The recent award of a USD 4.3 million order in Botswana signifies the initial steps towards expanding into other African markets, following customer relationships. This expansion is expected to contribute meaningfully to revenue and profitability as scale builds through FY26 and FY27.</w:t>
      </w:r>
    </w:p>
    <w:p>
      <w:pPr>
        <w:pStyle w:val="Heading2"/>
      </w:pPr>
      <w:r>
        <w:rPr>
          <w:rFonts w:ascii="Calibri" w:hAnsi="Calibri"/>
          <w:color w:val="1F5F8B"/>
          <w:sz w:val="26"/>
        </w:rPr>
        <w:t>6.4 Renewable Energy EPC (Wind)</w:t>
      </w:r>
    </w:p>
    <w:p>
      <w:pPr>
        <w:spacing w:after="80"/>
      </w:pPr>
      <w:r>
        <w:rPr>
          <w:rFonts w:ascii="Calibri" w:hAnsi="Calibri"/>
          <w:color w:val="333333"/>
          <w:sz w:val="20"/>
        </w:rPr>
        <w:t>The strategy for the renewable energy EPC business, operated by Sangreen Future Renewables Private Limited, is to aspire to be a complete renewable platform. The focus is on achieving leadership in the wind EPC segment while pivoting to higher-order value plays in wind, hybrid, and other renewable energy sectors. This involves offering concept-to-commissioning services, scaling the operating model, and upskilling project management capabilities. The company has secured significant orders worth ₹428.72 Crores, which will commence from Q3 FY25-26 and are to be completed by Q1 FY27-28, providing strong revenue visibility for this segment.</w:t>
      </w:r>
    </w:p>
    <w:p>
      <w:pPr>
        <w:pStyle w:val="Heading2"/>
      </w:pPr>
      <w:r>
        <w:rPr>
          <w:rFonts w:ascii="Calibri" w:hAnsi="Calibri"/>
          <w:color w:val="1F5F8B"/>
          <w:sz w:val="26"/>
        </w:rPr>
        <w:t>6.5 Logistics Services</w:t>
      </w:r>
    </w:p>
    <w:p>
      <w:pPr>
        <w:spacing w:after="80"/>
      </w:pPr>
      <w:r>
        <w:rPr>
          <w:rFonts w:ascii="Calibri" w:hAnsi="Calibri"/>
          <w:color w:val="333333"/>
          <w:sz w:val="20"/>
        </w:rPr>
        <w:t>Sangreen Logistics Private Limited aims to provide end-to-end logistics solutions for wind energy assets and other heavy machinery across India. Building on SML's legacy of specialized heavy equipment transportation, the company leverages its robust capabilities in moving complex, oversized, and high-value equipment. This vertical complements the crane rental and EPC businesses by ensuring efficient and reliable movement of critical components, thereby enhancing the overall value proposition to clients.</w:t>
      </w:r>
    </w:p>
    <w:p>
      <w:pPr>
        <w:pStyle w:val="Heading1"/>
      </w:pPr>
      <w:r>
        <w:rPr>
          <w:rFonts w:ascii="Calibri" w:hAnsi="Calibri"/>
          <w:color w:val="1F5F8B"/>
          <w:sz w:val="32"/>
        </w:rPr>
        <w:t>7. Future Revenue &amp; EBITDA Estimates</w:t>
      </w:r>
    </w:p>
    <w:p>
      <w:pPr>
        <w:spacing w:before="0" w:after="120"/>
      </w:pPr>
    </w:p>
    <w:p>
      <w:pPr>
        <w:pStyle w:val="Heading2"/>
      </w:pPr>
      <w:r>
        <w:rPr>
          <w:rFonts w:ascii="Calibri" w:hAnsi="Calibri"/>
          <w:color w:val="1F5F8B"/>
          <w:sz w:val="26"/>
        </w:rPr>
        <w:t>7.1 Key Assumptions Behind Estimates</w:t>
      </w:r>
    </w:p>
    <w:p>
      <w:pPr>
        <w:pStyle w:val="ListBullet"/>
        <w:spacing w:after="80"/>
      </w:pPr>
      <w:r>
        <w:rPr>
          <w:rFonts w:ascii="Calibri" w:hAnsi="Calibri"/>
          <w:color w:val="333333"/>
          <w:sz w:val="20"/>
        </w:rPr>
        <w:t xml:space="preserve">  </w:t>
      </w:r>
      <w:r>
        <w:rPr>
          <w:rFonts w:ascii="Calibri" w:hAnsi="Calibri"/>
          <w:b/>
          <w:color w:val="333333"/>
          <w:sz w:val="20"/>
        </w:rPr>
        <w:t>Revenue Growth:</w:t>
      </w:r>
      <w:r>
        <w:rPr>
          <w:rFonts w:ascii="Calibri" w:hAnsi="Calibri"/>
          <w:color w:val="333333"/>
          <w:sz w:val="20"/>
        </w:rPr>
        <w:t xml:space="preserve"> Assumes continued strong execution of the existing order book, significant new order inflows driven by Indian infrastructure spending and renewable energy growth, and ramp-up of Saudi Arabian operations. A gradual increase in capacity utilization and yield is factored in.</w:t>
      </w:r>
    </w:p>
    <w:p>
      <w:pPr>
        <w:pStyle w:val="ListBullet"/>
        <w:spacing w:after="80"/>
      </w:pPr>
      <w:r>
        <w:rPr>
          <w:rFonts w:ascii="Calibri" w:hAnsi="Calibri"/>
          <w:color w:val="333333"/>
          <w:sz w:val="20"/>
        </w:rPr>
        <w:t xml:space="preserve">  </w:t>
      </w:r>
      <w:r>
        <w:rPr>
          <w:rFonts w:ascii="Calibri" w:hAnsi="Calibri"/>
          <w:b/>
          <w:color w:val="333333"/>
          <w:sz w:val="20"/>
        </w:rPr>
        <w:t>Gross Margin:</w:t>
      </w:r>
      <w:r>
        <w:rPr>
          <w:rFonts w:ascii="Calibri" w:hAnsi="Calibri"/>
          <w:color w:val="333333"/>
          <w:sz w:val="20"/>
        </w:rPr>
        <w:t xml:space="preserve"> Assumes stable gross margins for crane rentals (around 50-55%) and a slight improvement in Wind EPC margins (towards 10-12%) as the business scales and operational efficiencies are realized.</w:t>
      </w:r>
    </w:p>
    <w:p>
      <w:pPr>
        <w:pStyle w:val="ListBullet"/>
        <w:spacing w:after="80"/>
      </w:pPr>
      <w:r>
        <w:rPr>
          <w:rFonts w:ascii="Calibri" w:hAnsi="Calibri"/>
          <w:color w:val="333333"/>
          <w:sz w:val="20"/>
        </w:rPr>
        <w:t xml:space="preserve">  </w:t>
      </w:r>
      <w:r>
        <w:rPr>
          <w:rFonts w:ascii="Calibri" w:hAnsi="Calibri"/>
          <w:b/>
          <w:color w:val="333333"/>
          <w:sz w:val="20"/>
        </w:rPr>
        <w:t>EBITDA Margin:</w:t>
      </w:r>
      <w:r>
        <w:rPr>
          <w:rFonts w:ascii="Calibri" w:hAnsi="Calibri"/>
          <w:color w:val="333333"/>
          <w:sz w:val="20"/>
        </w:rPr>
        <w:t xml:space="preserve"> Assumes blended EBITDA margins improving from the current levels as operating leverage benefits from increased utilization and scale, particularly in the Saudi operations. Crane rental EBITDA margins are expected to remain strong, while EPC margins will be lower but contribute to overall profitability.</w:t>
      </w:r>
    </w:p>
    <w:p>
      <w:pPr>
        <w:pStyle w:val="ListBullet"/>
        <w:spacing w:after="80"/>
      </w:pPr>
      <w:r>
        <w:rPr>
          <w:rFonts w:ascii="Calibri" w:hAnsi="Calibri"/>
          <w:color w:val="333333"/>
          <w:sz w:val="20"/>
        </w:rPr>
        <w:t xml:space="preserve">  </w:t>
      </w:r>
      <w:r>
        <w:rPr>
          <w:rFonts w:ascii="Calibri" w:hAnsi="Calibri"/>
          <w:b/>
          <w:color w:val="333333"/>
          <w:sz w:val="20"/>
        </w:rPr>
        <w:t>Depreciation:</w:t>
      </w:r>
      <w:r>
        <w:rPr>
          <w:rFonts w:ascii="Calibri" w:hAnsi="Calibri"/>
          <w:color w:val="333333"/>
          <w:sz w:val="20"/>
        </w:rPr>
        <w:t xml:space="preserve"> Assumes depreciation will increase in line with the ongoing capital expenditure for fleet expansion, reflecting the addition of new assets.</w:t>
      </w:r>
    </w:p>
    <w:p>
      <w:pPr>
        <w:pStyle w:val="ListBullet"/>
        <w:spacing w:after="80"/>
      </w:pPr>
      <w:r>
        <w:rPr>
          <w:rFonts w:ascii="Calibri" w:hAnsi="Calibri"/>
          <w:color w:val="333333"/>
          <w:sz w:val="20"/>
        </w:rPr>
        <w:t xml:space="preserve">  </w:t>
      </w:r>
      <w:r>
        <w:rPr>
          <w:rFonts w:ascii="Calibri" w:hAnsi="Calibri"/>
          <w:b/>
          <w:color w:val="333333"/>
          <w:sz w:val="20"/>
        </w:rPr>
        <w:t>Finance Cost:</w:t>
      </w:r>
      <w:r>
        <w:rPr>
          <w:rFonts w:ascii="Calibri" w:hAnsi="Calibri"/>
          <w:color w:val="333333"/>
          <w:sz w:val="20"/>
        </w:rPr>
        <w:t xml:space="preserve"> Assumes finance costs will increase due to higher borrowings to fund capex, but the average borrowing cost is expected to remain manageable.</w:t>
      </w:r>
    </w:p>
    <w:p>
      <w:pPr>
        <w:pStyle w:val="ListBullet"/>
        <w:spacing w:after="80"/>
      </w:pPr>
      <w:r>
        <w:rPr>
          <w:rFonts w:ascii="Calibri" w:hAnsi="Calibri"/>
          <w:color w:val="333333"/>
          <w:sz w:val="20"/>
        </w:rPr>
        <w:t xml:space="preserve">  </w:t>
      </w:r>
      <w:r>
        <w:rPr>
          <w:rFonts w:ascii="Calibri" w:hAnsi="Calibri"/>
          <w:b/>
          <w:color w:val="333333"/>
          <w:sz w:val="20"/>
        </w:rPr>
        <w:t>Tax Rate:</w:t>
      </w:r>
      <w:r>
        <w:rPr>
          <w:rFonts w:ascii="Calibri" w:hAnsi="Calibri"/>
          <w:color w:val="333333"/>
          <w:sz w:val="20"/>
        </w:rPr>
        <w:t xml:space="preserve"> Assumes a normalized effective tax rate of approximately 25-28%.</w:t>
      </w:r>
    </w:p>
    <w:p>
      <w:pPr>
        <w:pStyle w:val="ListBullet"/>
        <w:spacing w:after="80"/>
      </w:pPr>
      <w:r>
        <w:rPr>
          <w:rFonts w:ascii="Calibri" w:hAnsi="Calibri"/>
          <w:color w:val="333333"/>
          <w:sz w:val="20"/>
        </w:rPr>
        <w:t xml:space="preserve">  </w:t>
      </w:r>
      <w:r>
        <w:rPr>
          <w:rFonts w:ascii="Calibri" w:hAnsi="Calibri"/>
          <w:b/>
          <w:color w:val="333333"/>
          <w:sz w:val="20"/>
        </w:rPr>
        <w:t>Share Count:</w:t>
      </w:r>
      <w:r>
        <w:rPr>
          <w:rFonts w:ascii="Calibri" w:hAnsi="Calibri"/>
          <w:color w:val="333333"/>
          <w:sz w:val="20"/>
        </w:rPr>
        <w:t xml:space="preserve"> Assumes the current share count remains stable, with no significant dilution from equity issuances.</w:t>
      </w:r>
    </w:p>
    <w:p>
      <w:pPr>
        <w:pStyle w:val="Heading1"/>
      </w:pPr>
      <w:r>
        <w:rPr>
          <w:rFonts w:ascii="Calibri" w:hAnsi="Calibri"/>
          <w:color w:val="1F5F8B"/>
          <w:sz w:val="32"/>
        </w:rPr>
        <w:t>8. Capex &amp; Management Guidance Summary</w:t>
      </w:r>
    </w:p>
    <w:p>
      <w:pPr>
        <w:spacing w:before="0" w:after="120"/>
      </w:pP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Guidance Parameter</w:t>
            </w:r>
          </w:p>
        </w:tc>
        <w:tc>
          <w:tcPr>
            <w:tcW w:type="dxa" w:w="2880"/>
            <w:shd w:fill="1F5F8B"/>
          </w:tcPr>
          <w:p>
            <w:pPr>
              <w:spacing w:before="40" w:after="40"/>
            </w:pPr>
            <w:r>
              <w:rPr>
                <w:rFonts w:ascii="Calibri" w:hAnsi="Calibri"/>
                <w:b/>
                <w:color w:val="FFFFFF"/>
                <w:sz w:val="18"/>
              </w:rPr>
              <w:t>Target</w:t>
            </w:r>
          </w:p>
        </w:tc>
        <w:tc>
          <w:tcPr>
            <w:tcW w:type="dxa" w:w="2880"/>
            <w:shd w:fill="1F5F8B"/>
          </w:tcPr>
          <w:p>
            <w:pPr>
              <w:spacing w:before="40" w:after="40"/>
            </w:pPr>
            <w:r>
              <w:rPr>
                <w:rFonts w:ascii="Calibri" w:hAnsi="Calibri"/>
                <w:b/>
                <w:color w:val="FFFFFF"/>
                <w:sz w:val="18"/>
              </w:rPr>
              <w:t>Timeline</w:t>
            </w:r>
          </w:p>
        </w:tc>
      </w:tr>
      <w:tr>
        <w:tc>
          <w:tcPr>
            <w:tcW w:type="dxa" w:w="2880"/>
          </w:tcPr>
          <w:p>
            <w:pPr>
              <w:spacing w:before="40" w:after="40"/>
            </w:pPr>
            <w:r>
              <w:rPr>
                <w:rFonts w:ascii="Calibri" w:hAnsi="Calibri"/>
                <w:b/>
                <w:sz w:val="18"/>
              </w:rPr>
              <w:t>Revenue Target</w:t>
            </w:r>
          </w:p>
        </w:tc>
        <w:tc>
          <w:tcPr>
            <w:tcW w:type="dxa" w:w="2880"/>
          </w:tcPr>
          <w:p>
            <w:pPr>
              <w:spacing w:before="40" w:after="40"/>
            </w:pPr>
            <w:r>
              <w:rPr>
                <w:rFonts w:ascii="Calibri" w:hAnsi="Calibri"/>
                <w:sz w:val="18"/>
              </w:rPr>
              <w:t>₹1,800 Cr</w:t>
            </w:r>
          </w:p>
        </w:tc>
        <w:tc>
          <w:tcPr>
            <w:tcW w:type="dxa" w:w="2880"/>
          </w:tcPr>
          <w:p>
            <w:pPr>
              <w:spacing w:before="40" w:after="40"/>
            </w:pPr>
            <w:r>
              <w:rPr>
                <w:rFonts w:ascii="Calibri" w:hAnsi="Calibri"/>
                <w:sz w:val="18"/>
              </w:rPr>
              <w:t>By FY28</w:t>
            </w:r>
          </w:p>
        </w:tc>
      </w:tr>
      <w:tr>
        <w:tc>
          <w:tcPr>
            <w:tcW w:type="dxa" w:w="2880"/>
            <w:shd w:fill="E8F0FE"/>
          </w:tcPr>
          <w:p>
            <w:pPr>
              <w:spacing w:before="40" w:after="40"/>
            </w:pPr>
            <w:r>
              <w:rPr>
                <w:rFonts w:ascii="Calibri" w:hAnsi="Calibri"/>
                <w:b/>
                <w:sz w:val="18"/>
              </w:rPr>
              <w:t>Revenue CAGR</w:t>
            </w:r>
          </w:p>
        </w:tc>
        <w:tc>
          <w:tcPr>
            <w:tcW w:type="dxa" w:w="2880"/>
            <w:shd w:fill="E8F0FE"/>
          </w:tcPr>
          <w:p>
            <w:pPr>
              <w:spacing w:before="40" w:after="40"/>
            </w:pPr>
            <w:r>
              <w:rPr>
                <w:rFonts w:ascii="Calibri" w:hAnsi="Calibri"/>
                <w:sz w:val="18"/>
              </w:rPr>
              <w:t>~25-30%</w:t>
            </w:r>
          </w:p>
        </w:tc>
        <w:tc>
          <w:tcPr>
            <w:tcW w:type="dxa" w:w="2880"/>
            <w:shd w:fill="E8F0FE"/>
          </w:tcPr>
          <w:p>
            <w:pPr>
              <w:spacing w:before="40" w:after="40"/>
            </w:pPr>
            <w:r>
              <w:rPr>
                <w:rFonts w:ascii="Calibri" w:hAnsi="Calibri"/>
                <w:sz w:val="18"/>
              </w:rPr>
              <w:t>FY25-FY28</w:t>
            </w:r>
          </w:p>
        </w:tc>
      </w:tr>
      <w:tr>
        <w:tc>
          <w:tcPr>
            <w:tcW w:type="dxa" w:w="2880"/>
          </w:tcPr>
          <w:p>
            <w:pPr>
              <w:spacing w:before="40" w:after="40"/>
            </w:pPr>
            <w:r>
              <w:rPr>
                <w:rFonts w:ascii="Calibri" w:hAnsi="Calibri"/>
                <w:b/>
                <w:sz w:val="18"/>
              </w:rPr>
              <w:t>Key Segment Targets</w:t>
            </w:r>
          </w:p>
        </w:tc>
        <w:tc>
          <w:tcPr>
            <w:tcW w:type="dxa" w:w="2880"/>
          </w:tcPr>
          <w:p>
            <w:pPr>
              <w:spacing w:before="40" w:after="40"/>
            </w:pPr>
            <w:r>
              <w:rPr>
                <w:rFonts w:ascii="Calibri" w:hAnsi="Calibri"/>
                <w:sz w:val="18"/>
              </w:rPr>
              <w:t>Crane Rental Margin: 50-55%; Renewables EPC Margin: 10-12%</w:t>
            </w:r>
          </w:p>
        </w:tc>
        <w:tc>
          <w:tcPr>
            <w:tcW w:type="dxa" w:w="2880"/>
          </w:tcPr>
          <w:p>
            <w:pPr>
              <w:spacing w:before="40" w:after="40"/>
            </w:pPr>
            <w:r>
              <w:rPr>
                <w:rFonts w:ascii="Calibri" w:hAnsi="Calibri"/>
                <w:sz w:val="18"/>
              </w:rPr>
              <w:t>Ongoing</w:t>
            </w:r>
          </w:p>
        </w:tc>
      </w:tr>
      <w:tr>
        <w:tc>
          <w:tcPr>
            <w:tcW w:type="dxa" w:w="2880"/>
            <w:shd w:fill="E8F0FE"/>
          </w:tcPr>
          <w:p>
            <w:pPr>
              <w:spacing w:before="40" w:after="40"/>
            </w:pPr>
            <w:r>
              <w:rPr>
                <w:rFonts w:ascii="Calibri" w:hAnsi="Calibri"/>
                <w:b/>
                <w:sz w:val="18"/>
              </w:rPr>
              <w:t>EBITDA Margin Target</w:t>
            </w:r>
          </w:p>
        </w:tc>
        <w:tc>
          <w:tcPr>
            <w:tcW w:type="dxa" w:w="2880"/>
            <w:shd w:fill="E8F0FE"/>
          </w:tcPr>
          <w:p>
            <w:pPr>
              <w:spacing w:before="40" w:after="40"/>
            </w:pPr>
            <w:r>
              <w:rPr>
                <w:rFonts w:ascii="Calibri" w:hAnsi="Calibri"/>
                <w:sz w:val="18"/>
              </w:rPr>
              <w:t>Crane Rental: 50-55%; Renewables EPC: 10-12%</w:t>
            </w:r>
          </w:p>
        </w:tc>
        <w:tc>
          <w:tcPr>
            <w:tcW w:type="dxa" w:w="2880"/>
            <w:shd w:fill="E8F0FE"/>
          </w:tcPr>
          <w:p>
            <w:pPr>
              <w:spacing w:before="40" w:after="40"/>
            </w:pPr>
            <w:r>
              <w:rPr>
                <w:rFonts w:ascii="Calibri" w:hAnsi="Calibri"/>
                <w:sz w:val="18"/>
              </w:rPr>
              <w:t>Ongoing</w:t>
            </w:r>
          </w:p>
        </w:tc>
      </w:tr>
      <w:tr>
        <w:tc>
          <w:tcPr>
            <w:tcW w:type="dxa" w:w="2880"/>
          </w:tcPr>
          <w:p>
            <w:pPr>
              <w:spacing w:before="40" w:after="40"/>
            </w:pPr>
            <w:r>
              <w:rPr>
                <w:rFonts w:ascii="Calibri" w:hAnsi="Calibri"/>
                <w:b/>
                <w:sz w:val="18"/>
              </w:rPr>
              <w:t>Capex Plans</w:t>
            </w:r>
          </w:p>
        </w:tc>
        <w:tc>
          <w:tcPr>
            <w:tcW w:type="dxa" w:w="2880"/>
          </w:tcPr>
          <w:p>
            <w:pPr>
              <w:spacing w:before="40" w:after="40"/>
            </w:pPr>
            <w:r>
              <w:rPr>
                <w:rFonts w:ascii="Calibri" w:hAnsi="Calibri"/>
                <w:sz w:val="18"/>
              </w:rPr>
              <w:t>₹500 Cr planned capital outlay (subject to BOD approval) for next 2 years</w:t>
            </w:r>
          </w:p>
        </w:tc>
        <w:tc>
          <w:tcPr>
            <w:tcW w:type="dxa" w:w="2880"/>
          </w:tcPr>
          <w:p>
            <w:pPr>
              <w:spacing w:before="40" w:after="40"/>
            </w:pPr>
            <w:r>
              <w:rPr>
                <w:rFonts w:ascii="Calibri" w:hAnsi="Calibri"/>
                <w:sz w:val="18"/>
              </w:rPr>
              <w:t>FY27-FY28</w:t>
            </w:r>
          </w:p>
        </w:tc>
      </w:tr>
      <w:tr>
        <w:tc>
          <w:tcPr>
            <w:tcW w:type="dxa" w:w="2880"/>
            <w:shd w:fill="E8F0FE"/>
          </w:tcPr>
          <w:p>
            <w:pPr>
              <w:spacing w:before="40" w:after="40"/>
            </w:pPr>
            <w:r>
              <w:rPr>
                <w:rFonts w:ascii="Calibri" w:hAnsi="Calibri"/>
                <w:b/>
                <w:sz w:val="18"/>
              </w:rPr>
              <w:t>Dividend Policy</w:t>
            </w:r>
          </w:p>
        </w:tc>
        <w:tc>
          <w:tcPr>
            <w:tcW w:type="dxa" w:w="2880"/>
            <w:shd w:fill="E8F0FE"/>
          </w:tcPr>
          <w:p>
            <w:pPr>
              <w:spacing w:before="40" w:after="40"/>
            </w:pPr>
            <w:r>
              <w:rPr>
                <w:rFonts w:ascii="Calibri" w:hAnsi="Calibri"/>
                <w:sz w:val="18"/>
              </w:rPr>
              <w:t>Recommends ₹2 per share for FY25, subject to AGM approval</w:t>
            </w:r>
          </w:p>
        </w:tc>
        <w:tc>
          <w:tcPr>
            <w:tcW w:type="dxa" w:w="2880"/>
            <w:shd w:fill="E8F0FE"/>
          </w:tcPr>
          <w:p>
            <w:pPr>
              <w:spacing w:before="40" w:after="40"/>
            </w:pPr>
            <w:r>
              <w:rPr>
                <w:rFonts w:ascii="Calibri" w:hAnsi="Calibri"/>
                <w:sz w:val="18"/>
              </w:rPr>
              <w:t>FY25 onwards</w:t>
            </w:r>
          </w:p>
        </w:tc>
      </w:tr>
      <w:tr>
        <w:tc>
          <w:tcPr>
            <w:tcW w:type="dxa" w:w="2880"/>
          </w:tcPr>
          <w:p>
            <w:pPr>
              <w:spacing w:before="40" w:after="40"/>
            </w:pPr>
            <w:r>
              <w:rPr>
                <w:rFonts w:ascii="Calibri" w:hAnsi="Calibri"/>
                <w:b/>
                <w:sz w:val="18"/>
              </w:rPr>
              <w:t>Debt Status</w:t>
            </w:r>
          </w:p>
        </w:tc>
        <w:tc>
          <w:tcPr>
            <w:tcW w:type="dxa" w:w="2880"/>
          </w:tcPr>
          <w:p>
            <w:pPr>
              <w:spacing w:before="40" w:after="40"/>
            </w:pPr>
            <w:r>
              <w:rPr>
                <w:rFonts w:ascii="Calibri" w:hAnsi="Calibri"/>
                <w:sz w:val="18"/>
              </w:rPr>
              <w:t>Maintain Net Debt to Equity ratio below 0.5x</w:t>
            </w:r>
          </w:p>
        </w:tc>
        <w:tc>
          <w:tcPr>
            <w:tcW w:type="dxa" w:w="2880"/>
          </w:tcPr>
          <w:p>
            <w:pPr>
              <w:spacing w:before="40" w:after="40"/>
            </w:pPr>
            <w:r>
              <w:rPr>
                <w:rFonts w:ascii="Calibri" w:hAnsi="Calibri"/>
                <w:sz w:val="18"/>
              </w:rPr>
              <w:t>Ongoing</w:t>
            </w:r>
          </w:p>
        </w:tc>
      </w:tr>
    </w:tbl>
    <w:p/>
    <w:p>
      <w:pPr>
        <w:pStyle w:val="Heading1"/>
      </w:pPr>
      <w:r>
        <w:rPr>
          <w:rFonts w:ascii="Calibri" w:hAnsi="Calibri"/>
          <w:color w:val="1F5F8B"/>
          <w:sz w:val="32"/>
        </w:rPr>
        <w:t>9. Conclusion &amp; Investment Summary</w:t>
      </w:r>
    </w:p>
    <w:p>
      <w:pPr>
        <w:spacing w:before="0" w:after="120"/>
      </w:pPr>
    </w:p>
    <w:p>
      <w:pPr>
        <w:pStyle w:val="Heading2"/>
      </w:pPr>
      <w:r>
        <w:rPr>
          <w:rFonts w:ascii="Calibri" w:hAnsi="Calibri"/>
          <w:color w:val="1F5F8B"/>
          <w:sz w:val="26"/>
        </w:rPr>
        <w:t>Bull Case</w:t>
      </w:r>
    </w:p>
    <w:p>
      <w:pPr>
        <w:spacing w:after="80"/>
      </w:pPr>
      <w:r>
        <w:rPr>
          <w:rFonts w:ascii="Calibri" w:hAnsi="Calibri"/>
          <w:color w:val="333333"/>
          <w:sz w:val="20"/>
        </w:rPr>
        <w:t>Sanghvi Movers Limited presents a compelling investment case driven by its strong market position in the Indian crane rental industry, strategic diversification into high-growth renewable energy EPC, and aggressive international expansion into the Saudi Arabian market. The company's "Elevate 2030" strategy, focused on customer centricity, global expansion, product diversification, and financial discipline, positions it for sustained growth. The robust order book, healthy inquiry pipeline, and significant government spending on infrastructure and renewables in India, coupled with the immense project pipeline in Saudi Arabia, provide strong revenue visibility for the coming years. The company's commitment to operational excellence, QHSE standards, and prudent capital allocation further strengthens its investment profile. As the company successfully executes its expansion plans and leverages its competitive advantages, it is well-positioned to deliver significant shareholder value through revenue growth, margin expansion, and improved return ratios.</w:t>
      </w:r>
    </w:p>
    <w:p>
      <w:pPr>
        <w:pStyle w:val="Heading2"/>
      </w:pPr>
      <w:r>
        <w:rPr>
          <w:rFonts w:ascii="Calibri" w:hAnsi="Calibri"/>
          <w:color w:val="1F5F8B"/>
          <w:sz w:val="26"/>
        </w:rPr>
        <w:t>Bear Case</w:t>
      </w:r>
    </w:p>
    <w:p>
      <w:pPr>
        <w:spacing w:after="80"/>
      </w:pPr>
      <w:r>
        <w:rPr>
          <w:rFonts w:ascii="Calibri" w:hAnsi="Calibri"/>
          <w:color w:val="333333"/>
          <w:sz w:val="20"/>
        </w:rPr>
        <w:t>Key risks for Sanghvi Movers include execution challenges in its international expansion, particularly in Saudi Arabia, where regulatory complexities and higher operating costs could impact profitability. Intense competition in the crane rental market may continue to exert pressure on pricing and margins. Furthermore, the company's reliance on large infrastructure and renewable energy projects makes it susceptible to project delays or cancellations, which could affect revenue predictability and working capital management. Any significant downturn in government spending on infrastructure or a slowdown in the renewable energy sector could also impact demand. While the company has improved its balance sheet, managing debt levels effectively amidst significant ongoing capex remains a critical factor. Governance concerns, although historical, warrant continued monitoring to ensure robust compliance and transparency across all operations.</w:t>
      </w:r>
    </w:p>
    <w:p>
      <w:pPr>
        <w:pStyle w:val="Heading2"/>
      </w:pPr>
      <w:r>
        <w:rPr>
          <w:rFonts w:ascii="Calibri" w:hAnsi="Calibri"/>
          <w:color w:val="1F5F8B"/>
          <w:sz w:val="26"/>
        </w:rPr>
        <w:t>Key Monitorables</w:t>
      </w:r>
    </w:p>
    <w:p>
      <w:pPr>
        <w:pStyle w:val="ListBullet"/>
        <w:spacing w:after="80"/>
      </w:pPr>
      <w:r>
        <w:rPr>
          <w:rFonts w:ascii="Calibri" w:hAnsi="Calibri"/>
          <w:color w:val="333333"/>
          <w:sz w:val="20"/>
        </w:rPr>
        <w:t xml:space="preserve">  </w:t>
      </w:r>
      <w:r>
        <w:rPr>
          <w:rFonts w:ascii="Calibri" w:hAnsi="Calibri"/>
          <w:b/>
          <w:color w:val="333333"/>
          <w:sz w:val="20"/>
        </w:rPr>
        <w:t>Saudi Arabia Operations:</w:t>
      </w:r>
      <w:r>
        <w:rPr>
          <w:rFonts w:ascii="Calibri" w:hAnsi="Calibri"/>
          <w:color w:val="333333"/>
          <w:sz w:val="20"/>
        </w:rPr>
        <w:t xml:space="preserve"> Track revenue ramp-up, order book growth, and profitability of Sanghvi Movers Middle East Limited.</w:t>
      </w:r>
    </w:p>
    <w:p>
      <w:pPr>
        <w:pStyle w:val="ListBullet"/>
        <w:spacing w:after="80"/>
      </w:pPr>
      <w:r>
        <w:rPr>
          <w:rFonts w:ascii="Calibri" w:hAnsi="Calibri"/>
          <w:color w:val="333333"/>
          <w:sz w:val="20"/>
        </w:rPr>
        <w:t xml:space="preserve">  </w:t>
      </w:r>
      <w:r>
        <w:rPr>
          <w:rFonts w:ascii="Calibri" w:hAnsi="Calibri"/>
          <w:b/>
          <w:color w:val="333333"/>
          <w:sz w:val="20"/>
        </w:rPr>
        <w:t>Renewable EPC Performance:</w:t>
      </w:r>
      <w:r>
        <w:rPr>
          <w:rFonts w:ascii="Calibri" w:hAnsi="Calibri"/>
          <w:color w:val="333333"/>
          <w:sz w:val="20"/>
        </w:rPr>
        <w:t xml:space="preserve"> Monitor order inflows, project execution, and margin realization for Sangreen Future Renewables Private Limited.</w:t>
      </w:r>
    </w:p>
    <w:p>
      <w:pPr>
        <w:pStyle w:val="ListBullet"/>
        <w:spacing w:after="80"/>
      </w:pPr>
      <w:r>
        <w:rPr>
          <w:rFonts w:ascii="Calibri" w:hAnsi="Calibri"/>
          <w:color w:val="333333"/>
          <w:sz w:val="20"/>
        </w:rPr>
        <w:t xml:space="preserve">  </w:t>
      </w:r>
      <w:r>
        <w:rPr>
          <w:rFonts w:ascii="Calibri" w:hAnsi="Calibri"/>
          <w:b/>
          <w:color w:val="333333"/>
          <w:sz w:val="20"/>
        </w:rPr>
        <w:t>Crane Utilization and Yields:</w:t>
      </w:r>
      <w:r>
        <w:rPr>
          <w:rFonts w:ascii="Calibri" w:hAnsi="Calibri"/>
          <w:color w:val="333333"/>
          <w:sz w:val="20"/>
        </w:rPr>
        <w:t xml:space="preserve"> Closely watch capacity utilization rates and average yields across segments, particularly in India and Saudi Arabia.</w:t>
      </w:r>
    </w:p>
    <w:p>
      <w:pPr>
        <w:pStyle w:val="ListBullet"/>
        <w:spacing w:after="80"/>
      </w:pPr>
      <w:r>
        <w:rPr>
          <w:rFonts w:ascii="Calibri" w:hAnsi="Calibri"/>
          <w:color w:val="333333"/>
          <w:sz w:val="20"/>
        </w:rPr>
        <w:t xml:space="preserve">  </w:t>
      </w:r>
      <w:r>
        <w:rPr>
          <w:rFonts w:ascii="Calibri" w:hAnsi="Calibri"/>
          <w:b/>
          <w:color w:val="333333"/>
          <w:sz w:val="20"/>
        </w:rPr>
        <w:t>Order Book Growth:</w:t>
      </w:r>
      <w:r>
        <w:rPr>
          <w:rFonts w:ascii="Calibri" w:hAnsi="Calibri"/>
          <w:color w:val="333333"/>
          <w:sz w:val="20"/>
        </w:rPr>
        <w:t xml:space="preserve"> Track the growth and quality of the order book across all business verticals to assess future revenue visibility.</w:t>
      </w:r>
    </w:p>
    <w:p>
      <w:pPr>
        <w:pStyle w:val="ListBullet"/>
        <w:spacing w:after="80"/>
      </w:pPr>
      <w:r>
        <w:rPr>
          <w:rFonts w:ascii="Calibri" w:hAnsi="Calibri"/>
          <w:color w:val="333333"/>
          <w:sz w:val="20"/>
        </w:rPr>
        <w:t xml:space="preserve">  </w:t>
      </w:r>
      <w:r>
        <w:rPr>
          <w:rFonts w:ascii="Calibri" w:hAnsi="Calibri"/>
          <w:b/>
          <w:color w:val="333333"/>
          <w:sz w:val="20"/>
        </w:rPr>
        <w:t>Debt Levels and Servicing:</w:t>
      </w:r>
      <w:r>
        <w:rPr>
          <w:rFonts w:ascii="Calibri" w:hAnsi="Calibri"/>
          <w:color w:val="333333"/>
          <w:sz w:val="20"/>
        </w:rPr>
        <w:t xml:space="preserve"> Monitor the company's debt-to-equity ratio and finance costs in relation to its capex plans and cash flow generation.</w:t>
      </w:r>
    </w:p>
    <w:p>
      <w:pPr>
        <w:pStyle w:val="ListBullet"/>
        <w:spacing w:after="80"/>
      </w:pPr>
      <w:r>
        <w:rPr>
          <w:rFonts w:ascii="Calibri" w:hAnsi="Calibri"/>
          <w:color w:val="333333"/>
          <w:sz w:val="20"/>
        </w:rPr>
        <w:t xml:space="preserve">  </w:t>
      </w:r>
      <w:r>
        <w:rPr>
          <w:rFonts w:ascii="Calibri" w:hAnsi="Calibri"/>
          <w:b/>
          <w:color w:val="333333"/>
          <w:sz w:val="20"/>
        </w:rPr>
        <w:t>Working Capital Management:</w:t>
      </w:r>
      <w:r>
        <w:rPr>
          <w:rFonts w:ascii="Calibri" w:hAnsi="Calibri"/>
          <w:color w:val="333333"/>
          <w:sz w:val="20"/>
        </w:rPr>
        <w:t xml:space="preserve"> Keep an eye on debtor days and overall working capital efficiency, especially given the project-based nature of some revenues.</w:t>
      </w:r>
    </w:p>
    <w:p>
      <w:pPr>
        <w:pStyle w:val="ListBullet"/>
        <w:spacing w:after="80"/>
      </w:pPr>
      <w:r>
        <w:rPr>
          <w:rFonts w:ascii="Calibri" w:hAnsi="Calibri"/>
          <w:color w:val="333333"/>
          <w:sz w:val="20"/>
        </w:rPr>
        <w:t xml:space="preserve">  </w:t>
      </w:r>
      <w:r>
        <w:rPr>
          <w:rFonts w:ascii="Calibri" w:hAnsi="Calibri"/>
          <w:b/>
          <w:color w:val="333333"/>
          <w:sz w:val="20"/>
        </w:rPr>
        <w:t>Competitive Landscape:</w:t>
      </w:r>
      <w:r>
        <w:rPr>
          <w:rFonts w:ascii="Calibri" w:hAnsi="Calibri"/>
          <w:color w:val="333333"/>
          <w:sz w:val="20"/>
        </w:rPr>
        <w:t xml:space="preserve"> Monitor pricing dynamics and competitive intensity in both domestic and international markets.</w:t>
      </w:r>
    </w:p>
    <w:p>
      <w:pPr>
        <w:pStyle w:val="ListBullet"/>
        <w:spacing w:after="80"/>
      </w:pPr>
      <w:r>
        <w:rPr>
          <w:rFonts w:ascii="Calibri" w:hAnsi="Calibri"/>
          <w:color w:val="333333"/>
          <w:sz w:val="20"/>
        </w:rPr>
        <w:t xml:space="preserve">  </w:t>
      </w:r>
      <w:r>
        <w:rPr>
          <w:rFonts w:ascii="Calibri" w:hAnsi="Calibri"/>
          <w:b/>
          <w:color w:val="333333"/>
          <w:sz w:val="20"/>
        </w:rPr>
        <w:t>Regulatory Environment:</w:t>
      </w:r>
      <w:r>
        <w:rPr>
          <w:rFonts w:ascii="Calibri" w:hAnsi="Calibri"/>
          <w:color w:val="333333"/>
          <w:sz w:val="20"/>
        </w:rPr>
        <w:t xml:space="preserve"> Stay updated on any policy changes impacting the infrastructure, renewable energy, or crane rental sectors, including potential trade policies.</w:t>
      </w:r>
    </w:p>
    <w:p>
      <w:pPr>
        <w:pStyle w:val="ListBullet"/>
        <w:spacing w:after="80"/>
      </w:pPr>
      <w:r>
        <w:rPr>
          <w:rFonts w:ascii="Calibri" w:hAnsi="Calibri"/>
          <w:color w:val="333333"/>
          <w:sz w:val="20"/>
        </w:rPr>
        <w:t xml:space="preserve">  </w:t>
      </w:r>
      <w:r>
        <w:rPr>
          <w:rFonts w:ascii="Calibri" w:hAnsi="Calibri"/>
          <w:b/>
          <w:color w:val="333333"/>
          <w:sz w:val="20"/>
        </w:rPr>
        <w:t>Management Execution:</w:t>
      </w:r>
      <w:r>
        <w:rPr>
          <w:rFonts w:ascii="Calibri" w:hAnsi="Calibri"/>
          <w:color w:val="333333"/>
          <w:sz w:val="20"/>
        </w:rPr>
        <w:t xml:space="preserve"> Assess the management's ability to effectively execute the "Elevate 2030" strategy and achieve its growth and profitability targets.</w:t>
      </w:r>
    </w:p>
    <w:p>
      <w:pPr>
        <w:pStyle w:val="ListBullet"/>
        <w:spacing w:after="80"/>
      </w:pPr>
      <w:r>
        <w:rPr>
          <w:rFonts w:ascii="Calibri" w:hAnsi="Calibri"/>
          <w:color w:val="333333"/>
          <w:sz w:val="20"/>
        </w:rPr>
        <w:t xml:space="preserve">  </w:t>
      </w:r>
      <w:r>
        <w:rPr>
          <w:rFonts w:ascii="Calibri" w:hAnsi="Calibri"/>
          <w:b/>
          <w:color w:val="333333"/>
          <w:sz w:val="20"/>
        </w:rPr>
        <w:t>ESG Performance:</w:t>
      </w:r>
      <w:r>
        <w:rPr>
          <w:rFonts w:ascii="Calibri" w:hAnsi="Calibri"/>
          <w:color w:val="333333"/>
          <w:sz w:val="20"/>
        </w:rPr>
        <w:t xml:space="preserve"> Track the company's progress on its environmental, social, and governance initiatives as outlined in its BRSR report.</w:t>
      </w:r>
    </w:p>
    <w:p>
      <w:pPr>
        <w:spacing w:after="80"/>
      </w:pPr>
      <w:r>
        <w:rPr>
          <w:rFonts w:ascii="Calibri" w:hAnsi="Calibri"/>
          <w:b/>
          <w:color w:val="333333"/>
          <w:sz w:val="20"/>
        </w:rPr>
        <w:t>Disclaimer:</w:t>
      </w:r>
      <w:r>
        <w:rPr>
          <w:rFonts w:ascii="Calibri" w:hAnsi="Calibri"/>
          <w:color w:val="333333"/>
          <w:sz w:val="20"/>
        </w:rPr>
        <w:t xml:space="preserve"> This analysis is for informational purposes only and does not constitute investment advice. Please consult a registered financial advisor before making investment decisions.</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4"/>
      </w:rPr>
      <w:t>Disclaimer: For informational purposes only. Not investment advice.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6"/>
      </w:rPr>
      <w:t>Sanghvi Movers Ltd | Comprehensive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8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5F8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5F8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