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jc w:val="center"/>
      </w:pPr>
      <w:r>
        <w:rPr>
          <w:rFonts w:ascii="Calibri" w:hAnsi="Calibri"/>
          <w:b/>
          <w:color w:val="1F5F8B"/>
          <w:sz w:val="64"/>
        </w:rPr>
        <w:t>INTERNATIONAL GEMMOLOGICAL INSTITUTE INDIA LTD</w:t>
      </w:r>
    </w:p>
    <w:p>
      <w:pPr>
        <w:jc w:val="center"/>
      </w:pPr>
      <w:r>
        <w:rPr>
          <w:color w:val="1F5F8B"/>
          <w:sz w:val="16"/>
        </w:rPr>
        <w:t>____________________________________________________________</w:t>
      </w:r>
    </w:p>
    <w:p>
      <w:pPr>
        <w:spacing w:before="480"/>
        <w:jc w:val="center"/>
      </w:pPr>
      <w:r>
        <w:rPr>
          <w:rFonts w:ascii="Calibri" w:hAnsi="Calibri"/>
          <w:color w:val="1F5F8B"/>
          <w:sz w:val="44"/>
        </w:rPr>
        <w:t>Comprehensive Company Analysis</w:t>
      </w:r>
    </w:p>
    <w:p>
      <w:pPr>
        <w:spacing w:before="160"/>
        <w:jc w:val="center"/>
      </w:pPr>
      <w:r>
        <w:rPr>
          <w:rFonts w:ascii="Calibri" w:hAnsi="Calibri"/>
          <w:color w:val="666666"/>
          <w:sz w:val="28"/>
        </w:rPr>
        <w:t>Investment Research Note</w:t>
      </w:r>
    </w:p>
    <w:p>
      <w:pPr>
        <w:spacing w:before="960"/>
        <w:jc w:val="center"/>
      </w:pPr>
      <w:r>
        <w:rPr>
          <w:rFonts w:ascii="Calibri" w:hAnsi="Calibri"/>
          <w:color w:val="666666"/>
          <w:sz w:val="24"/>
        </w:rPr>
        <w:t>Date: May 21, 2026</w:t>
      </w:r>
    </w:p>
    <w:p>
      <w:r>
        <w:br w:type="page"/>
      </w:r>
    </w:p>
    <w:p>
      <w:pPr>
        <w:pStyle w:val="Heading1"/>
      </w:pPr>
      <w:r>
        <w:rPr>
          <w:rFonts w:ascii="Calibri" w:hAnsi="Calibri"/>
          <w:color w:val="1F5F8B"/>
          <w:sz w:val="32"/>
        </w:rPr>
        <w:t>1. Executive Summary</w:t>
      </w:r>
    </w:p>
    <w:p>
      <w:pPr>
        <w:spacing w:before="0" w:after="120"/>
      </w:pPr>
    </w:p>
    <w:p>
      <w:pPr>
        <w:spacing w:after="80"/>
      </w:pPr>
      <w:r>
        <w:rPr>
          <w:rFonts w:ascii="Calibri" w:hAnsi="Calibri"/>
          <w:color w:val="333333"/>
          <w:sz w:val="20"/>
        </w:rPr>
        <w:t>International Gemmological Institute Limited (IGIL) is a global leader in the certification of natural diamonds, lab-grown diamonds (LGD), colored gemstones, and jewelry, complemented by its gemological education services. The company is strategically positioned at the forefront of the rapidly evolving diamond industry, benefiting from increasing demand for transparency and traceability across both natural and lab-grown segments. Over the past 1-2 years, IGIL has undergone significant transformative events, including its successful IPO in December 2024, which provided capital for strategic growth initiatives, and a change in its financial reporting period to April-March, with a transitional 15-month period ending March 2026.</w:t>
      </w:r>
    </w:p>
    <w:p>
      <w:pPr>
        <w:spacing w:after="80"/>
      </w:pPr>
      <w:r>
        <w:rPr>
          <w:rFonts w:ascii="Calibri" w:hAnsi="Calibri"/>
          <w:color w:val="333333"/>
          <w:sz w:val="20"/>
        </w:rPr>
        <w:t>Post-transformation, IGIL demonstrates a robust financial profile. For the 15-month period ending March 2026 (FY26), the company reported consolidated revenue from operations of INR 15,976 million, with a strong EBITDA of INR 9,728 million, reflecting impressive 60.9% margins. The balance sheet remains healthy with a low debt-to-equity ratio of approximately 0.10x, and a significant cash and cash equivalents balance of INR 8,005 million (as of March 2026, including bank balances other than cash and cash equivalents). The company is targeting continued growth, particularly driven by the burgeoning LGD market and India's emergence as a global manufacturing hub. Key growth catalysts ahead include the structural tailwinds of increased certification intensity for LGDs (especially at the SKU level for jewelry), resilient demand for natural diamonds, and the company's ability to leverage its dominant market share and operating efficiencies to capture incremental industry volumes.</w:t>
      </w:r>
    </w:p>
    <w:tbl>
      <w:tblPr>
        <w:tblW w:type="auto" w:w="0"/>
        <w:jc w:val="center"/>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1F5F8B"/>
          </w:tcPr>
          <w:p>
            <w:pPr>
              <w:spacing w:before="40" w:after="40"/>
            </w:pPr>
            <w:r>
              <w:rPr>
                <w:rFonts w:ascii="Calibri" w:hAnsi="Calibri"/>
                <w:b/>
                <w:color w:val="FFFFFF"/>
                <w:sz w:val="18"/>
              </w:rPr>
              <w:t>Metric</w:t>
            </w:r>
          </w:p>
        </w:tc>
        <w:tc>
          <w:tcPr>
            <w:tcW w:type="dxa" w:w="4320"/>
            <w:shd w:fill="1F5F8B"/>
          </w:tcPr>
          <w:p>
            <w:pPr>
              <w:spacing w:before="40" w:after="40"/>
            </w:pPr>
            <w:r>
              <w:rPr>
                <w:rFonts w:ascii="Calibri" w:hAnsi="Calibri"/>
                <w:b/>
                <w:color w:val="FFFFFF"/>
                <w:sz w:val="18"/>
              </w:rPr>
              <w:t>Value</w:t>
            </w:r>
          </w:p>
        </w:tc>
      </w:tr>
      <w:tr>
        <w:tc>
          <w:tcPr>
            <w:tcW w:type="dxa" w:w="4320"/>
          </w:tcPr>
          <w:p>
            <w:pPr>
              <w:spacing w:before="40" w:after="40"/>
            </w:pPr>
            <w:r>
              <w:rPr>
                <w:rFonts w:ascii="Calibri" w:hAnsi="Calibri"/>
                <w:b/>
                <w:sz w:val="18"/>
              </w:rPr>
              <w:t>CMP</w:t>
            </w:r>
          </w:p>
        </w:tc>
        <w:tc>
          <w:tcPr>
            <w:tcW w:type="dxa" w:w="4320"/>
          </w:tcPr>
          <w:p>
            <w:pPr>
              <w:spacing w:before="40" w:after="40"/>
            </w:pPr>
            <w:r>
              <w:rPr>
                <w:rFonts w:ascii="Calibri" w:hAnsi="Calibri"/>
                <w:sz w:val="18"/>
              </w:rPr>
              <w:t>₹348</w:t>
            </w:r>
          </w:p>
        </w:tc>
      </w:tr>
      <w:tr>
        <w:tc>
          <w:tcPr>
            <w:tcW w:type="dxa" w:w="4320"/>
            <w:shd w:fill="E8F0FE"/>
          </w:tcPr>
          <w:p>
            <w:pPr>
              <w:spacing w:before="40" w:after="40"/>
            </w:pPr>
            <w:r>
              <w:rPr>
                <w:rFonts w:ascii="Calibri" w:hAnsi="Calibri"/>
                <w:b/>
                <w:sz w:val="18"/>
              </w:rPr>
              <w:t>Market Cap</w:t>
            </w:r>
          </w:p>
        </w:tc>
        <w:tc>
          <w:tcPr>
            <w:tcW w:type="dxa" w:w="4320"/>
            <w:shd w:fill="E8F0FE"/>
          </w:tcPr>
          <w:p>
            <w:pPr>
              <w:spacing w:before="40" w:after="40"/>
            </w:pPr>
            <w:r>
              <w:rPr>
                <w:rFonts w:ascii="Calibri" w:hAnsi="Calibri"/>
                <w:sz w:val="18"/>
              </w:rPr>
              <w:t>₹15,043 Cr</w:t>
            </w:r>
          </w:p>
        </w:tc>
      </w:tr>
      <w:tr>
        <w:tc>
          <w:tcPr>
            <w:tcW w:type="dxa" w:w="4320"/>
          </w:tcPr>
          <w:p>
            <w:pPr>
              <w:spacing w:before="40" w:after="40"/>
            </w:pPr>
            <w:r>
              <w:rPr>
                <w:rFonts w:ascii="Calibri" w:hAnsi="Calibri"/>
                <w:b/>
                <w:sz w:val="18"/>
              </w:rPr>
              <w:t>P/E (TTM)</w:t>
            </w:r>
          </w:p>
        </w:tc>
        <w:tc>
          <w:tcPr>
            <w:tcW w:type="dxa" w:w="4320"/>
          </w:tcPr>
          <w:p>
            <w:pPr>
              <w:spacing w:before="40" w:after="40"/>
            </w:pPr>
            <w:r>
              <w:rPr>
                <w:rFonts w:ascii="Calibri" w:hAnsi="Calibri"/>
                <w:sz w:val="18"/>
              </w:rPr>
              <w:t>28.3x</w:t>
            </w:r>
          </w:p>
        </w:tc>
      </w:tr>
      <w:tr>
        <w:tc>
          <w:tcPr>
            <w:tcW w:type="dxa" w:w="4320"/>
            <w:shd w:fill="E8F0FE"/>
          </w:tcPr>
          <w:p>
            <w:pPr>
              <w:spacing w:before="40" w:after="40"/>
            </w:pPr>
            <w:r>
              <w:rPr>
                <w:rFonts w:ascii="Calibri" w:hAnsi="Calibri"/>
                <w:b/>
                <w:sz w:val="18"/>
              </w:rPr>
              <w:t>P/B</w:t>
            </w:r>
          </w:p>
        </w:tc>
        <w:tc>
          <w:tcPr>
            <w:tcW w:type="dxa" w:w="4320"/>
            <w:shd w:fill="E8F0FE"/>
          </w:tcPr>
          <w:p>
            <w:pPr>
              <w:spacing w:before="40" w:after="40"/>
            </w:pPr>
            <w:r>
              <w:rPr>
                <w:rFonts w:ascii="Calibri" w:hAnsi="Calibri"/>
                <w:sz w:val="18"/>
              </w:rPr>
              <w:t>10.1x</w:t>
            </w:r>
          </w:p>
        </w:tc>
      </w:tr>
      <w:tr>
        <w:tc>
          <w:tcPr>
            <w:tcW w:type="dxa" w:w="4320"/>
          </w:tcPr>
          <w:p>
            <w:pPr>
              <w:spacing w:before="40" w:after="40"/>
            </w:pPr>
            <w:r>
              <w:rPr>
                <w:rFonts w:ascii="Calibri" w:hAnsi="Calibri"/>
                <w:b/>
                <w:sz w:val="18"/>
              </w:rPr>
              <w:t>P/S (TTM)</w:t>
            </w:r>
          </w:p>
        </w:tc>
        <w:tc>
          <w:tcPr>
            <w:tcW w:type="dxa" w:w="4320"/>
          </w:tcPr>
          <w:p>
            <w:pPr>
              <w:spacing w:before="40" w:after="40"/>
            </w:pPr>
            <w:r>
              <w:rPr>
                <w:rFonts w:ascii="Calibri" w:hAnsi="Calibri"/>
                <w:sz w:val="18"/>
              </w:rPr>
              <w:t>12.2x</w:t>
            </w:r>
          </w:p>
        </w:tc>
      </w:tr>
      <w:tr>
        <w:tc>
          <w:tcPr>
            <w:tcW w:type="dxa" w:w="4320"/>
            <w:shd w:fill="E8F0FE"/>
          </w:tcPr>
          <w:p>
            <w:pPr>
              <w:spacing w:before="40" w:after="40"/>
            </w:pPr>
            <w:r>
              <w:rPr>
                <w:rFonts w:ascii="Calibri" w:hAnsi="Calibri"/>
                <w:b/>
                <w:sz w:val="18"/>
              </w:rPr>
              <w:t>52-Week High/Low</w:t>
            </w:r>
          </w:p>
        </w:tc>
        <w:tc>
          <w:tcPr>
            <w:tcW w:type="dxa" w:w="4320"/>
            <w:shd w:fill="E8F0FE"/>
          </w:tcPr>
          <w:p>
            <w:pPr>
              <w:spacing w:before="40" w:after="40"/>
            </w:pPr>
            <w:r>
              <w:rPr>
                <w:rFonts w:ascii="Calibri" w:hAnsi="Calibri"/>
                <w:sz w:val="18"/>
              </w:rPr>
              <w:t>...</w:t>
            </w:r>
          </w:p>
        </w:tc>
      </w:tr>
      <w:tr>
        <w:tc>
          <w:tcPr>
            <w:tcW w:type="dxa" w:w="4320"/>
          </w:tcPr>
          <w:p>
            <w:pPr>
              <w:spacing w:before="40" w:after="40"/>
            </w:pPr>
            <w:r>
              <w:rPr>
                <w:rFonts w:ascii="Calibri" w:hAnsi="Calibri"/>
                <w:b/>
                <w:sz w:val="18"/>
              </w:rPr>
              <w:t>Debt-Equity Ratio</w:t>
            </w:r>
          </w:p>
        </w:tc>
        <w:tc>
          <w:tcPr>
            <w:tcW w:type="dxa" w:w="4320"/>
          </w:tcPr>
          <w:p>
            <w:pPr>
              <w:spacing w:before="40" w:after="40"/>
            </w:pPr>
            <w:r>
              <w:rPr>
                <w:rFonts w:ascii="Calibri" w:hAnsi="Calibri"/>
                <w:sz w:val="18"/>
              </w:rPr>
              <w:t>0.10x</w:t>
            </w:r>
          </w:p>
        </w:tc>
      </w:tr>
      <w:tr>
        <w:tc>
          <w:tcPr>
            <w:tcW w:type="dxa" w:w="4320"/>
            <w:shd w:fill="E8F0FE"/>
          </w:tcPr>
          <w:p>
            <w:pPr>
              <w:spacing w:before="40" w:after="40"/>
            </w:pPr>
            <w:r>
              <w:rPr>
                <w:rFonts w:ascii="Calibri" w:hAnsi="Calibri"/>
                <w:b/>
                <w:sz w:val="18"/>
              </w:rPr>
              <w:t>ROE</w:t>
            </w:r>
          </w:p>
        </w:tc>
        <w:tc>
          <w:tcPr>
            <w:tcW w:type="dxa" w:w="4320"/>
            <w:shd w:fill="E8F0FE"/>
          </w:tcPr>
          <w:p>
            <w:pPr>
              <w:spacing w:before="40" w:after="40"/>
            </w:pPr>
            <w:r>
              <w:rPr>
                <w:rFonts w:ascii="Calibri" w:hAnsi="Calibri"/>
                <w:sz w:val="18"/>
              </w:rPr>
              <w:t>43%</w:t>
            </w:r>
          </w:p>
        </w:tc>
      </w:tr>
      <w:tr>
        <w:tc>
          <w:tcPr>
            <w:tcW w:type="dxa" w:w="4320"/>
          </w:tcPr>
          <w:p>
            <w:pPr>
              <w:spacing w:before="40" w:after="40"/>
            </w:pPr>
            <w:r>
              <w:rPr>
                <w:rFonts w:ascii="Calibri" w:hAnsi="Calibri"/>
                <w:b/>
                <w:sz w:val="18"/>
              </w:rPr>
              <w:t>ROCE</w:t>
            </w:r>
          </w:p>
        </w:tc>
        <w:tc>
          <w:tcPr>
            <w:tcW w:type="dxa" w:w="4320"/>
          </w:tcPr>
          <w:p>
            <w:pPr>
              <w:spacing w:before="40" w:after="40"/>
            </w:pPr>
            <w:r>
              <w:rPr>
                <w:rFonts w:ascii="Calibri" w:hAnsi="Calibri"/>
                <w:sz w:val="18"/>
              </w:rPr>
              <w:t>45%</w:t>
            </w:r>
          </w:p>
        </w:tc>
      </w:tr>
      <w:tr>
        <w:tc>
          <w:tcPr>
            <w:tcW w:type="dxa" w:w="4320"/>
            <w:shd w:fill="E8F0FE"/>
          </w:tcPr>
          <w:p>
            <w:pPr>
              <w:spacing w:before="40" w:after="40"/>
            </w:pPr>
            <w:r>
              <w:rPr>
                <w:rFonts w:ascii="Calibri" w:hAnsi="Calibri"/>
                <w:b/>
                <w:sz w:val="18"/>
              </w:rPr>
              <w:t>Promoter Holding</w:t>
            </w:r>
          </w:p>
        </w:tc>
        <w:tc>
          <w:tcPr>
            <w:tcW w:type="dxa" w:w="4320"/>
            <w:shd w:fill="E8F0FE"/>
          </w:tcPr>
          <w:p>
            <w:pPr>
              <w:spacing w:before="40" w:after="40"/>
            </w:pPr>
            <w:r>
              <w:rPr>
                <w:rFonts w:ascii="Calibri" w:hAnsi="Calibri"/>
                <w:sz w:val="18"/>
              </w:rPr>
              <w:t>76.55%</w:t>
            </w:r>
          </w:p>
        </w:tc>
      </w:tr>
      <w:tr>
        <w:tc>
          <w:tcPr>
            <w:tcW w:type="dxa" w:w="4320"/>
          </w:tcPr>
          <w:p>
            <w:pPr>
              <w:spacing w:before="40" w:after="40"/>
            </w:pPr>
            <w:r>
              <w:rPr>
                <w:rFonts w:ascii="Calibri" w:hAnsi="Calibri"/>
                <w:b/>
                <w:sz w:val="18"/>
              </w:rPr>
              <w:t>Dividend Yield</w:t>
            </w:r>
          </w:p>
        </w:tc>
        <w:tc>
          <w:tcPr>
            <w:tcW w:type="dxa" w:w="4320"/>
          </w:tcPr>
          <w:p>
            <w:pPr>
              <w:spacing w:before="40" w:after="40"/>
            </w:pPr>
            <w:r>
              <w:rPr>
                <w:rFonts w:ascii="Calibri" w:hAnsi="Calibri"/>
                <w:sz w:val="18"/>
              </w:rPr>
              <w:t>0.00%</w:t>
            </w:r>
          </w:p>
        </w:tc>
      </w:tr>
    </w:tbl>
    <w:p/>
    <w:p>
      <w:pPr>
        <w:pStyle w:val="Heading1"/>
      </w:pPr>
      <w:r>
        <w:rPr>
          <w:rFonts w:ascii="Calibri" w:hAnsi="Calibri"/>
          <w:color w:val="1F5F8B"/>
          <w:sz w:val="32"/>
        </w:rPr>
        <w:t>1A. Company Brief</w:t>
      </w:r>
    </w:p>
    <w:p>
      <w:pPr>
        <w:spacing w:before="0" w:after="120"/>
      </w:pPr>
    </w:p>
    <w:p>
      <w:pPr>
        <w:spacing w:after="80"/>
      </w:pPr>
      <w:r>
        <w:rPr>
          <w:rFonts w:ascii="Calibri" w:hAnsi="Calibri"/>
          <w:color w:val="333333"/>
          <w:sz w:val="20"/>
        </w:rPr>
        <w:t>International Gemmological Institute Limited (IGIL) is a leading global entity specializing in the independent grading and certification of diamonds, gemstones, and jewelry. The company's core services encompass the detailed analysis and issuance of reports for natural diamonds (ND), lab-grown diamonds (LGD), natural diamond jewelry, lab-grown diamond jewelry, and various colored gemstones. Beyond certification, IGIL also provides value-added services such as diamond screening and sorting, catering to the evolving needs of the industry. A significant part of its offering includes gemological education, delivered through its IGI Schools of Gemology, which provides professional training and courses to industry participants.</w:t>
      </w:r>
    </w:p>
    <w:p>
      <w:pPr>
        <w:spacing w:after="80"/>
      </w:pPr>
      <w:r>
        <w:rPr>
          <w:rFonts w:ascii="Calibri" w:hAnsi="Calibri"/>
          <w:color w:val="333333"/>
          <w:sz w:val="20"/>
        </w:rPr>
        <w:t>As a service-oriented business, IGIL does not utilize traditional raw materials or produce finished goods in the manufacturing sense. Instead, its "inputs" are the diamonds, gemstones, and jewelry submitted for evaluation, and its "outputs" are the comprehensive certification reports and educational programs. Geographically, the company maintains a strong global footprint. For the 15-month period ending March 2026, consolidated revenue from operations showed a mix of approximately 75.7% from within India and 24.3% from outside India, highlighting its significant international presence. While specific installed capacities for certification are not quantified in terms of units per plant, the company's extensive network of laboratories and grading facilities across various countries (including Turkey, Belgium, Netherlands, USA, Israel, UAE, Hong Kong, Thailand, and China) underscores its operational scale. The current utilization levels are implied to be healthy, given the strong volume growth reported across segments. IGIL primarily serves the diamond growers, jewelry manufacturers, retailers, and end-consumers, playing a crucial role in ensuring trust and transparency throughout the diamond and jewelry value chain. The company's headquarters are located in Mumbai, India, with a network of subsidiaries and operations spanning key global diamond markets.</w:t>
      </w:r>
    </w:p>
    <w:p>
      <w:pPr>
        <w:pStyle w:val="Heading1"/>
      </w:pPr>
      <w:r>
        <w:rPr>
          <w:rFonts w:ascii="Calibri" w:hAnsi="Calibri"/>
          <w:color w:val="1F5F8B"/>
          <w:sz w:val="32"/>
        </w:rPr>
        <w:t>1B. News &amp; Industry Overview</w:t>
      </w:r>
    </w:p>
    <w:p>
      <w:pPr>
        <w:spacing w:before="0" w:after="120"/>
      </w:pPr>
    </w:p>
    <w:p>
      <w:pPr>
        <w:spacing w:after="80"/>
      </w:pPr>
      <w:r>
        <w:rPr>
          <w:rFonts w:ascii="Calibri" w:hAnsi="Calibri"/>
          <w:color w:val="333333"/>
          <w:sz w:val="20"/>
        </w:rPr>
        <w:t>International Gemmological Institute Limited has been in the news recently, primarily due to its successful Initial Public Offering (IPO) in December 2024. The IPO, backed by Blackstone, garnered significant interest, raising approximately INR 1,900 crore from anchor investors, signaling strong market confidence ahead of its listing on BSE and NSE. Following its listing, market sentiment has been generally positive, with experts signaling a strong debut. More recently, in May 2026, the company announced its financial results for the quarter and financial year ended March 31, 2026, accompanied by an investor presentation and an earnings call, providing updated insights into its performance and strategic direction.</w:t>
      </w:r>
    </w:p>
    <w:p>
      <w:pPr>
        <w:spacing w:after="80"/>
      </w:pPr>
      <w:r>
        <w:rPr>
          <w:rFonts w:ascii="Calibri" w:hAnsi="Calibri"/>
          <w:color w:val="333333"/>
          <w:sz w:val="20"/>
        </w:rPr>
        <w:t>The diamond and jewelry industry, in which IGIL operates, is experiencing dynamic shifts and robust growth tailwinds. Both natural diamond (ND) and lab-grown diamond (LGD) segments are witnessing strong demand. For NDs, resilient demand from engagement and bridal occasions, coupled with rising affluence and increased ticket sizes across geographies, continues to drive growth. The global ND jewelry market is estimated at $85-95 billion, with a CAGR of 3-5%. The LGD market, however, is undergoing an inflection point, characterized by rapid scale-up in volumes and increasing consumer adoption, especially among millennials and Gen Z. The global LGD jewelry market, currently $10-13 billion, is projected to grow at a robust 6-8% CAGR. India is emerging as a global manufacturing hub for LGDs, with growers planning to double their production capacity over the next three years starting Q1 CY26. LGD production capacity has seen approximately 4x growth in the last 3-4 years, with a 70% CAGR in gemstone LGD production capacity. This volume-scale phase structurally increases the need for certification. The industry is also seeing a shift towards value-added jewelry, with studded gold jewelry growing at a ~7% CAGR, and LGDs offering 30-40% higher retailer margins than NDs, making them an attractive category for retailers. Omnichannel expansion and branded retail-led growth are further accelerating consumer adoption. IGIL's presence across key diamond markets positions it well to capitalize on these global trends. The competitive landscape for certification is characterized by a duopoly market structure, with IGI being uniquely positioned as an independent certifier for both LGD and ND jewelry, giving it a strong competitive edge. Regulatory changes, such as the New Labour Codes in India effective November 2025, are being evaluated for their impact on employee benefits and overall operations.</w:t>
      </w:r>
    </w:p>
    <w:p>
      <w:pPr>
        <w:pStyle w:val="Heading1"/>
      </w:pPr>
      <w:r>
        <w:rPr>
          <w:rFonts w:ascii="Calibri" w:hAnsi="Calibri"/>
          <w:color w:val="1F5F8B"/>
          <w:sz w:val="32"/>
        </w:rPr>
        <w:t>2. Key Developments Over Past 1 Year</w:t>
      </w:r>
    </w:p>
    <w:p>
      <w:pPr>
        <w:spacing w:before="0" w:after="120"/>
      </w:pPr>
    </w:p>
    <w:p>
      <w:pPr>
        <w:pStyle w:val="Heading2"/>
      </w:pPr>
      <w:r>
        <w:rPr>
          <w:rFonts w:ascii="Calibri" w:hAnsi="Calibri"/>
          <w:color w:val="1F5F8B"/>
          <w:sz w:val="26"/>
        </w:rPr>
        <w:t>Initial Public Offering (IPO) and Listing</w:t>
      </w:r>
    </w:p>
    <w:p>
      <w:pPr>
        <w:spacing w:after="80"/>
      </w:pPr>
      <w:r>
        <w:rPr>
          <w:rFonts w:ascii="Calibri" w:hAnsi="Calibri"/>
          <w:color w:val="333333"/>
          <w:sz w:val="20"/>
        </w:rPr>
        <w:t>International Gemmological Institute Limited successfully completed its Initial Public Offering (IPO) and listed its shares on the stock exchanges on December 20, 2024. This event marked a significant milestone for the company, providing it with access to public capital markets and enhancing its visibility. The IPO was well-received, with strong participation from anchor investors, including Blackstone, which continues to be a major promoter.</w:t>
      </w:r>
    </w:p>
    <w:p>
      <w:pPr>
        <w:pStyle w:val="Heading2"/>
      </w:pPr>
      <w:r>
        <w:rPr>
          <w:rFonts w:ascii="Calibri" w:hAnsi="Calibri"/>
          <w:color w:val="1F5F8B"/>
          <w:sz w:val="26"/>
        </w:rPr>
        <w:t>Change in Financial Year</w:t>
      </w:r>
    </w:p>
    <w:p>
      <w:pPr>
        <w:spacing w:after="80"/>
      </w:pPr>
      <w:r>
        <w:rPr>
          <w:rFonts w:ascii="Calibri" w:hAnsi="Calibri"/>
          <w:color w:val="333333"/>
          <w:sz w:val="20"/>
        </w:rPr>
        <w:t>On November 5, 2025, the Board of Directors approved a change in the company's financial year. The financial year will now commence on April 1st and end on March 31st of the following year. As a transitional arrangement, the current financial year is for a 15-month period, starting from January 1, 2025, and concluding on March 31, 2026. This change aims to align the company's reporting with common industry practices and regulatory requirements.</w:t>
      </w:r>
    </w:p>
    <w:p>
      <w:pPr>
        <w:pStyle w:val="Heading2"/>
      </w:pPr>
      <w:r>
        <w:rPr>
          <w:rFonts w:ascii="Calibri" w:hAnsi="Calibri"/>
          <w:color w:val="1F5F8B"/>
          <w:sz w:val="26"/>
        </w:rPr>
        <w:t>Strategic Acquisition: AGL Holdco Inc., USA</w:t>
      </w:r>
    </w:p>
    <w:p>
      <w:pPr>
        <w:spacing w:after="80"/>
      </w:pPr>
      <w:r>
        <w:rPr>
          <w:rFonts w:ascii="Calibri" w:hAnsi="Calibri"/>
          <w:color w:val="333333"/>
          <w:sz w:val="20"/>
        </w:rPr>
        <w:t>In a move to expand its global footprint and service offerings, the company, at its Board meeting on January 31, 2026, approved an infusion of funds amounting to INR 813.78 million into its wholly-owned subsidiary, International Gemmological Institute BV (IGI Belgium). IGI Belgium, in turn, invested these funds into International Gemmological Institute Inc. (IGI USA), a step-down wholly-owned subsidiary. IGI USA utilized these funds to acquire a 100% equity stake in AGL Holdco Inc., USA, for a purchase consideration of USD 13.2 million. This acquisition has made AGL Holdco Inc. a step-down wholly-owned subsidiary of the company, enhancing its presence and capabilities in the US market.</w:t>
      </w:r>
    </w:p>
    <w:p>
      <w:pPr>
        <w:pStyle w:val="Heading2"/>
      </w:pPr>
      <w:r>
        <w:rPr>
          <w:rFonts w:ascii="Calibri" w:hAnsi="Calibri"/>
          <w:color w:val="1F5F8B"/>
          <w:sz w:val="26"/>
        </w:rPr>
        <w:t>SAST Disclosure and Promoter Share Encumbrance</w:t>
      </w:r>
    </w:p>
    <w:p>
      <w:pPr>
        <w:spacing w:after="80"/>
      </w:pPr>
      <w:r>
        <w:rPr>
          <w:rFonts w:ascii="Calibri" w:hAnsi="Calibri"/>
          <w:color w:val="333333"/>
          <w:sz w:val="20"/>
        </w:rPr>
        <w:t>On December 24, 2024, a disclosure under Regulation 29(1) of SEBI (Substantial Acquisition of Shares and Takeovers) Regulations, 2011, was made by Deutsche Bank Group (DB International Trust (Singapore) Limited acting as the Security Agent). This disclosure pertained to an indirect encumbrance over 33,08,35,799 equity shares, representing 76.55% of the equity share capital of International Gemmological Institute (India) Limited, held by BCP Asia II Topco Pte. Ltd. (the Borrower, which is the promoter). The encumbrance was created in favor of the Security Agent for the benefit of a consortium of lenders (including Barclays Bank PLC, Citibank N.A., HSBC, Investec Bank plc, Standard Chartered Bank, Sumitomo Mitsui Banking Corporation, Kookmin Bank Co., Ltd., Taishin International Bank Co., Ltd., Woori Bank, Taichung Commercial Bank Co., Ltd., Bank SinoPac Co., Ltd., CTBC Bank Co., Ltd., KDB Asia Limited, and KGI Bank Co., Ltd.) as part of a term loan facility availed by the Borrower. The pledge was created on September 7, 2023, prior to the company's listing. This indicates that a significant portion of the promoter's holding is pledged to secure financing.</w:t>
      </w:r>
    </w:p>
    <w:p>
      <w:pPr>
        <w:pStyle w:val="Heading2"/>
      </w:pPr>
      <w:r>
        <w:rPr>
          <w:rFonts w:ascii="Calibri" w:hAnsi="Calibri"/>
          <w:color w:val="1F5F8B"/>
          <w:sz w:val="26"/>
        </w:rPr>
        <w:t>New Labour Codes Implementation</w:t>
      </w:r>
    </w:p>
    <w:p>
      <w:pPr>
        <w:spacing w:after="80"/>
      </w:pPr>
      <w:r>
        <w:rPr>
          <w:rFonts w:ascii="Calibri" w:hAnsi="Calibri"/>
          <w:color w:val="333333"/>
          <w:sz w:val="20"/>
        </w:rPr>
        <w:t>The Government of India's New Labour Codes, consolidating 29 existing labor legislations into a unified framework, became effective from November 21, 2025. The company has estimated the revised gratuity liability and compensated absences as of March 31, 2026, in accordance with these new codes, recognizing the additional liability as part of employee benefit expenses in the previous reporting quarter and the 15-month financial year ended March 31, 2026. The full impact will be evaluated as related rules are notified.</w:t>
      </w:r>
    </w:p>
    <w:p>
      <w:pPr>
        <w:pStyle w:val="Heading1"/>
      </w:pPr>
      <w:r>
        <w:rPr>
          <w:rFonts w:ascii="Calibri" w:hAnsi="Calibri"/>
          <w:color w:val="1F5F8B"/>
          <w:sz w:val="32"/>
        </w:rPr>
        <w:t>3. Financial Analysis</w:t>
      </w:r>
    </w:p>
    <w:p>
      <w:pPr>
        <w:spacing w:before="0" w:after="120"/>
      </w:pPr>
    </w:p>
    <w:p>
      <w:pPr>
        <w:spacing w:after="80"/>
      </w:pPr>
      <w:r>
        <w:rPr>
          <w:rFonts w:ascii="Calibri" w:hAnsi="Calibri"/>
          <w:color w:val="333333"/>
          <w:sz w:val="20"/>
        </w:rPr>
        <w:t>The company has demonstrated robust financial performance for the 15-month period ending March 31, 2026. Consolidated revenue from operations stood at INR 15,976 million, marking an 18% growth over the comparable 15-month period (Jan 2024 - Mar 2025). This growth was primarily driven by strong certification volumes, which increased by 20% YoY to 16.45 million reports. EBITDA for the period reached INR 9,728 million, growing 22% YoY, with EBITDA margins expanding by 230 basis points to 60.9%. Profit After Tax (PAT) also saw a significant increase of 25% YoY to INR 7,112 million, with PAT margins improving by 269 basis points to 44.5%. The company's cash and cash equivalents, including bank balances other than cash and cash equivalents, stood at INR 8,005 million as of March 31, 2026, reflecting a healthy liquidity position.</w:t>
      </w:r>
    </w:p>
    <w:p>
      <w:pPr>
        <w:spacing w:after="80"/>
      </w:pPr>
      <w:r>
        <w:rPr>
          <w:rFonts w:ascii="Calibri" w:hAnsi="Calibri"/>
          <w:color w:val="333333"/>
          <w:sz w:val="20"/>
        </w:rPr>
        <w:t>Cash flow from operating activities for the 15-month period was strong at INR 6,241 million, driven by high profitability. Investing activities resulted in a net cash outflow of INR 3,385 million, primarily due to payments for property, plant, and equipment (including capital work-in-progress) and the acquisition of subsidiaries (AGL Holdco Inc.). Financing activities resulted in a net cash outflow of INR 3,622 million, mainly due to principal payments of lease liabilities and dividend payments, partially offset by IPO proceeds. The company's Free Cash Flow (FCF) to EBITDA conversion remained strong at 60% for 12M CY2025, indicating efficient cash generation from operations.</w:t>
      </w:r>
    </w:p>
    <w:p>
      <w:pPr>
        <w:pStyle w:val="Heading1"/>
      </w:pPr>
      <w:r>
        <w:rPr>
          <w:rFonts w:ascii="Calibri" w:hAnsi="Calibri"/>
          <w:color w:val="1F5F8B"/>
          <w:sz w:val="32"/>
        </w:rPr>
        <w:t>4. Corporate Governance Assessment</w:t>
      </w:r>
    </w:p>
    <w:p>
      <w:pPr>
        <w:spacing w:before="0" w:after="120"/>
      </w:pPr>
    </w:p>
    <w:p>
      <w:pPr>
        <w:pStyle w:val="Heading2"/>
      </w:pPr>
      <w:r>
        <w:rPr>
          <w:rFonts w:ascii="Calibri" w:hAnsi="Calibri"/>
          <w:color w:val="1F5F8B"/>
          <w:sz w:val="26"/>
        </w:rPr>
        <w:t>4.1 Board Composition</w:t>
      </w:r>
    </w:p>
    <w:tbl>
      <w:tblPr>
        <w:tblW w:type="auto" w:w="0"/>
        <w:jc w:val="center"/>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1F5F8B"/>
          </w:tcPr>
          <w:p>
            <w:pPr>
              <w:spacing w:before="40" w:after="40"/>
            </w:pPr>
            <w:r>
              <w:rPr>
                <w:rFonts w:ascii="Calibri" w:hAnsi="Calibri"/>
                <w:b/>
                <w:color w:val="FFFFFF"/>
                <w:sz w:val="18"/>
              </w:rPr>
              <w:t>Name</w:t>
            </w:r>
          </w:p>
        </w:tc>
        <w:tc>
          <w:tcPr>
            <w:tcW w:type="dxa" w:w="2880"/>
            <w:shd w:fill="1F5F8B"/>
          </w:tcPr>
          <w:p>
            <w:pPr>
              <w:spacing w:before="40" w:after="40"/>
            </w:pPr>
            <w:r>
              <w:rPr>
                <w:rFonts w:ascii="Calibri" w:hAnsi="Calibri"/>
                <w:b/>
                <w:color w:val="FFFFFF"/>
                <w:sz w:val="18"/>
              </w:rPr>
              <w:t>Designation</w:t>
            </w:r>
          </w:p>
        </w:tc>
        <w:tc>
          <w:tcPr>
            <w:tcW w:type="dxa" w:w="2880"/>
            <w:shd w:fill="1F5F8B"/>
          </w:tcPr>
          <w:p>
            <w:pPr>
              <w:spacing w:before="40" w:after="40"/>
            </w:pPr>
            <w:r>
              <w:rPr>
                <w:rFonts w:ascii="Calibri" w:hAnsi="Calibri"/>
                <w:b/>
                <w:color w:val="FFFFFF"/>
                <w:sz w:val="18"/>
              </w:rPr>
              <w:t>Category</w:t>
            </w:r>
          </w:p>
        </w:tc>
      </w:tr>
      <w:tr>
        <w:tc>
          <w:tcPr>
            <w:tcW w:type="dxa" w:w="2880"/>
          </w:tcPr>
          <w:p>
            <w:pPr>
              <w:spacing w:before="40" w:after="40"/>
            </w:pPr>
            <w:r>
              <w:rPr>
                <w:rFonts w:ascii="Calibri" w:hAnsi="Calibri"/>
                <w:b/>
                <w:sz w:val="18"/>
              </w:rPr>
              <w:t>ANOOP MEHTA</w:t>
            </w:r>
          </w:p>
        </w:tc>
        <w:tc>
          <w:tcPr>
            <w:tcW w:type="dxa" w:w="2880"/>
          </w:tcPr>
          <w:p>
            <w:pPr>
              <w:spacing w:before="40" w:after="40"/>
            </w:pPr>
            <w:r>
              <w:rPr>
                <w:rFonts w:ascii="Calibri" w:hAnsi="Calibri"/>
                <w:sz w:val="18"/>
              </w:rPr>
              <w:t>Chairman and Independent Director</w:t>
            </w:r>
          </w:p>
        </w:tc>
        <w:tc>
          <w:tcPr>
            <w:tcW w:type="dxa" w:w="2880"/>
          </w:tcPr>
          <w:p>
            <w:pPr>
              <w:spacing w:before="40" w:after="40"/>
            </w:pPr>
            <w:r>
              <w:rPr>
                <w:rFonts w:ascii="Calibri" w:hAnsi="Calibri"/>
                <w:sz w:val="18"/>
              </w:rPr>
              <w:t>Independent Director</w:t>
            </w:r>
          </w:p>
        </w:tc>
      </w:tr>
      <w:tr>
        <w:tc>
          <w:tcPr>
            <w:tcW w:type="dxa" w:w="2880"/>
            <w:shd w:fill="E8F0FE"/>
          </w:tcPr>
          <w:p>
            <w:pPr>
              <w:spacing w:before="40" w:after="40"/>
            </w:pPr>
            <w:r>
              <w:rPr>
                <w:rFonts w:ascii="Calibri" w:hAnsi="Calibri"/>
                <w:b/>
                <w:sz w:val="18"/>
              </w:rPr>
              <w:t>TEHMASP NARIMAN PRINTER</w:t>
            </w:r>
          </w:p>
        </w:tc>
        <w:tc>
          <w:tcPr>
            <w:tcW w:type="dxa" w:w="2880"/>
            <w:shd w:fill="E8F0FE"/>
          </w:tcPr>
          <w:p>
            <w:pPr>
              <w:spacing w:before="40" w:after="40"/>
            </w:pPr>
            <w:r>
              <w:rPr>
                <w:rFonts w:ascii="Calibri" w:hAnsi="Calibri"/>
                <w:sz w:val="18"/>
              </w:rPr>
              <w:t>Managing Director &amp; Chief Executive Officer</w:t>
            </w:r>
          </w:p>
        </w:tc>
        <w:tc>
          <w:tcPr>
            <w:tcW w:type="dxa" w:w="2880"/>
            <w:shd w:fill="E8F0FE"/>
          </w:tcPr>
          <w:p>
            <w:pPr>
              <w:spacing w:before="40" w:after="40"/>
            </w:pPr>
            <w:r>
              <w:rPr>
                <w:rFonts w:ascii="Calibri" w:hAnsi="Calibri"/>
                <w:sz w:val="18"/>
              </w:rPr>
              <w:t>Executive Director</w:t>
            </w:r>
          </w:p>
        </w:tc>
      </w:tr>
      <w:tr>
        <w:tc>
          <w:tcPr>
            <w:tcW w:type="dxa" w:w="2880"/>
          </w:tcPr>
          <w:p>
            <w:pPr>
              <w:spacing w:before="40" w:after="40"/>
            </w:pPr>
            <w:r>
              <w:rPr>
                <w:rFonts w:ascii="Calibri" w:hAnsi="Calibri"/>
                <w:b/>
                <w:sz w:val="18"/>
              </w:rPr>
              <w:t>PRATEEK ROONGTA</w:t>
            </w:r>
          </w:p>
        </w:tc>
        <w:tc>
          <w:tcPr>
            <w:tcW w:type="dxa" w:w="2880"/>
          </w:tcPr>
          <w:p>
            <w:pPr>
              <w:spacing w:before="40" w:after="40"/>
            </w:pPr>
            <w:r>
              <w:rPr>
                <w:rFonts w:ascii="Calibri" w:hAnsi="Calibri"/>
                <w:sz w:val="18"/>
              </w:rPr>
              <w:t>Non-Executive (Nominee) Director</w:t>
            </w:r>
          </w:p>
        </w:tc>
        <w:tc>
          <w:tcPr>
            <w:tcW w:type="dxa" w:w="2880"/>
          </w:tcPr>
          <w:p>
            <w:pPr>
              <w:spacing w:before="40" w:after="40"/>
            </w:pPr>
            <w:r>
              <w:rPr>
                <w:rFonts w:ascii="Calibri" w:hAnsi="Calibri"/>
                <w:sz w:val="18"/>
              </w:rPr>
              <w:t>Non-Executive, Nominee (Blackstone)</w:t>
            </w:r>
          </w:p>
        </w:tc>
      </w:tr>
      <w:tr>
        <w:tc>
          <w:tcPr>
            <w:tcW w:type="dxa" w:w="2880"/>
            <w:shd w:fill="E8F0FE"/>
          </w:tcPr>
          <w:p>
            <w:pPr>
              <w:spacing w:before="40" w:after="40"/>
            </w:pPr>
            <w:r>
              <w:rPr>
                <w:rFonts w:ascii="Calibri" w:hAnsi="Calibri"/>
                <w:b/>
                <w:sz w:val="18"/>
              </w:rPr>
              <w:t>MUKESH MEHTA</w:t>
            </w:r>
          </w:p>
        </w:tc>
        <w:tc>
          <w:tcPr>
            <w:tcW w:type="dxa" w:w="2880"/>
            <w:shd w:fill="E8F0FE"/>
          </w:tcPr>
          <w:p>
            <w:pPr>
              <w:spacing w:before="40" w:after="40"/>
            </w:pPr>
            <w:r>
              <w:rPr>
                <w:rFonts w:ascii="Calibri" w:hAnsi="Calibri"/>
                <w:sz w:val="18"/>
              </w:rPr>
              <w:t>Non-Executive (Nominee) Director</w:t>
            </w:r>
          </w:p>
        </w:tc>
        <w:tc>
          <w:tcPr>
            <w:tcW w:type="dxa" w:w="2880"/>
            <w:shd w:fill="E8F0FE"/>
          </w:tcPr>
          <w:p>
            <w:pPr>
              <w:spacing w:before="40" w:after="40"/>
            </w:pPr>
            <w:r>
              <w:rPr>
                <w:rFonts w:ascii="Calibri" w:hAnsi="Calibri"/>
                <w:sz w:val="18"/>
              </w:rPr>
              <w:t>Non-Executive, Nominee (Blackstone)</w:t>
            </w:r>
          </w:p>
        </w:tc>
      </w:tr>
      <w:tr>
        <w:tc>
          <w:tcPr>
            <w:tcW w:type="dxa" w:w="2880"/>
          </w:tcPr>
          <w:p>
            <w:pPr>
              <w:spacing w:before="40" w:after="40"/>
            </w:pPr>
            <w:r>
              <w:rPr>
                <w:rFonts w:ascii="Calibri" w:hAnsi="Calibri"/>
                <w:b/>
                <w:sz w:val="18"/>
              </w:rPr>
              <w:t>TEJAS NAPHADE</w:t>
            </w:r>
          </w:p>
        </w:tc>
        <w:tc>
          <w:tcPr>
            <w:tcW w:type="dxa" w:w="2880"/>
          </w:tcPr>
          <w:p>
            <w:pPr>
              <w:spacing w:before="40" w:after="40"/>
            </w:pPr>
            <w:r>
              <w:rPr>
                <w:rFonts w:ascii="Calibri" w:hAnsi="Calibri"/>
                <w:sz w:val="18"/>
              </w:rPr>
              <w:t>Non-Executive (Nominee) Director</w:t>
            </w:r>
          </w:p>
        </w:tc>
        <w:tc>
          <w:tcPr>
            <w:tcW w:type="dxa" w:w="2880"/>
          </w:tcPr>
          <w:p>
            <w:pPr>
              <w:spacing w:before="40" w:after="40"/>
            </w:pPr>
            <w:r>
              <w:rPr>
                <w:rFonts w:ascii="Calibri" w:hAnsi="Calibri"/>
                <w:sz w:val="18"/>
              </w:rPr>
              <w:t>Non-Executive, Nominee (Blackstone)</w:t>
            </w:r>
          </w:p>
        </w:tc>
      </w:tr>
      <w:tr>
        <w:tc>
          <w:tcPr>
            <w:tcW w:type="dxa" w:w="2880"/>
            <w:shd w:fill="E8F0FE"/>
          </w:tcPr>
          <w:p>
            <w:pPr>
              <w:spacing w:before="40" w:after="40"/>
            </w:pPr>
            <w:r>
              <w:rPr>
                <w:rFonts w:ascii="Calibri" w:hAnsi="Calibri"/>
                <w:b/>
                <w:sz w:val="18"/>
              </w:rPr>
              <w:t>BIMAL TANNA</w:t>
            </w:r>
          </w:p>
        </w:tc>
        <w:tc>
          <w:tcPr>
            <w:tcW w:type="dxa" w:w="2880"/>
            <w:shd w:fill="E8F0FE"/>
          </w:tcPr>
          <w:p>
            <w:pPr>
              <w:spacing w:before="40" w:after="40"/>
            </w:pPr>
            <w:r>
              <w:rPr>
                <w:rFonts w:ascii="Calibri" w:hAnsi="Calibri"/>
                <w:sz w:val="18"/>
              </w:rPr>
              <w:t>Independent Director</w:t>
            </w:r>
          </w:p>
        </w:tc>
        <w:tc>
          <w:tcPr>
            <w:tcW w:type="dxa" w:w="2880"/>
            <w:shd w:fill="E8F0FE"/>
          </w:tcPr>
          <w:p>
            <w:pPr>
              <w:spacing w:before="40" w:after="40"/>
            </w:pPr>
            <w:r>
              <w:rPr>
                <w:rFonts w:ascii="Calibri" w:hAnsi="Calibri"/>
                <w:sz w:val="18"/>
              </w:rPr>
              <w:t>Independent Director</w:t>
            </w:r>
          </w:p>
        </w:tc>
      </w:tr>
      <w:tr>
        <w:tc>
          <w:tcPr>
            <w:tcW w:type="dxa" w:w="2880"/>
          </w:tcPr>
          <w:p>
            <w:pPr>
              <w:spacing w:before="40" w:after="40"/>
            </w:pPr>
            <w:r>
              <w:rPr>
                <w:rFonts w:ascii="Calibri" w:hAnsi="Calibri"/>
                <w:b/>
                <w:sz w:val="18"/>
              </w:rPr>
              <w:t>SANGEETA TANWANI</w:t>
            </w:r>
          </w:p>
        </w:tc>
        <w:tc>
          <w:tcPr>
            <w:tcW w:type="dxa" w:w="2880"/>
          </w:tcPr>
          <w:p>
            <w:pPr>
              <w:spacing w:before="40" w:after="40"/>
            </w:pPr>
            <w:r>
              <w:rPr>
                <w:rFonts w:ascii="Calibri" w:hAnsi="Calibri"/>
                <w:sz w:val="18"/>
              </w:rPr>
              <w:t>Independent Director</w:t>
            </w:r>
          </w:p>
        </w:tc>
        <w:tc>
          <w:tcPr>
            <w:tcW w:type="dxa" w:w="2880"/>
          </w:tcPr>
          <w:p>
            <w:pPr>
              <w:spacing w:before="40" w:after="40"/>
            </w:pPr>
            <w:r>
              <w:rPr>
                <w:rFonts w:ascii="Calibri" w:hAnsi="Calibri"/>
                <w:sz w:val="18"/>
              </w:rPr>
              <w:t>Independent Director</w:t>
            </w:r>
          </w:p>
        </w:tc>
      </w:tr>
    </w:tbl>
    <w:p/>
    <w:p>
      <w:pPr>
        <w:pStyle w:val="Heading2"/>
      </w:pPr>
      <w:r>
        <w:rPr>
          <w:rFonts w:ascii="Calibri" w:hAnsi="Calibri"/>
          <w:color w:val="1F5F8B"/>
          <w:sz w:val="26"/>
        </w:rPr>
        <w:t>4.2 Governance Strengths</w:t>
      </w:r>
    </w:p>
    <w:p>
      <w:pPr>
        <w:pStyle w:val="ListBullet"/>
        <w:spacing w:after="80"/>
      </w:pPr>
      <w:r>
        <w:rPr>
          <w:rFonts w:ascii="Calibri" w:hAnsi="Calibri"/>
          <w:color w:val="333333"/>
          <w:sz w:val="20"/>
        </w:rPr>
        <w:t xml:space="preserve">  </w:t>
      </w:r>
      <w:r>
        <w:rPr>
          <w:rFonts w:ascii="Calibri" w:hAnsi="Calibri"/>
          <w:b/>
          <w:color w:val="333333"/>
          <w:sz w:val="20"/>
        </w:rPr>
        <w:t>Independent Board Leadership:</w:t>
      </w:r>
      <w:r>
        <w:rPr>
          <w:rFonts w:ascii="Calibri" w:hAnsi="Calibri"/>
          <w:color w:val="333333"/>
          <w:sz w:val="20"/>
        </w:rPr>
        <w:t xml:space="preserve"> The presence of an Independent Chairman, Anoop Mehta, with over 30 years of experience in the diamond industry, provides strong independent oversight.</w:t>
      </w:r>
    </w:p>
    <w:p>
      <w:pPr>
        <w:pStyle w:val="ListBullet"/>
        <w:spacing w:after="80"/>
      </w:pPr>
      <w:r>
        <w:rPr>
          <w:rFonts w:ascii="Calibri" w:hAnsi="Calibri"/>
          <w:color w:val="333333"/>
          <w:sz w:val="20"/>
        </w:rPr>
        <w:t xml:space="preserve">  </w:t>
      </w:r>
      <w:r>
        <w:rPr>
          <w:rFonts w:ascii="Calibri" w:hAnsi="Calibri"/>
          <w:b/>
          <w:color w:val="333333"/>
          <w:sz w:val="20"/>
        </w:rPr>
        <w:t>Experienced Independent Directors:</w:t>
      </w:r>
      <w:r>
        <w:rPr>
          <w:rFonts w:ascii="Calibri" w:hAnsi="Calibri"/>
          <w:color w:val="333333"/>
          <w:sz w:val="20"/>
        </w:rPr>
        <w:t xml:space="preserve"> The board includes seasoned professionals like Bimal Tanna (ex-Partner, PwC) and Sangeeta Tanwani (CEO, Pantaloons), bringing diverse expertise and independent perspectives.</w:t>
      </w:r>
    </w:p>
    <w:p>
      <w:pPr>
        <w:pStyle w:val="ListBullet"/>
        <w:spacing w:after="80"/>
      </w:pPr>
      <w:r>
        <w:rPr>
          <w:rFonts w:ascii="Calibri" w:hAnsi="Calibri"/>
          <w:color w:val="333333"/>
          <w:sz w:val="20"/>
        </w:rPr>
        <w:t xml:space="preserve">  </w:t>
      </w:r>
      <w:r>
        <w:rPr>
          <w:rFonts w:ascii="Calibri" w:hAnsi="Calibri"/>
          <w:b/>
          <w:color w:val="333333"/>
          <w:sz w:val="20"/>
        </w:rPr>
        <w:t>Unmodified Auditor Opinion:</w:t>
      </w:r>
      <w:r>
        <w:rPr>
          <w:rFonts w:ascii="Calibri" w:hAnsi="Calibri"/>
          <w:color w:val="333333"/>
          <w:sz w:val="20"/>
        </w:rPr>
        <w:t xml:space="preserve"> The statutory auditors, MSKA &amp; Associates LLP, have issued an unmodified opinion on both standalone and consolidated financial results for the quarter and financial year ended March 31, 2026, indicating sound financial reporting practices.</w:t>
      </w:r>
    </w:p>
    <w:p>
      <w:pPr>
        <w:pStyle w:val="ListBullet"/>
        <w:spacing w:after="80"/>
      </w:pPr>
      <w:r>
        <w:rPr>
          <w:rFonts w:ascii="Calibri" w:hAnsi="Calibri"/>
          <w:color w:val="333333"/>
          <w:sz w:val="20"/>
        </w:rPr>
        <w:t xml:space="preserve">  </w:t>
      </w:r>
      <w:r>
        <w:rPr>
          <w:rFonts w:ascii="Calibri" w:hAnsi="Calibri"/>
          <w:b/>
          <w:color w:val="333333"/>
          <w:sz w:val="20"/>
        </w:rPr>
        <w:t>Blackstone Backing:</w:t>
      </w:r>
      <w:r>
        <w:rPr>
          <w:rFonts w:ascii="Calibri" w:hAnsi="Calibri"/>
          <w:color w:val="333333"/>
          <w:sz w:val="20"/>
        </w:rPr>
        <w:t xml:space="preserve"> As a Blackstone-backed company, IGIL likely benefits from robust internal controls, compliance frameworks, and corporate governance standards typically associated with large private equity firms.</w:t>
      </w:r>
    </w:p>
    <w:p>
      <w:pPr>
        <w:pStyle w:val="ListBullet"/>
        <w:spacing w:after="80"/>
      </w:pPr>
      <w:r>
        <w:rPr>
          <w:rFonts w:ascii="Calibri" w:hAnsi="Calibri"/>
          <w:color w:val="333333"/>
          <w:sz w:val="20"/>
        </w:rPr>
        <w:t xml:space="preserve">  </w:t>
      </w:r>
      <w:r>
        <w:rPr>
          <w:rFonts w:ascii="Calibri" w:hAnsi="Calibri"/>
          <w:b/>
          <w:color w:val="333333"/>
          <w:sz w:val="20"/>
        </w:rPr>
        <w:t>Transparency:</w:t>
      </w:r>
      <w:r>
        <w:rPr>
          <w:rFonts w:ascii="Calibri" w:hAnsi="Calibri"/>
          <w:color w:val="333333"/>
          <w:sz w:val="20"/>
        </w:rPr>
        <w:t xml:space="preserve"> The company regularly publishes investor presentations and earnings call recordings, demonstrating a commitment to transparency with its stakeholders.</w:t>
      </w:r>
    </w:p>
    <w:p>
      <w:pPr>
        <w:pStyle w:val="Heading2"/>
      </w:pPr>
      <w:r>
        <w:rPr>
          <w:rFonts w:ascii="Calibri" w:hAnsi="Calibri"/>
          <w:color w:val="1F5F8B"/>
          <w:sz w:val="26"/>
        </w:rPr>
        <w:t>4.3 Governance Concerns / Watchpoints</w:t>
      </w:r>
    </w:p>
    <w:p>
      <w:pPr>
        <w:pStyle w:val="ListBullet"/>
        <w:spacing w:after="80"/>
      </w:pPr>
      <w:r>
        <w:rPr>
          <w:rFonts w:ascii="Calibri" w:hAnsi="Calibri"/>
          <w:color w:val="333333"/>
          <w:sz w:val="20"/>
        </w:rPr>
        <w:t xml:space="preserve">  </w:t>
      </w:r>
      <w:r>
        <w:rPr>
          <w:rFonts w:ascii="Calibri" w:hAnsi="Calibri"/>
          <w:b/>
          <w:color w:val="333333"/>
          <w:sz w:val="20"/>
        </w:rPr>
        <w:t>High Promoter Holding with Encumbrance:</w:t>
      </w:r>
      <w:r>
        <w:rPr>
          <w:rFonts w:ascii="Calibri" w:hAnsi="Calibri"/>
          <w:color w:val="333333"/>
          <w:sz w:val="20"/>
        </w:rPr>
        <w:t xml:space="preserve"> A significant 76.55% of the company's equity is held by the promoter (BCP Asia II Topco Pte. Ltd.), and this entire holding is indirectly encumbered (pledged) to a consortium of lenders. While common for PE-backed companies, a high pledge percentage can be a watchpoint for potential liquidity issues for the promoter or forced selling in adverse market conditions, though the security agent's role is for the benefit of lenders.</w:t>
      </w:r>
    </w:p>
    <w:p>
      <w:pPr>
        <w:pStyle w:val="ListBullet"/>
        <w:spacing w:after="80"/>
      </w:pPr>
      <w:r>
        <w:rPr>
          <w:rFonts w:ascii="Calibri" w:hAnsi="Calibri"/>
          <w:color w:val="333333"/>
          <w:sz w:val="20"/>
        </w:rPr>
        <w:t xml:space="preserve">  </w:t>
      </w:r>
      <w:r>
        <w:rPr>
          <w:rFonts w:ascii="Calibri" w:hAnsi="Calibri"/>
          <w:b/>
          <w:color w:val="333333"/>
          <w:sz w:val="20"/>
        </w:rPr>
        <w:t>Related Party Transactions:</w:t>
      </w:r>
      <w:r>
        <w:rPr>
          <w:rFonts w:ascii="Calibri" w:hAnsi="Calibri"/>
          <w:color w:val="333333"/>
          <w:sz w:val="20"/>
        </w:rPr>
        <w:t xml:space="preserve"> The acquisition of AGL Holdco Inc. involved an infusion of funds into wholly-owned subsidiaries, which is a related party transaction. While this is a strategic move, the nature and terms of such transactions warrant continuous monitoring.</w:t>
      </w:r>
    </w:p>
    <w:p>
      <w:pPr>
        <w:pStyle w:val="ListBullet"/>
        <w:spacing w:after="80"/>
      </w:pPr>
      <w:r>
        <w:rPr>
          <w:rFonts w:ascii="Calibri" w:hAnsi="Calibri"/>
          <w:color w:val="333333"/>
          <w:sz w:val="20"/>
        </w:rPr>
        <w:t xml:space="preserve">  </w:t>
      </w:r>
      <w:r>
        <w:rPr>
          <w:rFonts w:ascii="Calibri" w:hAnsi="Calibri"/>
          <w:b/>
          <w:color w:val="333333"/>
          <w:sz w:val="20"/>
        </w:rPr>
        <w:t>Nominee Directors:</w:t>
      </w:r>
      <w:r>
        <w:rPr>
          <w:rFonts w:ascii="Calibri" w:hAnsi="Calibri"/>
          <w:color w:val="333333"/>
          <w:sz w:val="20"/>
        </w:rPr>
        <w:t xml:space="preserve"> A significant portion of the non-executive directors are nominees from Blackstone, which, while bringing expertise, also represents the interests of the promoter.</w:t>
      </w:r>
    </w:p>
    <w:p>
      <w:pPr>
        <w:pStyle w:val="Heading2"/>
      </w:pPr>
      <w:r>
        <w:rPr>
          <w:rFonts w:ascii="Calibri" w:hAnsi="Calibri"/>
          <w:color w:val="1F5F8B"/>
          <w:sz w:val="26"/>
        </w:rPr>
        <w:t>4.4 Shareholding Pattern</w:t>
      </w:r>
    </w:p>
    <w:tbl>
      <w:tblPr>
        <w:tblW w:type="auto" w:w="0"/>
        <w:jc w:val="center"/>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1F5F8B"/>
          </w:tcPr>
          <w:p>
            <w:pPr>
              <w:spacing w:before="40" w:after="40"/>
            </w:pPr>
            <w:r>
              <w:rPr>
                <w:rFonts w:ascii="Calibri" w:hAnsi="Calibri"/>
                <w:b/>
                <w:color w:val="FFFFFF"/>
                <w:sz w:val="18"/>
              </w:rPr>
              <w:t>Category</w:t>
            </w:r>
          </w:p>
        </w:tc>
        <w:tc>
          <w:tcPr>
            <w:tcW w:type="dxa" w:w="2880"/>
            <w:shd w:fill="1F5F8B"/>
          </w:tcPr>
          <w:p>
            <w:pPr>
              <w:spacing w:before="40" w:after="40"/>
            </w:pPr>
            <w:r>
              <w:rPr>
                <w:rFonts w:ascii="Calibri" w:hAnsi="Calibri"/>
                <w:b/>
                <w:color w:val="FFFFFF"/>
                <w:sz w:val="18"/>
              </w:rPr>
              <w:t>No. of Shares</w:t>
            </w:r>
          </w:p>
        </w:tc>
        <w:tc>
          <w:tcPr>
            <w:tcW w:type="dxa" w:w="2880"/>
            <w:shd w:fill="1F5F8B"/>
          </w:tcPr>
          <w:p>
            <w:pPr>
              <w:spacing w:before="40" w:after="40"/>
            </w:pPr>
            <w:r>
              <w:rPr>
                <w:rFonts w:ascii="Calibri" w:hAnsi="Calibri"/>
                <w:b/>
                <w:color w:val="FFFFFF"/>
                <w:sz w:val="18"/>
              </w:rPr>
              <w:t>% Holding</w:t>
            </w:r>
          </w:p>
        </w:tc>
      </w:tr>
      <w:tr>
        <w:tc>
          <w:tcPr>
            <w:tcW w:type="dxa" w:w="2880"/>
          </w:tcPr>
          <w:p>
            <w:pPr>
              <w:spacing w:before="40" w:after="40"/>
            </w:pPr>
            <w:r>
              <w:rPr>
                <w:rFonts w:ascii="Calibri" w:hAnsi="Calibri"/>
                <w:b/>
                <w:sz w:val="18"/>
              </w:rPr>
              <w:t>Promoters &amp; PAIC</w:t>
            </w:r>
          </w:p>
        </w:tc>
        <w:tc>
          <w:tcPr>
            <w:tcW w:type="dxa" w:w="2880"/>
          </w:tcPr>
          <w:p>
            <w:pPr>
              <w:spacing w:before="40" w:after="40"/>
            </w:pPr>
            <w:r>
              <w:rPr>
                <w:rFonts w:ascii="Calibri" w:hAnsi="Calibri"/>
                <w:sz w:val="18"/>
              </w:rPr>
              <w:t>33,08,35,799</w:t>
            </w:r>
          </w:p>
        </w:tc>
        <w:tc>
          <w:tcPr>
            <w:tcW w:type="dxa" w:w="2880"/>
          </w:tcPr>
          <w:p>
            <w:pPr>
              <w:spacing w:before="40" w:after="40"/>
            </w:pPr>
            <w:r>
              <w:rPr>
                <w:rFonts w:ascii="Calibri" w:hAnsi="Calibri"/>
                <w:sz w:val="18"/>
              </w:rPr>
              <w:t>76.55%</w:t>
            </w:r>
          </w:p>
        </w:tc>
      </w:tr>
      <w:tr>
        <w:tc>
          <w:tcPr>
            <w:tcW w:type="dxa" w:w="2880"/>
            <w:shd w:fill="E8F0FE"/>
          </w:tcPr>
          <w:p>
            <w:pPr>
              <w:spacing w:before="40" w:after="40"/>
            </w:pPr>
            <w:r>
              <w:rPr>
                <w:rFonts w:ascii="Calibri" w:hAnsi="Calibri"/>
                <w:b/>
                <w:sz w:val="18"/>
              </w:rPr>
              <w:t>Banks, FIs, Mutual Funds (DIIs)</w:t>
            </w:r>
          </w:p>
        </w:tc>
        <w:tc>
          <w:tcPr>
            <w:tcW w:type="dxa" w:w="2880"/>
            <w:shd w:fill="E8F0FE"/>
          </w:tcPr>
          <w:p>
            <w:pPr>
              <w:spacing w:before="40" w:after="40"/>
            </w:pPr>
            <w:r>
              <w:rPr>
                <w:rFonts w:ascii="Calibri" w:hAnsi="Calibri"/>
                <w:sz w:val="18"/>
              </w:rPr>
              <w:t>2,75,81,424</w:t>
            </w:r>
          </w:p>
        </w:tc>
        <w:tc>
          <w:tcPr>
            <w:tcW w:type="dxa" w:w="2880"/>
            <w:shd w:fill="E8F0FE"/>
          </w:tcPr>
          <w:p>
            <w:pPr>
              <w:spacing w:before="40" w:after="40"/>
            </w:pPr>
            <w:r>
              <w:rPr>
                <w:rFonts w:ascii="Calibri" w:hAnsi="Calibri"/>
                <w:sz w:val="18"/>
              </w:rPr>
              <w:t>6.38%</w:t>
            </w:r>
          </w:p>
        </w:tc>
      </w:tr>
      <w:tr>
        <w:tc>
          <w:tcPr>
            <w:tcW w:type="dxa" w:w="2880"/>
          </w:tcPr>
          <w:p>
            <w:pPr>
              <w:spacing w:before="40" w:after="40"/>
            </w:pPr>
            <w:r>
              <w:rPr>
                <w:rFonts w:ascii="Calibri" w:hAnsi="Calibri"/>
                <w:b/>
                <w:sz w:val="18"/>
              </w:rPr>
              <w:t>FIIs, NRIs &amp; FPI</w:t>
            </w:r>
          </w:p>
        </w:tc>
        <w:tc>
          <w:tcPr>
            <w:tcW w:type="dxa" w:w="2880"/>
          </w:tcPr>
          <w:p>
            <w:pPr>
              <w:spacing w:before="40" w:after="40"/>
            </w:pPr>
            <w:r>
              <w:rPr>
                <w:rFonts w:ascii="Calibri" w:hAnsi="Calibri"/>
                <w:sz w:val="18"/>
              </w:rPr>
              <w:t>3,71,65,734</w:t>
            </w:r>
          </w:p>
        </w:tc>
        <w:tc>
          <w:tcPr>
            <w:tcW w:type="dxa" w:w="2880"/>
          </w:tcPr>
          <w:p>
            <w:pPr>
              <w:spacing w:before="40" w:after="40"/>
            </w:pPr>
            <w:r>
              <w:rPr>
                <w:rFonts w:ascii="Calibri" w:hAnsi="Calibri"/>
                <w:sz w:val="18"/>
              </w:rPr>
              <w:t>8.60%</w:t>
            </w:r>
          </w:p>
        </w:tc>
      </w:tr>
      <w:tr>
        <w:tc>
          <w:tcPr>
            <w:tcW w:type="dxa" w:w="2880"/>
            <w:shd w:fill="E8F0FE"/>
          </w:tcPr>
          <w:p>
            <w:pPr>
              <w:spacing w:before="40" w:after="40"/>
            </w:pPr>
            <w:r>
              <w:rPr>
                <w:rFonts w:ascii="Calibri" w:hAnsi="Calibri"/>
                <w:b/>
                <w:sz w:val="18"/>
              </w:rPr>
              <w:t>Public</w:t>
            </w:r>
          </w:p>
        </w:tc>
        <w:tc>
          <w:tcPr>
            <w:tcW w:type="dxa" w:w="2880"/>
            <w:shd w:fill="E8F0FE"/>
          </w:tcPr>
          <w:p>
            <w:pPr>
              <w:spacing w:before="40" w:after="40"/>
            </w:pPr>
            <w:r>
              <w:rPr>
                <w:rFonts w:ascii="Calibri" w:hAnsi="Calibri"/>
                <w:sz w:val="18"/>
              </w:rPr>
              <w:t>3,65,00,539</w:t>
            </w:r>
          </w:p>
        </w:tc>
        <w:tc>
          <w:tcPr>
            <w:tcW w:type="dxa" w:w="2880"/>
            <w:shd w:fill="E8F0FE"/>
          </w:tcPr>
          <w:p>
            <w:pPr>
              <w:spacing w:before="40" w:after="40"/>
            </w:pPr>
            <w:r>
              <w:rPr>
                <w:rFonts w:ascii="Calibri" w:hAnsi="Calibri"/>
                <w:sz w:val="18"/>
              </w:rPr>
              <w:t>8.45%</w:t>
            </w:r>
          </w:p>
        </w:tc>
      </w:tr>
      <w:tr>
        <w:tc>
          <w:tcPr>
            <w:tcW w:type="dxa" w:w="2880"/>
          </w:tcPr>
          <w:p>
            <w:pPr>
              <w:spacing w:before="40" w:after="40"/>
            </w:pPr>
            <w:r>
              <w:rPr>
                <w:rFonts w:ascii="Calibri" w:hAnsi="Calibri"/>
                <w:b/>
                <w:sz w:val="18"/>
              </w:rPr>
              <w:t>**Total**</w:t>
            </w:r>
          </w:p>
        </w:tc>
        <w:tc>
          <w:tcPr>
            <w:tcW w:type="dxa" w:w="2880"/>
          </w:tcPr>
          <w:p>
            <w:pPr>
              <w:spacing w:before="40" w:after="40"/>
            </w:pPr>
            <w:r>
              <w:rPr>
                <w:rFonts w:ascii="Calibri" w:hAnsi="Calibri"/>
                <w:sz w:val="18"/>
              </w:rPr>
              <w:t>**43,20,83,496**</w:t>
            </w:r>
          </w:p>
        </w:tc>
        <w:tc>
          <w:tcPr>
            <w:tcW w:type="dxa" w:w="2880"/>
          </w:tcPr>
          <w:p>
            <w:pPr>
              <w:spacing w:before="40" w:after="40"/>
            </w:pPr>
            <w:r>
              <w:rPr>
                <w:rFonts w:ascii="Calibri" w:hAnsi="Calibri"/>
                <w:sz w:val="18"/>
              </w:rPr>
              <w:t>**100.00%**</w:t>
            </w:r>
          </w:p>
        </w:tc>
      </w:tr>
    </w:tbl>
    <w:p/>
    <w:p>
      <w:r>
        <w:rPr>
          <w:rFonts w:ascii="Calibri" w:hAnsi="Calibri"/>
          <w:i/>
          <w:color w:val="666666"/>
          <w:sz w:val="18"/>
        </w:rPr>
        <w:t>Note: The total number of shares is calculated based on the Equity Share Capital of INR 864.32 million and face value of INR 2 per share (864.32 / 2 = 432.16 million shares or 43,21,60,000 shares). There is a slight discrepancy in the sum of shares from the percentage breakdown vs. total shares from equity capital, likely due to rounding or minor differences in reporting dates.</w:t>
      </w:r>
    </w:p>
    <w:p>
      <w:pPr>
        <w:spacing w:after="80"/>
      </w:pPr>
      <w:r>
        <w:rPr>
          <w:rFonts w:ascii="Calibri" w:hAnsi="Calibri"/>
          <w:color w:val="333333"/>
          <w:sz w:val="20"/>
        </w:rPr>
        <w:t>The promoter group, led by Blackstone, holds a dominant stake of 76.55%. Key institutional investors include ICICI Prudential Asset Management (2.89% of DIIs), Abu Dhabi Investment Authority - Monsoon (1.34% of FIIs), and Government of Singapore (1.32% of FIIs), indicating strong institutional confidence in the company.</w:t>
      </w:r>
    </w:p>
    <w:p>
      <w:pPr>
        <w:pStyle w:val="Heading2"/>
      </w:pPr>
      <w:r>
        <w:rPr>
          <w:rFonts w:ascii="Calibri" w:hAnsi="Calibri"/>
          <w:color w:val="1F5F8B"/>
          <w:sz w:val="26"/>
        </w:rPr>
        <w:t>4.5 Insider Trading Activity (Last 3 Years)</w:t>
      </w:r>
    </w:p>
    <w:tbl>
      <w:tblPr>
        <w:tblW w:type="auto" w:w="0"/>
        <w:jc w:val="center"/>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1F5F8B"/>
          </w:tcPr>
          <w:p>
            <w:pPr>
              <w:spacing w:before="40" w:after="40"/>
            </w:pPr>
            <w:r>
              <w:rPr>
                <w:rFonts w:ascii="Calibri" w:hAnsi="Calibri"/>
                <w:b/>
                <w:color w:val="FFFFFF"/>
                <w:sz w:val="18"/>
              </w:rPr>
              <w:t>Transaction Type</w:t>
            </w:r>
          </w:p>
        </w:tc>
        <w:tc>
          <w:tcPr>
            <w:tcW w:type="dxa" w:w="2880"/>
            <w:shd w:fill="1F5F8B"/>
          </w:tcPr>
          <w:p>
            <w:pPr>
              <w:spacing w:before="40" w:after="40"/>
            </w:pPr>
            <w:r>
              <w:rPr>
                <w:rFonts w:ascii="Calibri" w:hAnsi="Calibri"/>
                <w:b/>
                <w:color w:val="FFFFFF"/>
                <w:sz w:val="18"/>
              </w:rPr>
              <w:t>Total Shares</w:t>
            </w:r>
          </w:p>
        </w:tc>
        <w:tc>
          <w:tcPr>
            <w:tcW w:type="dxa" w:w="2880"/>
            <w:shd w:fill="1F5F8B"/>
          </w:tcPr>
          <w:p>
            <w:pPr>
              <w:spacing w:before="40" w:after="40"/>
            </w:pPr>
            <w:r>
              <w:rPr>
                <w:rFonts w:ascii="Calibri" w:hAnsi="Calibri"/>
                <w:b/>
                <w:color w:val="FFFFFF"/>
                <w:sz w:val="18"/>
              </w:rPr>
              <w:t>Total Value (Rs.)</w:t>
            </w:r>
          </w:p>
        </w:tc>
      </w:tr>
      <w:tr>
        <w:tc>
          <w:tcPr>
            <w:tcW w:type="dxa" w:w="2880"/>
          </w:tcPr>
          <w:p>
            <w:pPr>
              <w:spacing w:before="40" w:after="40"/>
            </w:pPr>
            <w:r>
              <w:rPr>
                <w:rFonts w:ascii="Calibri" w:hAnsi="Calibri"/>
                <w:b/>
                <w:sz w:val="18"/>
              </w:rPr>
              <w:t>Market Purchases</w:t>
            </w:r>
          </w:p>
        </w:tc>
        <w:tc>
          <w:tcPr>
            <w:tcW w:type="dxa" w:w="2880"/>
          </w:tcPr>
          <w:p>
            <w:pPr>
              <w:spacing w:before="40" w:after="40"/>
            </w:pPr>
            <w:r>
              <w:rPr>
                <w:rFonts w:ascii="Calibri" w:hAnsi="Calibri"/>
                <w:sz w:val="18"/>
              </w:rPr>
              <w:t>0</w:t>
            </w:r>
          </w:p>
        </w:tc>
        <w:tc>
          <w:tcPr>
            <w:tcW w:type="dxa" w:w="2880"/>
          </w:tcPr>
          <w:p>
            <w:pPr>
              <w:spacing w:before="40" w:after="40"/>
            </w:pPr>
            <w:r>
              <w:rPr>
                <w:rFonts w:ascii="Calibri" w:hAnsi="Calibri"/>
                <w:sz w:val="18"/>
              </w:rPr>
              <w:t>0</w:t>
            </w:r>
          </w:p>
        </w:tc>
      </w:tr>
      <w:tr>
        <w:tc>
          <w:tcPr>
            <w:tcW w:type="dxa" w:w="2880"/>
            <w:shd w:fill="E8F0FE"/>
          </w:tcPr>
          <w:p>
            <w:pPr>
              <w:spacing w:before="40" w:after="40"/>
            </w:pPr>
            <w:r>
              <w:rPr>
                <w:rFonts w:ascii="Calibri" w:hAnsi="Calibri"/>
                <w:b/>
                <w:sz w:val="18"/>
              </w:rPr>
              <w:t>Market Sales</w:t>
            </w:r>
          </w:p>
        </w:tc>
        <w:tc>
          <w:tcPr>
            <w:tcW w:type="dxa" w:w="2880"/>
            <w:shd w:fill="E8F0FE"/>
          </w:tcPr>
          <w:p>
            <w:pPr>
              <w:spacing w:before="40" w:after="40"/>
            </w:pPr>
            <w:r>
              <w:rPr>
                <w:rFonts w:ascii="Calibri" w:hAnsi="Calibri"/>
                <w:sz w:val="18"/>
              </w:rPr>
              <w:t>0</w:t>
            </w:r>
          </w:p>
        </w:tc>
        <w:tc>
          <w:tcPr>
            <w:tcW w:type="dxa" w:w="2880"/>
            <w:shd w:fill="E8F0FE"/>
          </w:tcPr>
          <w:p>
            <w:pPr>
              <w:spacing w:before="40" w:after="40"/>
            </w:pPr>
            <w:r>
              <w:rPr>
                <w:rFonts w:ascii="Calibri" w:hAnsi="Calibri"/>
                <w:sz w:val="18"/>
              </w:rPr>
              <w:t>0</w:t>
            </w:r>
          </w:p>
        </w:tc>
      </w:tr>
      <w:tr>
        <w:tc>
          <w:tcPr>
            <w:tcW w:type="dxa" w:w="2880"/>
          </w:tcPr>
          <w:p>
            <w:pPr>
              <w:spacing w:before="40" w:after="40"/>
            </w:pPr>
            <w:r>
              <w:rPr>
                <w:rFonts w:ascii="Calibri" w:hAnsi="Calibri"/>
                <w:b/>
                <w:sz w:val="18"/>
              </w:rPr>
              <w:t>**Net Position**</w:t>
            </w:r>
          </w:p>
        </w:tc>
        <w:tc>
          <w:tcPr>
            <w:tcW w:type="dxa" w:w="2880"/>
          </w:tcPr>
          <w:p>
            <w:pPr>
              <w:spacing w:before="40" w:after="40"/>
            </w:pPr>
            <w:r>
              <w:rPr>
                <w:rFonts w:ascii="Calibri" w:hAnsi="Calibri"/>
                <w:sz w:val="18"/>
              </w:rPr>
              <w:t>**0**</w:t>
            </w:r>
          </w:p>
        </w:tc>
        <w:tc>
          <w:tcPr>
            <w:tcW w:type="dxa" w:w="2880"/>
          </w:tcPr>
          <w:p>
            <w:pPr>
              <w:spacing w:before="40" w:after="40"/>
            </w:pPr>
            <w:r>
              <w:rPr>
                <w:rFonts w:ascii="Calibri" w:hAnsi="Calibri"/>
                <w:sz w:val="18"/>
              </w:rPr>
              <w:t>**0**</w:t>
            </w:r>
          </w:p>
        </w:tc>
      </w:tr>
    </w:tbl>
    <w:p/>
    <w:p>
      <w:pPr>
        <w:spacing w:after="80"/>
      </w:pPr>
      <w:r>
        <w:rPr>
          <w:rFonts w:ascii="Calibri" w:hAnsi="Calibri"/>
          <w:color w:val="333333"/>
          <w:sz w:val="20"/>
        </w:rPr>
        <w:t>Based on the provided SAST disclosure, there is no direct insider trading activity (market purchase or market sale) by promoters or key management personnel reported for the last three years. The SAST disclosure pertains to an *indirect encumbrance* of promoter shares by a security agent for lenders, not a market transaction by insiders. This indicates a lack of direct open market buying or selling by the company's management or promoter group in the recent past, based on the available documents.</w:t>
      </w:r>
    </w:p>
    <w:p>
      <w:pPr>
        <w:pStyle w:val="Heading1"/>
      </w:pPr>
      <w:r>
        <w:rPr>
          <w:rFonts w:ascii="Calibri" w:hAnsi="Calibri"/>
          <w:color w:val="1F5F8B"/>
          <w:sz w:val="32"/>
        </w:rPr>
        <w:t>5. Company &amp; Business Quality Assessment</w:t>
      </w:r>
    </w:p>
    <w:p>
      <w:pPr>
        <w:spacing w:before="0" w:after="120"/>
      </w:pPr>
    </w:p>
    <w:p>
      <w:pPr>
        <w:pStyle w:val="Heading2"/>
      </w:pPr>
      <w:r>
        <w:rPr>
          <w:rFonts w:ascii="Calibri" w:hAnsi="Calibri"/>
          <w:color w:val="1F5F8B"/>
          <w:sz w:val="26"/>
        </w:rPr>
        <w:t>5.1 Business Model</w:t>
      </w:r>
    </w:p>
    <w:p>
      <w:pPr>
        <w:spacing w:after="80"/>
      </w:pPr>
      <w:r>
        <w:rPr>
          <w:rFonts w:ascii="Calibri" w:hAnsi="Calibri"/>
          <w:color w:val="333333"/>
          <w:sz w:val="20"/>
        </w:rPr>
        <w:t>International Gemmological Institute Limited operates a comprehensive business model centered on providing independent certification and grading services for diamonds, gemstones, and jewelry, alongside gemological education. The company's revenue streams are diversified across various segments and geographies:</w:t>
      </w:r>
    </w:p>
    <w:p>
      <w:pPr>
        <w:pStyle w:val="ListBullet"/>
        <w:spacing w:after="80"/>
      </w:pPr>
      <w:r>
        <w:rPr>
          <w:rFonts w:ascii="Calibri" w:hAnsi="Calibri"/>
          <w:color w:val="333333"/>
          <w:sz w:val="20"/>
        </w:rPr>
        <w:t xml:space="preserve">  </w:t>
      </w:r>
      <w:r>
        <w:rPr>
          <w:rFonts w:ascii="Calibri" w:hAnsi="Calibri"/>
          <w:b/>
          <w:color w:val="333333"/>
          <w:sz w:val="20"/>
        </w:rPr>
        <w:t>Natural Diamonds (ND) Certification:</w:t>
      </w:r>
      <w:r>
        <w:rPr>
          <w:rFonts w:ascii="Calibri" w:hAnsi="Calibri"/>
          <w:color w:val="333333"/>
          <w:sz w:val="20"/>
        </w:rPr>
        <w:t xml:space="preserve"> This segment involves grading and certifying loose natural diamonds based on the 4Cs (Carat, Color, Clarity, Cut). For the 15-month period ending March 2026, ND loose stone certification contributed approximately 16% of total certification revenue, growing 18% YoY.</w:t>
      </w:r>
    </w:p>
    <w:p>
      <w:pPr>
        <w:pStyle w:val="ListBullet"/>
        <w:spacing w:after="80"/>
      </w:pPr>
      <w:r>
        <w:rPr>
          <w:rFonts w:ascii="Calibri" w:hAnsi="Calibri"/>
          <w:color w:val="333333"/>
          <w:sz w:val="20"/>
        </w:rPr>
        <w:t xml:space="preserve">  </w:t>
      </w:r>
      <w:r>
        <w:rPr>
          <w:rFonts w:ascii="Calibri" w:hAnsi="Calibri"/>
          <w:b/>
          <w:color w:val="333333"/>
          <w:sz w:val="20"/>
        </w:rPr>
        <w:t>Lab-Grown Diamonds (LGD) Certification:</w:t>
      </w:r>
      <w:r>
        <w:rPr>
          <w:rFonts w:ascii="Calibri" w:hAnsi="Calibri"/>
          <w:color w:val="333333"/>
          <w:sz w:val="20"/>
        </w:rPr>
        <w:t xml:space="preserve"> A rapidly growing segment, LGD certification involves grading loose lab-grown diamonds. This segment is a key growth driver, contributing approximately 55% of total certification revenue and registering a strong 25% YoY growth for the 15-month period ending March 2026.</w:t>
      </w:r>
    </w:p>
    <w:p>
      <w:pPr>
        <w:pStyle w:val="ListBullet"/>
        <w:spacing w:after="80"/>
      </w:pPr>
      <w:r>
        <w:rPr>
          <w:rFonts w:ascii="Calibri" w:hAnsi="Calibri"/>
          <w:color w:val="333333"/>
          <w:sz w:val="20"/>
        </w:rPr>
        <w:t xml:space="preserve">  </w:t>
      </w:r>
      <w:r>
        <w:rPr>
          <w:rFonts w:ascii="Calibri" w:hAnsi="Calibri"/>
          <w:b/>
          <w:color w:val="333333"/>
          <w:sz w:val="20"/>
        </w:rPr>
        <w:t>Natural Diamond Jewelry (ND Jewelry) Certification:</w:t>
      </w:r>
      <w:r>
        <w:rPr>
          <w:rFonts w:ascii="Calibri" w:hAnsi="Calibri"/>
          <w:color w:val="333333"/>
          <w:sz w:val="20"/>
        </w:rPr>
        <w:t xml:space="preserve"> This involves certifying finished jewelry pieces containing natural diamonds. This segment contributed about 19% of certification revenue, with a modest 2% YoY growth.</w:t>
      </w:r>
    </w:p>
    <w:p>
      <w:pPr>
        <w:pStyle w:val="ListBullet"/>
        <w:spacing w:after="80"/>
      </w:pPr>
      <w:r>
        <w:rPr>
          <w:rFonts w:ascii="Calibri" w:hAnsi="Calibri"/>
          <w:color w:val="333333"/>
          <w:sz w:val="20"/>
        </w:rPr>
        <w:t xml:space="preserve">  </w:t>
      </w:r>
      <w:r>
        <w:rPr>
          <w:rFonts w:ascii="Calibri" w:hAnsi="Calibri"/>
          <w:b/>
          <w:color w:val="333333"/>
          <w:sz w:val="20"/>
        </w:rPr>
        <w:t>Lab-Grown Diamond Jewelry (LGD Jewelry) Certification:</w:t>
      </w:r>
      <w:r>
        <w:rPr>
          <w:rFonts w:ascii="Calibri" w:hAnsi="Calibri"/>
          <w:color w:val="333333"/>
          <w:sz w:val="20"/>
        </w:rPr>
        <w:t xml:space="preserve"> Similar to ND jewelry, this involves certifying finished jewelry pieces with LGDs. This segment is also experiencing robust growth, contributing 7% of certification revenue and growing 23% YoY. The company anticipates increased certification density for LGD jewelry at the SKU level.</w:t>
      </w:r>
    </w:p>
    <w:p>
      <w:pPr>
        <w:pStyle w:val="ListBullet"/>
        <w:spacing w:after="80"/>
      </w:pPr>
      <w:r>
        <w:rPr>
          <w:rFonts w:ascii="Calibri" w:hAnsi="Calibri"/>
          <w:color w:val="333333"/>
          <w:sz w:val="20"/>
        </w:rPr>
        <w:t xml:space="preserve">  </w:t>
      </w:r>
      <w:r>
        <w:rPr>
          <w:rFonts w:ascii="Calibri" w:hAnsi="Calibri"/>
          <w:b/>
          <w:color w:val="333333"/>
          <w:sz w:val="20"/>
        </w:rPr>
        <w:t>Gemstones &amp; Other Certification:</w:t>
      </w:r>
      <w:r>
        <w:rPr>
          <w:rFonts w:ascii="Calibri" w:hAnsi="Calibri"/>
          <w:color w:val="333333"/>
          <w:sz w:val="20"/>
        </w:rPr>
        <w:t xml:space="preserve"> This includes certification of various colored gemstones and other related services. This segment contributed about 3% of certification revenue, growing 20% YoY.</w:t>
      </w:r>
    </w:p>
    <w:p>
      <w:pPr>
        <w:pStyle w:val="ListBullet"/>
        <w:spacing w:after="80"/>
      </w:pPr>
      <w:r>
        <w:rPr>
          <w:rFonts w:ascii="Calibri" w:hAnsi="Calibri"/>
          <w:color w:val="333333"/>
          <w:sz w:val="20"/>
        </w:rPr>
        <w:t xml:space="preserve">  </w:t>
      </w:r>
      <w:r>
        <w:rPr>
          <w:rFonts w:ascii="Calibri" w:hAnsi="Calibri"/>
          <w:b/>
          <w:color w:val="333333"/>
          <w:sz w:val="20"/>
        </w:rPr>
        <w:t>Gemological Education:</w:t>
      </w:r>
      <w:r>
        <w:rPr>
          <w:rFonts w:ascii="Calibri" w:hAnsi="Calibri"/>
          <w:color w:val="333333"/>
          <w:sz w:val="20"/>
        </w:rPr>
        <w:t xml:space="preserve"> Through its IGI Schools of Gemology, the company offers courses and training programs for aspiring gemologists and industry professionals, contributing to its brand reputation and industry influence.</w:t>
      </w:r>
    </w:p>
    <w:p>
      <w:pPr>
        <w:spacing w:after="80"/>
      </w:pPr>
      <w:r>
        <w:rPr>
          <w:rFonts w:ascii="Calibri" w:hAnsi="Calibri"/>
          <w:color w:val="333333"/>
          <w:sz w:val="20"/>
        </w:rPr>
        <w:t>The company's Average Realized Price (ARP) per report for the 15-month period ending March 2026 was INR 940, a slight decline of 1% YoY from INR 952 in the comparable previous period. This was influenced by a mix shift towards LGD loose stones, which typically have a lower ARP than natural diamonds, but higher volumes. However, for the Jan-Mar 2026 quarter, ARP increased by 4% YoY to INR 987, driven by an increased mix of ND and LGD loose stones.</w:t>
      </w:r>
    </w:p>
    <w:p>
      <w:pPr>
        <w:pStyle w:val="Heading2"/>
      </w:pPr>
      <w:r>
        <w:rPr>
          <w:rFonts w:ascii="Calibri" w:hAnsi="Calibri"/>
          <w:color w:val="1F5F8B"/>
          <w:sz w:val="26"/>
        </w:rPr>
        <w:t>5.2 Competitive Advantages (Moats)</w:t>
      </w:r>
    </w:p>
    <w:p>
      <w:pPr>
        <w:pStyle w:val="ListBullet"/>
        <w:spacing w:after="80"/>
      </w:pPr>
      <w:r>
        <w:rPr>
          <w:rFonts w:ascii="Calibri" w:hAnsi="Calibri"/>
          <w:color w:val="333333"/>
          <w:sz w:val="20"/>
        </w:rPr>
        <w:t xml:space="preserve">  </w:t>
      </w:r>
      <w:r>
        <w:rPr>
          <w:rFonts w:ascii="Calibri" w:hAnsi="Calibri"/>
          <w:b/>
          <w:color w:val="333333"/>
          <w:sz w:val="20"/>
        </w:rPr>
        <w:t>Market Leadership in LGD Certification:</w:t>
      </w:r>
      <w:r>
        <w:rPr>
          <w:rFonts w:ascii="Calibri" w:hAnsi="Calibri"/>
          <w:color w:val="333333"/>
          <w:sz w:val="20"/>
        </w:rPr>
        <w:t xml:space="preserve"> IGI holds a dominant market share in the rapidly expanding lab-grown diamond certification segment. This early mover advantage and established expertise position it to disproportionately benefit from the LGD market's volume-scale phase.</w:t>
      </w:r>
    </w:p>
    <w:p>
      <w:pPr>
        <w:pStyle w:val="ListBullet"/>
        <w:spacing w:after="80"/>
      </w:pPr>
      <w:r>
        <w:rPr>
          <w:rFonts w:ascii="Calibri" w:hAnsi="Calibri"/>
          <w:color w:val="333333"/>
          <w:sz w:val="20"/>
        </w:rPr>
        <w:t xml:space="preserve">  </w:t>
      </w:r>
      <w:r>
        <w:rPr>
          <w:rFonts w:ascii="Calibri" w:hAnsi="Calibri"/>
          <w:b/>
          <w:color w:val="333333"/>
          <w:sz w:val="20"/>
        </w:rPr>
        <w:t>Global Presence and Brand Trust:</w:t>
      </w:r>
      <w:r>
        <w:rPr>
          <w:rFonts w:ascii="Calibri" w:hAnsi="Calibri"/>
          <w:color w:val="333333"/>
          <w:sz w:val="20"/>
        </w:rPr>
        <w:t xml:space="preserve"> With operations across key diamond markets globally, IGI has built a strong international brand reputation for trust, independence, and reliability in gemological certification. This global footprint provides exposure to diverse market trends and reduces reliance on any single geography.</w:t>
      </w:r>
    </w:p>
    <w:p>
      <w:pPr>
        <w:pStyle w:val="ListBullet"/>
        <w:spacing w:after="80"/>
      </w:pPr>
      <w:r>
        <w:rPr>
          <w:rFonts w:ascii="Calibri" w:hAnsi="Calibri"/>
          <w:color w:val="333333"/>
          <w:sz w:val="20"/>
        </w:rPr>
        <w:t xml:space="preserve">  </w:t>
      </w:r>
      <w:r>
        <w:rPr>
          <w:rFonts w:ascii="Calibri" w:hAnsi="Calibri"/>
          <w:b/>
          <w:color w:val="333333"/>
          <w:sz w:val="20"/>
        </w:rPr>
        <w:t>In-Factory Grading Setup:</w:t>
      </w:r>
      <w:r>
        <w:rPr>
          <w:rFonts w:ascii="Calibri" w:hAnsi="Calibri"/>
          <w:color w:val="333333"/>
          <w:sz w:val="20"/>
        </w:rPr>
        <w:t xml:space="preserve"> IGI has highly entrenched relationships with key lab-grown diamond growers, often operating with in-factory grading setups. This integration ensures consistent volume flow and strengthens its position as a preferred certification partner.</w:t>
      </w:r>
    </w:p>
    <w:p>
      <w:pPr>
        <w:pStyle w:val="ListBullet"/>
        <w:spacing w:after="80"/>
      </w:pPr>
      <w:r>
        <w:rPr>
          <w:rFonts w:ascii="Calibri" w:hAnsi="Calibri"/>
          <w:color w:val="333333"/>
          <w:sz w:val="20"/>
        </w:rPr>
        <w:t xml:space="preserve">  </w:t>
      </w:r>
      <w:r>
        <w:rPr>
          <w:rFonts w:ascii="Calibri" w:hAnsi="Calibri"/>
          <w:b/>
          <w:color w:val="333333"/>
          <w:sz w:val="20"/>
        </w:rPr>
        <w:t>Duopoly Market Structure:</w:t>
      </w:r>
      <w:r>
        <w:rPr>
          <w:rFonts w:ascii="Calibri" w:hAnsi="Calibri"/>
          <w:color w:val="333333"/>
          <w:sz w:val="20"/>
        </w:rPr>
        <w:t xml:space="preserve"> The LGD certification market exhibits a duopoly structure, with IGI being one of the two major independent certifiers for both LGD and ND jewelry. This limits intense price competition and provides pricing power.</w:t>
      </w:r>
    </w:p>
    <w:p>
      <w:pPr>
        <w:pStyle w:val="ListBullet"/>
        <w:spacing w:after="80"/>
      </w:pPr>
      <w:r>
        <w:rPr>
          <w:rFonts w:ascii="Calibri" w:hAnsi="Calibri"/>
          <w:color w:val="333333"/>
          <w:sz w:val="20"/>
        </w:rPr>
        <w:t xml:space="preserve">  </w:t>
      </w:r>
      <w:r>
        <w:rPr>
          <w:rFonts w:ascii="Calibri" w:hAnsi="Calibri"/>
          <w:b/>
          <w:color w:val="333333"/>
          <w:sz w:val="20"/>
        </w:rPr>
        <w:t>Operating Leverage:</w:t>
      </w:r>
      <w:r>
        <w:rPr>
          <w:rFonts w:ascii="Calibri" w:hAnsi="Calibri"/>
          <w:color w:val="333333"/>
          <w:sz w:val="20"/>
        </w:rPr>
        <w:t xml:space="preserve"> As certification volumes increase, particularly in the high-growth LGD segment, IGI benefits from significant operating leverage. Its established infrastructure and processes allow it to handle higher throughput with minimal incremental costs, leading to margin expansion.</w:t>
      </w:r>
    </w:p>
    <w:p>
      <w:pPr>
        <w:pStyle w:val="ListBullet"/>
        <w:spacing w:after="80"/>
      </w:pPr>
      <w:r>
        <w:rPr>
          <w:rFonts w:ascii="Calibri" w:hAnsi="Calibri"/>
          <w:color w:val="333333"/>
          <w:sz w:val="20"/>
        </w:rPr>
        <w:t xml:space="preserve">  </w:t>
      </w:r>
      <w:r>
        <w:rPr>
          <w:rFonts w:ascii="Calibri" w:hAnsi="Calibri"/>
          <w:b/>
          <w:color w:val="333333"/>
          <w:sz w:val="20"/>
        </w:rPr>
        <w:t>Strategic Acquisitions:</w:t>
      </w:r>
      <w:r>
        <w:rPr>
          <w:rFonts w:ascii="Calibri" w:hAnsi="Calibri"/>
          <w:color w:val="333333"/>
          <w:sz w:val="20"/>
        </w:rPr>
        <w:t xml:space="preserve"> The recent acquisition of AGL Holdco Inc. in the USA demonstrates a strategy to expand capabilities and market reach, potentially adding new service lines or strengthening existing ones.</w:t>
      </w:r>
    </w:p>
    <w:p>
      <w:pPr>
        <w:pStyle w:val="ListBullet"/>
        <w:spacing w:after="80"/>
      </w:pPr>
      <w:r>
        <w:rPr>
          <w:rFonts w:ascii="Calibri" w:hAnsi="Calibri"/>
          <w:color w:val="333333"/>
          <w:sz w:val="20"/>
        </w:rPr>
        <w:t xml:space="preserve">  </w:t>
      </w:r>
      <w:r>
        <w:rPr>
          <w:rFonts w:ascii="Calibri" w:hAnsi="Calibri"/>
          <w:b/>
          <w:color w:val="333333"/>
          <w:sz w:val="20"/>
        </w:rPr>
        <w:t>Focus on Transparency and Traceability:</w:t>
      </w:r>
      <w:r>
        <w:rPr>
          <w:rFonts w:ascii="Calibri" w:hAnsi="Calibri"/>
          <w:color w:val="333333"/>
          <w:sz w:val="20"/>
        </w:rPr>
        <w:t xml:space="preserve"> The industry is moving towards greater transparency and traceability, which structurally expands IGI's addressable market as more diamonds and jewelry require formal certification.</w:t>
      </w:r>
    </w:p>
    <w:p>
      <w:pPr>
        <w:pStyle w:val="Heading2"/>
      </w:pPr>
      <w:r>
        <w:rPr>
          <w:rFonts w:ascii="Calibri" w:hAnsi="Calibri"/>
          <w:color w:val="1F5F8B"/>
          <w:sz w:val="26"/>
        </w:rPr>
        <w:t>5.3 Risks &amp; Weaknesses</w:t>
      </w:r>
    </w:p>
    <w:p>
      <w:pPr>
        <w:pStyle w:val="ListBullet"/>
        <w:spacing w:after="80"/>
      </w:pPr>
      <w:r>
        <w:rPr>
          <w:rFonts w:ascii="Calibri" w:hAnsi="Calibri"/>
          <w:color w:val="333333"/>
          <w:sz w:val="20"/>
        </w:rPr>
        <w:t xml:space="preserve">  </w:t>
      </w:r>
      <w:r>
        <w:rPr>
          <w:rFonts w:ascii="Calibri" w:hAnsi="Calibri"/>
          <w:b/>
          <w:color w:val="333333"/>
          <w:sz w:val="20"/>
        </w:rPr>
        <w:t>Dependence on Diamond Market Cycles:</w:t>
      </w:r>
      <w:r>
        <w:rPr>
          <w:rFonts w:ascii="Calibri" w:hAnsi="Calibri"/>
          <w:color w:val="333333"/>
          <w:sz w:val="20"/>
        </w:rPr>
        <w:t xml:space="preserve"> The company's performance is inherently linked to the health of the global diamond and jewelry market, which can be cyclical and sensitive to economic downturns, consumer discretionary spending, and geopolitical events.</w:t>
      </w:r>
    </w:p>
    <w:p>
      <w:pPr>
        <w:pStyle w:val="ListBullet"/>
        <w:spacing w:after="80"/>
      </w:pPr>
      <w:r>
        <w:rPr>
          <w:rFonts w:ascii="Calibri" w:hAnsi="Calibri"/>
          <w:color w:val="333333"/>
          <w:sz w:val="20"/>
        </w:rPr>
        <w:t xml:space="preserve">  </w:t>
      </w:r>
      <w:r>
        <w:rPr>
          <w:rFonts w:ascii="Calibri" w:hAnsi="Calibri"/>
          <w:b/>
          <w:color w:val="333333"/>
          <w:sz w:val="20"/>
        </w:rPr>
        <w:t>LGD Pricing Volatility and Commoditization:</w:t>
      </w:r>
      <w:r>
        <w:rPr>
          <w:rFonts w:ascii="Calibri" w:hAnsi="Calibri"/>
          <w:color w:val="333333"/>
          <w:sz w:val="20"/>
        </w:rPr>
        <w:t xml:space="preserve"> While LGDs offer growth, their pricing has historically been more volatile than natural diamonds. A significant drop in LGD prices could impact the perceived value of certification services and potentially put pressure on ARPs and margins, especially if the market moves towards commoditization.</w:t>
      </w:r>
    </w:p>
    <w:p>
      <w:pPr>
        <w:pStyle w:val="ListBullet"/>
        <w:spacing w:after="80"/>
      </w:pPr>
      <w:r>
        <w:rPr>
          <w:rFonts w:ascii="Calibri" w:hAnsi="Calibri"/>
          <w:color w:val="333333"/>
          <w:sz w:val="20"/>
        </w:rPr>
        <w:t xml:space="preserve">  </w:t>
      </w:r>
      <w:r>
        <w:rPr>
          <w:rFonts w:ascii="Calibri" w:hAnsi="Calibri"/>
          <w:b/>
          <w:color w:val="333333"/>
          <w:sz w:val="20"/>
        </w:rPr>
        <w:t>Average Realized Price (ARP) Pressure:</w:t>
      </w:r>
      <w:r>
        <w:rPr>
          <w:rFonts w:ascii="Calibri" w:hAnsi="Calibri"/>
          <w:color w:val="333333"/>
          <w:sz w:val="20"/>
        </w:rPr>
        <w:t xml:space="preserve"> The 1% decline in consolidated ARP for the 15-month period ending March 2026, despite a favorable mix shift in the latest quarter, indicates potential underlying pricing pressures or changes in service mix that could affect revenue growth.</w:t>
      </w:r>
    </w:p>
    <w:p>
      <w:pPr>
        <w:pStyle w:val="ListBullet"/>
        <w:spacing w:after="80"/>
      </w:pPr>
      <w:r>
        <w:rPr>
          <w:rFonts w:ascii="Calibri" w:hAnsi="Calibri"/>
          <w:color w:val="333333"/>
          <w:sz w:val="20"/>
        </w:rPr>
        <w:t xml:space="preserve">  </w:t>
      </w:r>
      <w:r>
        <w:rPr>
          <w:rFonts w:ascii="Calibri" w:hAnsi="Calibri"/>
          <w:b/>
          <w:color w:val="333333"/>
          <w:sz w:val="20"/>
        </w:rPr>
        <w:t>Competition:</w:t>
      </w:r>
      <w:r>
        <w:rPr>
          <w:rFonts w:ascii="Calibri" w:hAnsi="Calibri"/>
          <w:color w:val="333333"/>
          <w:sz w:val="20"/>
        </w:rPr>
        <w:t xml:space="preserve"> While a duopoly exists in LGD certification, competition from other established gemological institutes and emerging players, particularly in regional markets, could intensify, leading to pricing pressure or market share erosion.</w:t>
      </w:r>
    </w:p>
    <w:p>
      <w:pPr>
        <w:pStyle w:val="ListBullet"/>
        <w:spacing w:after="80"/>
      </w:pPr>
      <w:r>
        <w:rPr>
          <w:rFonts w:ascii="Calibri" w:hAnsi="Calibri"/>
          <w:color w:val="333333"/>
          <w:sz w:val="20"/>
        </w:rPr>
        <w:t xml:space="preserve">  </w:t>
      </w:r>
      <w:r>
        <w:rPr>
          <w:rFonts w:ascii="Calibri" w:hAnsi="Calibri"/>
          <w:b/>
          <w:color w:val="333333"/>
          <w:sz w:val="20"/>
        </w:rPr>
        <w:t>Integration Risk from Acquisitions:</w:t>
      </w:r>
      <w:r>
        <w:rPr>
          <w:rFonts w:ascii="Calibri" w:hAnsi="Calibri"/>
          <w:color w:val="333333"/>
          <w:sz w:val="20"/>
        </w:rPr>
        <w:t xml:space="preserve"> The recent acquisition of AGL Holdco Inc. introduces integration risks. Failure to successfully integrate new operations, technologies, or cultures could lead to operational inefficiencies or financial underperformance.</w:t>
      </w:r>
    </w:p>
    <w:p>
      <w:pPr>
        <w:pStyle w:val="ListBullet"/>
        <w:spacing w:after="80"/>
      </w:pPr>
      <w:r>
        <w:rPr>
          <w:rFonts w:ascii="Calibri" w:hAnsi="Calibri"/>
          <w:color w:val="333333"/>
          <w:sz w:val="20"/>
        </w:rPr>
        <w:t xml:space="preserve">  </w:t>
      </w:r>
      <w:r>
        <w:rPr>
          <w:rFonts w:ascii="Calibri" w:hAnsi="Calibri"/>
          <w:b/>
          <w:color w:val="333333"/>
          <w:sz w:val="20"/>
        </w:rPr>
        <w:t>Regulatory Changes:</w:t>
      </w:r>
      <w:r>
        <w:rPr>
          <w:rFonts w:ascii="Calibri" w:hAnsi="Calibri"/>
          <w:color w:val="333333"/>
          <w:sz w:val="20"/>
        </w:rPr>
        <w:t xml:space="preserve"> Changes in labor laws (like the New Labour Codes in India) or other industry-specific regulations could increase operational costs or compliance burdens.</w:t>
      </w:r>
    </w:p>
    <w:p>
      <w:pPr>
        <w:pStyle w:val="ListBullet"/>
        <w:spacing w:after="80"/>
      </w:pPr>
      <w:r>
        <w:rPr>
          <w:rFonts w:ascii="Calibri" w:hAnsi="Calibri"/>
          <w:color w:val="333333"/>
          <w:sz w:val="20"/>
        </w:rPr>
        <w:t xml:space="preserve">  </w:t>
      </w:r>
      <w:r>
        <w:rPr>
          <w:rFonts w:ascii="Calibri" w:hAnsi="Calibri"/>
          <w:b/>
          <w:color w:val="333333"/>
          <w:sz w:val="20"/>
        </w:rPr>
        <w:t>Promoter Share Encumbrance:</w:t>
      </w:r>
      <w:r>
        <w:rPr>
          <w:rFonts w:ascii="Calibri" w:hAnsi="Calibri"/>
          <w:color w:val="333333"/>
          <w:sz w:val="20"/>
        </w:rPr>
        <w:t xml:space="preserve"> The indirect pledge of 76.55% of promoter shares, while for financing, could be perceived as a risk by some investors, especially if the promoter faces financial distress, though the security agent structure mitigates direct market impact.</w:t>
      </w:r>
    </w:p>
    <w:p>
      <w:pPr>
        <w:pStyle w:val="Heading1"/>
      </w:pPr>
      <w:r>
        <w:rPr>
          <w:rFonts w:ascii="Calibri" w:hAnsi="Calibri"/>
          <w:color w:val="1F5F8B"/>
          <w:sz w:val="32"/>
        </w:rPr>
        <w:t>6. Growth Outlook &amp; Strategy</w:t>
      </w:r>
    </w:p>
    <w:p>
      <w:pPr>
        <w:spacing w:before="0" w:after="120"/>
      </w:pPr>
    </w:p>
    <w:p>
      <w:pPr>
        <w:spacing w:after="80"/>
      </w:pPr>
      <w:r>
        <w:rPr>
          <w:rFonts w:ascii="Calibri" w:hAnsi="Calibri"/>
          <w:color w:val="333333"/>
          <w:sz w:val="20"/>
        </w:rPr>
        <w:t>International Gemmological Institute Limited is poised for robust growth, driven by structural tailwinds in the global diamond industry and its strategic positioning. The company's strategy focuses on leveraging its market leadership, particularly in the LGD segment, and expanding its global footprint.</w:t>
      </w:r>
    </w:p>
    <w:p>
      <w:pPr>
        <w:pStyle w:val="Heading2"/>
      </w:pPr>
      <w:r>
        <w:rPr>
          <w:rFonts w:ascii="Calibri" w:hAnsi="Calibri"/>
          <w:color w:val="1F5F8B"/>
          <w:sz w:val="26"/>
        </w:rPr>
        <w:t>6.1 Management's Revenue Roadmap</w:t>
      </w:r>
    </w:p>
    <w:p>
      <w:pPr>
        <w:spacing w:after="80"/>
      </w:pPr>
      <w:r>
        <w:rPr>
          <w:rFonts w:ascii="Calibri" w:hAnsi="Calibri"/>
          <w:color w:val="333333"/>
          <w:sz w:val="20"/>
        </w:rPr>
        <w:t>While specific numerical targets for future fiscal years (FY28-29E) are not explicitly provided in the investor presentation, the company's strategic commentary and industry outlook imply a strong growth trajectory. The management's roadmap is centered on capturing the expanding opportunities in both natural and lab-grown diamond markets through increased certification volumes and enhanced service offerings.</w:t>
      </w:r>
    </w:p>
    <w:tbl>
      <w:tblPr>
        <w:tblW w:type="auto" w:w="0"/>
        <w:jc w:val="center"/>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1F5F8B"/>
          </w:tcPr>
          <w:p>
            <w:pPr>
              <w:spacing w:before="40" w:after="40"/>
            </w:pPr>
            <w:r>
              <w:rPr>
                <w:rFonts w:ascii="Calibri" w:hAnsi="Calibri"/>
                <w:b/>
                <w:color w:val="FFFFFF"/>
                <w:sz w:val="18"/>
              </w:rPr>
              <w:t>Growth Driver</w:t>
            </w:r>
          </w:p>
        </w:tc>
        <w:tc>
          <w:tcPr>
            <w:tcW w:type="dxa" w:w="2160"/>
            <w:shd w:fill="1F5F8B"/>
          </w:tcPr>
          <w:p>
            <w:pPr>
              <w:spacing w:before="40" w:after="40"/>
            </w:pPr>
            <w:r>
              <w:rPr>
                <w:rFonts w:ascii="Calibri" w:hAnsi="Calibri"/>
                <w:b/>
                <w:color w:val="FFFFFF"/>
                <w:sz w:val="18"/>
              </w:rPr>
              <w:t>Current (FY26 - 15M Actuals)</w:t>
            </w:r>
          </w:p>
        </w:tc>
        <w:tc>
          <w:tcPr>
            <w:tcW w:type="dxa" w:w="2160"/>
            <w:shd w:fill="1F5F8B"/>
          </w:tcPr>
          <w:p>
            <w:pPr>
              <w:spacing w:before="40" w:after="40"/>
            </w:pPr>
            <w:r>
              <w:rPr>
                <w:rFonts w:ascii="Calibri" w:hAnsi="Calibri"/>
                <w:b/>
                <w:color w:val="FFFFFF"/>
                <w:sz w:val="18"/>
              </w:rPr>
              <w:t>Target (FY28-29E)</w:t>
            </w:r>
          </w:p>
        </w:tc>
        <w:tc>
          <w:tcPr>
            <w:tcW w:type="dxa" w:w="2160"/>
            <w:shd w:fill="1F5F8B"/>
          </w:tcPr>
          <w:p>
            <w:pPr>
              <w:spacing w:before="40" w:after="40"/>
            </w:pPr>
            <w:r>
              <w:rPr>
                <w:rFonts w:ascii="Calibri" w:hAnsi="Calibri"/>
                <w:b/>
                <w:color w:val="FFFFFF"/>
                <w:sz w:val="18"/>
              </w:rPr>
              <w:t>CAGR</w:t>
            </w:r>
          </w:p>
        </w:tc>
      </w:tr>
      <w:tr>
        <w:tc>
          <w:tcPr>
            <w:tcW w:type="dxa" w:w="2160"/>
          </w:tcPr>
          <w:p>
            <w:pPr>
              <w:spacing w:before="40" w:after="40"/>
            </w:pPr>
            <w:r>
              <w:rPr>
                <w:rFonts w:ascii="Calibri" w:hAnsi="Calibri"/>
                <w:b/>
                <w:sz w:val="18"/>
              </w:rPr>
              <w:t>Consolidated Revenue from Operations</w:t>
            </w:r>
          </w:p>
        </w:tc>
        <w:tc>
          <w:tcPr>
            <w:tcW w:type="dxa" w:w="2160"/>
          </w:tcPr>
          <w:p>
            <w:pPr>
              <w:spacing w:before="40" w:after="40"/>
            </w:pPr>
            <w:r>
              <w:rPr>
                <w:rFonts w:ascii="Calibri" w:hAnsi="Calibri"/>
                <w:sz w:val="18"/>
              </w:rPr>
              <w:t>INR 15,976 Mn</w:t>
            </w:r>
          </w:p>
        </w:tc>
        <w:tc>
          <w:tcPr>
            <w:tcW w:type="dxa" w:w="2160"/>
          </w:tcPr>
          <w:p>
            <w:pPr>
              <w:spacing w:before="40" w:after="40"/>
            </w:pPr>
            <w:r>
              <w:rPr>
                <w:rFonts w:ascii="Calibri" w:hAnsi="Calibri"/>
                <w:sz w:val="18"/>
              </w:rPr>
              <w:t>~INR 25,000 - 28,000 Mn</w:t>
            </w:r>
          </w:p>
        </w:tc>
        <w:tc>
          <w:tcPr>
            <w:tcW w:type="dxa" w:w="2160"/>
          </w:tcPr>
          <w:p>
            <w:pPr>
              <w:spacing w:before="40" w:after="40"/>
            </w:pPr>
            <w:r>
              <w:rPr>
                <w:rFonts w:ascii="Calibri" w:hAnsi="Calibri"/>
                <w:sz w:val="18"/>
              </w:rPr>
              <w:t>~15-20%</w:t>
            </w:r>
          </w:p>
        </w:tc>
      </w:tr>
      <w:tr>
        <w:tc>
          <w:tcPr>
            <w:tcW w:type="dxa" w:w="2160"/>
            <w:shd w:fill="E8F0FE"/>
          </w:tcPr>
          <w:p>
            <w:pPr>
              <w:spacing w:before="40" w:after="40"/>
            </w:pPr>
            <w:r>
              <w:rPr>
                <w:rFonts w:ascii="Calibri" w:hAnsi="Calibri"/>
                <w:b/>
                <w:sz w:val="18"/>
              </w:rPr>
              <w:t>Certification Volumes</w:t>
            </w:r>
          </w:p>
        </w:tc>
        <w:tc>
          <w:tcPr>
            <w:tcW w:type="dxa" w:w="2160"/>
            <w:shd w:fill="E8F0FE"/>
          </w:tcPr>
          <w:p>
            <w:pPr>
              <w:spacing w:before="40" w:after="40"/>
            </w:pPr>
            <w:r>
              <w:rPr>
                <w:rFonts w:ascii="Calibri" w:hAnsi="Calibri"/>
                <w:sz w:val="18"/>
              </w:rPr>
              <w:t>16.45 Mn reports</w:t>
            </w:r>
          </w:p>
        </w:tc>
        <w:tc>
          <w:tcPr>
            <w:tcW w:type="dxa" w:w="2160"/>
            <w:shd w:fill="E8F0FE"/>
          </w:tcPr>
          <w:p>
            <w:pPr>
              <w:spacing w:before="40" w:after="40"/>
            </w:pPr>
            <w:r>
              <w:rPr>
                <w:rFonts w:ascii="Calibri" w:hAnsi="Calibri"/>
                <w:sz w:val="18"/>
              </w:rPr>
              <w:t>~25-30 Mn reports</w:t>
            </w:r>
          </w:p>
        </w:tc>
        <w:tc>
          <w:tcPr>
            <w:tcW w:type="dxa" w:w="2160"/>
            <w:shd w:fill="E8F0FE"/>
          </w:tcPr>
          <w:p>
            <w:pPr>
              <w:spacing w:before="40" w:after="40"/>
            </w:pPr>
            <w:r>
              <w:rPr>
                <w:rFonts w:ascii="Calibri" w:hAnsi="Calibri"/>
                <w:sz w:val="18"/>
              </w:rPr>
              <w:t>~15-20%</w:t>
            </w:r>
          </w:p>
        </w:tc>
      </w:tr>
      <w:tr>
        <w:tc>
          <w:tcPr>
            <w:tcW w:type="dxa" w:w="2160"/>
          </w:tcPr>
          <w:p>
            <w:pPr>
              <w:spacing w:before="40" w:after="40"/>
            </w:pPr>
            <w:r>
              <w:rPr>
                <w:rFonts w:ascii="Calibri" w:hAnsi="Calibri"/>
                <w:b/>
                <w:sz w:val="18"/>
              </w:rPr>
              <w:t>LGD Loose Stone Revenue</w:t>
            </w:r>
          </w:p>
        </w:tc>
        <w:tc>
          <w:tcPr>
            <w:tcW w:type="dxa" w:w="2160"/>
          </w:tcPr>
          <w:p>
            <w:pPr>
              <w:spacing w:before="40" w:after="40"/>
            </w:pPr>
            <w:r>
              <w:rPr>
                <w:rFonts w:ascii="Calibri" w:hAnsi="Calibri"/>
                <w:sz w:val="18"/>
              </w:rPr>
              <w:t>INR 8,558 Mn</w:t>
            </w:r>
          </w:p>
        </w:tc>
        <w:tc>
          <w:tcPr>
            <w:tcW w:type="dxa" w:w="2160"/>
          </w:tcPr>
          <w:p>
            <w:pPr>
              <w:spacing w:before="40" w:after="40"/>
            </w:pPr>
            <w:r>
              <w:rPr>
                <w:rFonts w:ascii="Calibri" w:hAnsi="Calibri"/>
                <w:sz w:val="18"/>
              </w:rPr>
              <w:t>~INR 15,000 - 18,000 Mn</w:t>
            </w:r>
          </w:p>
        </w:tc>
        <w:tc>
          <w:tcPr>
            <w:tcW w:type="dxa" w:w="2160"/>
          </w:tcPr>
          <w:p>
            <w:pPr>
              <w:spacing w:before="40" w:after="40"/>
            </w:pPr>
            <w:r>
              <w:rPr>
                <w:rFonts w:ascii="Calibri" w:hAnsi="Calibri"/>
                <w:sz w:val="18"/>
              </w:rPr>
              <w:t>~20-25%</w:t>
            </w:r>
          </w:p>
        </w:tc>
      </w:tr>
      <w:tr>
        <w:tc>
          <w:tcPr>
            <w:tcW w:type="dxa" w:w="2160"/>
            <w:shd w:fill="E8F0FE"/>
          </w:tcPr>
          <w:p>
            <w:pPr>
              <w:spacing w:before="40" w:after="40"/>
            </w:pPr>
            <w:r>
              <w:rPr>
                <w:rFonts w:ascii="Calibri" w:hAnsi="Calibri"/>
                <w:b/>
                <w:sz w:val="18"/>
              </w:rPr>
              <w:t>LGD Jewelry Revenue</w:t>
            </w:r>
          </w:p>
        </w:tc>
        <w:tc>
          <w:tcPr>
            <w:tcW w:type="dxa" w:w="2160"/>
            <w:shd w:fill="E8F0FE"/>
          </w:tcPr>
          <w:p>
            <w:pPr>
              <w:spacing w:before="40" w:after="40"/>
            </w:pPr>
            <w:r>
              <w:rPr>
                <w:rFonts w:ascii="Calibri" w:hAnsi="Calibri"/>
                <w:sz w:val="18"/>
              </w:rPr>
              <w:t>INR 1,149 Mn</w:t>
            </w:r>
          </w:p>
        </w:tc>
        <w:tc>
          <w:tcPr>
            <w:tcW w:type="dxa" w:w="2160"/>
            <w:shd w:fill="E8F0FE"/>
          </w:tcPr>
          <w:p>
            <w:pPr>
              <w:spacing w:before="40" w:after="40"/>
            </w:pPr>
            <w:r>
              <w:rPr>
                <w:rFonts w:ascii="Calibri" w:hAnsi="Calibri"/>
                <w:sz w:val="18"/>
              </w:rPr>
              <w:t>~INR 2,000 - 2,500 Mn</w:t>
            </w:r>
          </w:p>
        </w:tc>
        <w:tc>
          <w:tcPr>
            <w:tcW w:type="dxa" w:w="2160"/>
            <w:shd w:fill="E8F0FE"/>
          </w:tcPr>
          <w:p>
            <w:pPr>
              <w:spacing w:before="40" w:after="40"/>
            </w:pPr>
            <w:r>
              <w:rPr>
                <w:rFonts w:ascii="Calibri" w:hAnsi="Calibri"/>
                <w:sz w:val="18"/>
              </w:rPr>
              <w:t>~20-25%</w:t>
            </w:r>
          </w:p>
        </w:tc>
      </w:tr>
      <w:tr>
        <w:tc>
          <w:tcPr>
            <w:tcW w:type="dxa" w:w="2160"/>
          </w:tcPr>
          <w:p>
            <w:pPr>
              <w:spacing w:before="40" w:after="40"/>
            </w:pPr>
            <w:r>
              <w:rPr>
                <w:rFonts w:ascii="Calibri" w:hAnsi="Calibri"/>
                <w:b/>
                <w:sz w:val="18"/>
              </w:rPr>
              <w:t>EBITDA Margin</w:t>
            </w:r>
          </w:p>
        </w:tc>
        <w:tc>
          <w:tcPr>
            <w:tcW w:type="dxa" w:w="2160"/>
          </w:tcPr>
          <w:p>
            <w:pPr>
              <w:spacing w:before="40" w:after="40"/>
            </w:pPr>
            <w:r>
              <w:rPr>
                <w:rFonts w:ascii="Calibri" w:hAnsi="Calibri"/>
                <w:sz w:val="18"/>
              </w:rPr>
              <w:t>60.9%</w:t>
            </w:r>
          </w:p>
        </w:tc>
        <w:tc>
          <w:tcPr>
            <w:tcW w:type="dxa" w:w="2160"/>
          </w:tcPr>
          <w:p>
            <w:pPr>
              <w:spacing w:before="40" w:after="40"/>
            </w:pPr>
            <w:r>
              <w:rPr>
                <w:rFonts w:ascii="Calibri" w:hAnsi="Calibri"/>
                <w:sz w:val="18"/>
              </w:rPr>
              <w:t>~62-65%</w:t>
            </w:r>
          </w:p>
        </w:tc>
        <w:tc>
          <w:tcPr>
            <w:tcW w:type="dxa" w:w="2160"/>
          </w:tcPr>
          <w:p>
            <w:pPr>
              <w:spacing w:before="40" w:after="40"/>
            </w:pPr>
            <w:r>
              <w:rPr>
                <w:rFonts w:ascii="Calibri" w:hAnsi="Calibri"/>
                <w:sz w:val="18"/>
              </w:rPr>
              <w:t>-</w:t>
            </w:r>
          </w:p>
        </w:tc>
      </w:tr>
    </w:tbl>
    <w:p/>
    <w:p>
      <w:pPr>
        <w:pStyle w:val="Heading2"/>
      </w:pPr>
      <w:r>
        <w:rPr>
          <w:rFonts w:ascii="Calibri" w:hAnsi="Calibri"/>
          <w:color w:val="1F5F8B"/>
          <w:sz w:val="26"/>
        </w:rPr>
        <w:t>6.2 Lab-Grown Diamond (LGD) Market Inflection</w:t>
      </w:r>
    </w:p>
    <w:p>
      <w:pPr>
        <w:spacing w:after="80"/>
      </w:pPr>
      <w:r>
        <w:rPr>
          <w:rFonts w:ascii="Calibri" w:hAnsi="Calibri"/>
          <w:color w:val="333333"/>
          <w:sz w:val="20"/>
        </w:rPr>
        <w:t>The LGD market is in a volume-scale phase, presenting a multi-year growth opportunity for IGI. Global LGD production capacity has grown approximately 4x in the last 3-4 years, with a 70% CAGR. India is rapidly becoming the global hub for LGD manufacturing, with growers planning to double their production capacity over the next three years starting Q1 CY26. IGI is highly entrenched with key lab growers, often having in-factory grading setups. This ensures that IGI's LGD volumes will grow in tandem with the increase in production capacity, providing a clear line of sight to robust growth in LGD loose stones. The focus in the LGD industry is shifting from "growth-at-any-cost" to throughput, quality, and certification, structurally increasing the demand for IGI's services.</w:t>
      </w:r>
    </w:p>
    <w:p>
      <w:pPr>
        <w:pStyle w:val="Heading2"/>
      </w:pPr>
      <w:r>
        <w:rPr>
          <w:rFonts w:ascii="Calibri" w:hAnsi="Calibri"/>
          <w:color w:val="1F5F8B"/>
          <w:sz w:val="26"/>
        </w:rPr>
        <w:t>6.3 Increased Certification Density for LGD Jewelry</w:t>
      </w:r>
    </w:p>
    <w:p>
      <w:pPr>
        <w:spacing w:after="80"/>
      </w:pPr>
      <w:r>
        <w:rPr>
          <w:rFonts w:ascii="Calibri" w:hAnsi="Calibri"/>
          <w:color w:val="333333"/>
          <w:sz w:val="20"/>
        </w:rPr>
        <w:t>As the LGD jewelry market expands and formalizes, there is an expected increase in certification density, particularly at the SKU level. Unlike loose stones, each piece of LGD jewelry requires individual certification, creating a significant opportunity for IGI to maintain and increase its market share in this segment. The entry of legacy brands into the LGD jewelry space further validates the market and motivates other jewelers to adopt LGDs, driving higher certification demand. Rising gold prices and increasing per capita income also contribute to accelerated growth in studded jewelry and LGD jewelry adoption.</w:t>
      </w:r>
    </w:p>
    <w:p>
      <w:pPr>
        <w:pStyle w:val="Heading2"/>
      </w:pPr>
      <w:r>
        <w:rPr>
          <w:rFonts w:ascii="Calibri" w:hAnsi="Calibri"/>
          <w:color w:val="1F5F8B"/>
          <w:sz w:val="26"/>
        </w:rPr>
        <w:t>6.4 Operating Leverage and Efficiency Gains</w:t>
      </w:r>
    </w:p>
    <w:p>
      <w:pPr>
        <w:spacing w:after="80"/>
      </w:pPr>
      <w:r>
        <w:rPr>
          <w:rFonts w:ascii="Calibri" w:hAnsi="Calibri"/>
          <w:color w:val="333333"/>
          <w:sz w:val="20"/>
        </w:rPr>
        <w:t>IGI anticipates that increased volumes and productivity in its grading operations will translate into higher operating leverage. The company's established infrastructure and efficient processes allow it to absorb higher certification volumes with minimal incremental costs. This operational efficiency is expected to result in consistent margin expansion and strong financial translation, as demonstrated by the 230 bps EBITDA margin growth in the 15-month period ending March 2026. The focus on scale and efficiency in the LGD industry further supports IGI's ability to achieve operating leverage.</w:t>
      </w:r>
    </w:p>
    <w:p>
      <w:pPr>
        <w:pStyle w:val="Heading2"/>
      </w:pPr>
      <w:r>
        <w:rPr>
          <w:rFonts w:ascii="Calibri" w:hAnsi="Calibri"/>
          <w:color w:val="1F5F8B"/>
          <w:sz w:val="26"/>
        </w:rPr>
        <w:t>6.5 Strategic Acquisitions and Global Expansion</w:t>
      </w:r>
    </w:p>
    <w:p>
      <w:pPr>
        <w:spacing w:after="80"/>
      </w:pPr>
      <w:r>
        <w:rPr>
          <w:rFonts w:ascii="Calibri" w:hAnsi="Calibri"/>
          <w:color w:val="333333"/>
          <w:sz w:val="20"/>
        </w:rPr>
        <w:t>The recent acquisition of AGL Holdco Inc. in the USA is part of IGI's strategy to expand its global footprint and enhance its service offerings. Such strategic moves allow the company to enter new markets, acquire specialized capabilities, and diversify its revenue streams. IGI's existing presence across key diamond markets provides it with exposure to positive global trends, and the company will continue to explore opportunities for organic and inorganic growth to strengthen its market position and unlock new avenues for expansion.</w:t>
      </w:r>
    </w:p>
    <w:p>
      <w:pPr>
        <w:pStyle w:val="Heading1"/>
      </w:pPr>
      <w:r>
        <w:rPr>
          <w:rFonts w:ascii="Calibri" w:hAnsi="Calibri"/>
          <w:color w:val="1F5F8B"/>
          <w:sz w:val="32"/>
        </w:rPr>
        <w:t>7. Future Revenue &amp; EBITDA Estimates</w:t>
      </w:r>
    </w:p>
    <w:p>
      <w:pPr>
        <w:spacing w:before="0" w:after="120"/>
      </w:pPr>
    </w:p>
    <w:tbl>
      <w:tblPr>
        <w:tblW w:type="auto" w:w="0"/>
        <w:jc w:val="center"/>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440"/>
        <w:gridCol w:w="1440"/>
        <w:gridCol w:w="1440"/>
        <w:gridCol w:w="1440"/>
        <w:gridCol w:w="1440"/>
        <w:gridCol w:w="1440"/>
      </w:tblGrid>
      <w:tr>
        <w:tc>
          <w:tcPr>
            <w:tcW w:type="dxa" w:w="1440"/>
            <w:shd w:fill="1F5F8B"/>
          </w:tcPr>
          <w:p>
            <w:pPr>
              <w:spacing w:before="40" w:after="40"/>
            </w:pPr>
            <w:r>
              <w:rPr>
                <w:rFonts w:ascii="Calibri" w:hAnsi="Calibri"/>
                <w:b/>
                <w:color w:val="FFFFFF"/>
                <w:sz w:val="18"/>
              </w:rPr>
              <w:t>Particulars</w:t>
            </w:r>
          </w:p>
        </w:tc>
        <w:tc>
          <w:tcPr>
            <w:tcW w:type="dxa" w:w="1440"/>
            <w:shd w:fill="1F5F8B"/>
          </w:tcPr>
          <w:p>
            <w:pPr>
              <w:spacing w:before="40" w:after="40"/>
            </w:pPr>
            <w:r>
              <w:rPr>
                <w:rFonts w:ascii="Calibri" w:hAnsi="Calibri"/>
                <w:b/>
                <w:color w:val="FFFFFF"/>
                <w:sz w:val="18"/>
              </w:rPr>
              <w:t>FY25A (12M CY2025)</w:t>
            </w:r>
          </w:p>
        </w:tc>
        <w:tc>
          <w:tcPr>
            <w:tcW w:type="dxa" w:w="1440"/>
            <w:shd w:fill="1F5F8B"/>
          </w:tcPr>
          <w:p>
            <w:pPr>
              <w:spacing w:before="40" w:after="40"/>
            </w:pPr>
            <w:r>
              <w:rPr>
                <w:rFonts w:ascii="Calibri" w:hAnsi="Calibri"/>
                <w:b/>
                <w:color w:val="FFFFFF"/>
                <w:sz w:val="18"/>
              </w:rPr>
              <w:t>FY26E (15M 2026)</w:t>
            </w:r>
          </w:p>
        </w:tc>
        <w:tc>
          <w:tcPr>
            <w:tcW w:type="dxa" w:w="1440"/>
            <w:shd w:fill="1F5F8B"/>
          </w:tcPr>
          <w:p>
            <w:pPr>
              <w:spacing w:before="40" w:after="40"/>
            </w:pPr>
            <w:r>
              <w:rPr>
                <w:rFonts w:ascii="Calibri" w:hAnsi="Calibri"/>
                <w:b/>
                <w:color w:val="FFFFFF"/>
                <w:sz w:val="18"/>
              </w:rPr>
              <w:t>FY27E</w:t>
            </w:r>
          </w:p>
        </w:tc>
        <w:tc>
          <w:tcPr>
            <w:tcW w:type="dxa" w:w="1440"/>
            <w:shd w:fill="1F5F8B"/>
          </w:tcPr>
          <w:p>
            <w:pPr>
              <w:spacing w:before="40" w:after="40"/>
            </w:pPr>
            <w:r>
              <w:rPr>
                <w:rFonts w:ascii="Calibri" w:hAnsi="Calibri"/>
                <w:b/>
                <w:color w:val="FFFFFF"/>
                <w:sz w:val="18"/>
              </w:rPr>
              <w:t>FY28E</w:t>
            </w:r>
          </w:p>
        </w:tc>
        <w:tc>
          <w:tcPr>
            <w:tcW w:type="dxa" w:w="1440"/>
            <w:shd w:fill="1F5F8B"/>
          </w:tcPr>
          <w:p>
            <w:pPr>
              <w:spacing w:before="40" w:after="40"/>
            </w:pPr>
            <w:r>
              <w:rPr>
                <w:rFonts w:ascii="Calibri" w:hAnsi="Calibri"/>
                <w:b/>
                <w:color w:val="FFFFFF"/>
                <w:sz w:val="18"/>
              </w:rPr>
              <w:t>FY29E</w:t>
            </w:r>
          </w:p>
        </w:tc>
      </w:tr>
      <w:tr>
        <w:tc>
          <w:tcPr>
            <w:tcW w:type="dxa" w:w="1440"/>
          </w:tcPr>
          <w:p>
            <w:pPr>
              <w:spacing w:before="40" w:after="40"/>
            </w:pPr>
            <w:r>
              <w:rPr>
                <w:rFonts w:ascii="Calibri" w:hAnsi="Calibri"/>
                <w:b/>
                <w:sz w:val="18"/>
              </w:rPr>
              <w:t>Revenue from Operations (INR Mn)</w:t>
            </w:r>
          </w:p>
        </w:tc>
        <w:tc>
          <w:tcPr>
            <w:tcW w:type="dxa" w:w="1440"/>
          </w:tcPr>
          <w:p>
            <w:pPr>
              <w:spacing w:before="40" w:after="40"/>
            </w:pPr>
            <w:r>
              <w:rPr>
                <w:rFonts w:ascii="Calibri" w:hAnsi="Calibri"/>
                <w:sz w:val="18"/>
              </w:rPr>
              <w:t>12,291</w:t>
            </w:r>
          </w:p>
        </w:tc>
        <w:tc>
          <w:tcPr>
            <w:tcW w:type="dxa" w:w="1440"/>
          </w:tcPr>
          <w:p>
            <w:pPr>
              <w:spacing w:before="40" w:after="40"/>
            </w:pPr>
            <w:r>
              <w:rPr>
                <w:rFonts w:ascii="Calibri" w:hAnsi="Calibri"/>
                <w:sz w:val="18"/>
              </w:rPr>
              <w:t>15,976</w:t>
            </w:r>
          </w:p>
        </w:tc>
        <w:tc>
          <w:tcPr>
            <w:tcW w:type="dxa" w:w="1440"/>
          </w:tcPr>
          <w:p>
            <w:pPr>
              <w:spacing w:before="40" w:after="40"/>
            </w:pPr>
            <w:r>
              <w:rPr>
                <w:rFonts w:ascii="Calibri" w:hAnsi="Calibri"/>
                <w:sz w:val="18"/>
              </w:rPr>
              <w:t>18,372</w:t>
            </w:r>
          </w:p>
        </w:tc>
        <w:tc>
          <w:tcPr>
            <w:tcW w:type="dxa" w:w="1440"/>
          </w:tcPr>
          <w:p>
            <w:pPr>
              <w:spacing w:before="40" w:after="40"/>
            </w:pPr>
            <w:r>
              <w:rPr>
                <w:rFonts w:ascii="Calibri" w:hAnsi="Calibri"/>
                <w:sz w:val="18"/>
              </w:rPr>
              <w:t>20,944</w:t>
            </w:r>
          </w:p>
        </w:tc>
        <w:tc>
          <w:tcPr>
            <w:tcW w:type="dxa" w:w="1440"/>
          </w:tcPr>
          <w:p>
            <w:pPr>
              <w:spacing w:before="40" w:after="40"/>
            </w:pPr>
            <w:r>
              <w:rPr>
                <w:rFonts w:ascii="Calibri" w:hAnsi="Calibri"/>
                <w:sz w:val="18"/>
              </w:rPr>
              <w:t>23,667</w:t>
            </w:r>
          </w:p>
        </w:tc>
      </w:tr>
      <w:tr>
        <w:tc>
          <w:tcPr>
            <w:tcW w:type="dxa" w:w="1440"/>
            <w:shd w:fill="E8F0FE"/>
          </w:tcPr>
          <w:p>
            <w:pPr>
              <w:spacing w:before="40" w:after="40"/>
            </w:pPr>
            <w:r>
              <w:rPr>
                <w:rFonts w:ascii="Calibri" w:hAnsi="Calibri"/>
                <w:b/>
                <w:sz w:val="18"/>
              </w:rPr>
              <w:t>Revenue Growth (%)</w:t>
            </w:r>
          </w:p>
        </w:tc>
        <w:tc>
          <w:tcPr>
            <w:tcW w:type="dxa" w:w="1440"/>
            <w:shd w:fill="E8F0FE"/>
          </w:tcPr>
          <w:p>
            <w:pPr>
              <w:spacing w:before="40" w:after="40"/>
            </w:pPr>
            <w:r>
              <w:rPr>
                <w:rFonts w:ascii="Calibri" w:hAnsi="Calibri"/>
                <w:sz w:val="18"/>
              </w:rPr>
              <w:t>17.0%</w:t>
            </w:r>
          </w:p>
        </w:tc>
        <w:tc>
          <w:tcPr>
            <w:tcW w:type="dxa" w:w="1440"/>
            <w:shd w:fill="E8F0FE"/>
          </w:tcPr>
          <w:p>
            <w:pPr>
              <w:spacing w:before="40" w:after="40"/>
            </w:pPr>
            <w:r>
              <w:rPr>
                <w:rFonts w:ascii="Calibri" w:hAnsi="Calibri"/>
                <w:sz w:val="18"/>
              </w:rPr>
              <w:t>18.0%</w:t>
            </w:r>
          </w:p>
        </w:tc>
        <w:tc>
          <w:tcPr>
            <w:tcW w:type="dxa" w:w="1440"/>
            <w:shd w:fill="E8F0FE"/>
          </w:tcPr>
          <w:p>
            <w:pPr>
              <w:spacing w:before="40" w:after="40"/>
            </w:pPr>
            <w:r>
              <w:rPr>
                <w:rFonts w:ascii="Calibri" w:hAnsi="Calibri"/>
                <w:sz w:val="18"/>
              </w:rPr>
              <w:t>15.0%</w:t>
            </w:r>
          </w:p>
        </w:tc>
        <w:tc>
          <w:tcPr>
            <w:tcW w:type="dxa" w:w="1440"/>
            <w:shd w:fill="E8F0FE"/>
          </w:tcPr>
          <w:p>
            <w:pPr>
              <w:spacing w:before="40" w:after="40"/>
            </w:pPr>
            <w:r>
              <w:rPr>
                <w:rFonts w:ascii="Calibri" w:hAnsi="Calibri"/>
                <w:sz w:val="18"/>
              </w:rPr>
              <w:t>14.0%</w:t>
            </w:r>
          </w:p>
        </w:tc>
        <w:tc>
          <w:tcPr>
            <w:tcW w:type="dxa" w:w="1440"/>
            <w:shd w:fill="E8F0FE"/>
          </w:tcPr>
          <w:p>
            <w:pPr>
              <w:spacing w:before="40" w:after="40"/>
            </w:pPr>
            <w:r>
              <w:rPr>
                <w:rFonts w:ascii="Calibri" w:hAnsi="Calibri"/>
                <w:sz w:val="18"/>
              </w:rPr>
              <w:t>13.0%</w:t>
            </w:r>
          </w:p>
        </w:tc>
      </w:tr>
      <w:tr>
        <w:tc>
          <w:tcPr>
            <w:tcW w:type="dxa" w:w="1440"/>
          </w:tcPr>
          <w:p>
            <w:pPr>
              <w:spacing w:before="40" w:after="40"/>
            </w:pPr>
            <w:r>
              <w:rPr>
                <w:rFonts w:ascii="Calibri" w:hAnsi="Calibri"/>
                <w:b/>
                <w:sz w:val="18"/>
              </w:rPr>
              <w:t>Gross Profit (INR Mn)</w:t>
            </w:r>
          </w:p>
        </w:tc>
        <w:tc>
          <w:tcPr>
            <w:tcW w:type="dxa" w:w="1440"/>
          </w:tcPr>
          <w:p>
            <w:pPr>
              <w:spacing w:before="40" w:after="40"/>
            </w:pPr>
            <w:r>
              <w:rPr>
                <w:rFonts w:ascii="Calibri" w:hAnsi="Calibri"/>
                <w:sz w:val="18"/>
              </w:rPr>
              <w:t>8,500</w:t>
            </w:r>
          </w:p>
        </w:tc>
        <w:tc>
          <w:tcPr>
            <w:tcW w:type="dxa" w:w="1440"/>
          </w:tcPr>
          <w:p>
            <w:pPr>
              <w:spacing w:before="40" w:after="40"/>
            </w:pPr>
            <w:r>
              <w:rPr>
                <w:rFonts w:ascii="Calibri" w:hAnsi="Calibri"/>
                <w:sz w:val="18"/>
              </w:rPr>
              <w:t>11,000</w:t>
            </w:r>
          </w:p>
        </w:tc>
        <w:tc>
          <w:tcPr>
            <w:tcW w:type="dxa" w:w="1440"/>
          </w:tcPr>
          <w:p>
            <w:pPr>
              <w:spacing w:before="40" w:after="40"/>
            </w:pPr>
            <w:r>
              <w:rPr>
                <w:rFonts w:ascii="Calibri" w:hAnsi="Calibri"/>
                <w:sz w:val="18"/>
              </w:rPr>
              <w:t>12,760</w:t>
            </w:r>
          </w:p>
        </w:tc>
        <w:tc>
          <w:tcPr>
            <w:tcW w:type="dxa" w:w="1440"/>
          </w:tcPr>
          <w:p>
            <w:pPr>
              <w:spacing w:before="40" w:after="40"/>
            </w:pPr>
            <w:r>
              <w:rPr>
                <w:rFonts w:ascii="Calibri" w:hAnsi="Calibri"/>
                <w:sz w:val="18"/>
              </w:rPr>
              <w:t>14,674</w:t>
            </w:r>
          </w:p>
        </w:tc>
        <w:tc>
          <w:tcPr>
            <w:tcW w:type="dxa" w:w="1440"/>
          </w:tcPr>
          <w:p>
            <w:pPr>
              <w:spacing w:before="40" w:after="40"/>
            </w:pPr>
            <w:r>
              <w:rPr>
                <w:rFonts w:ascii="Calibri" w:hAnsi="Calibri"/>
                <w:sz w:val="18"/>
              </w:rPr>
              <w:t>16,734</w:t>
            </w:r>
          </w:p>
        </w:tc>
      </w:tr>
      <w:tr>
        <w:tc>
          <w:tcPr>
            <w:tcW w:type="dxa" w:w="1440"/>
            <w:shd w:fill="E8F0FE"/>
          </w:tcPr>
          <w:p>
            <w:pPr>
              <w:spacing w:before="40" w:after="40"/>
            </w:pPr>
            <w:r>
              <w:rPr>
                <w:rFonts w:ascii="Calibri" w:hAnsi="Calibri"/>
                <w:b/>
                <w:sz w:val="18"/>
              </w:rPr>
              <w:t>Gross Margin (%)</w:t>
            </w:r>
          </w:p>
        </w:tc>
        <w:tc>
          <w:tcPr>
            <w:tcW w:type="dxa" w:w="1440"/>
            <w:shd w:fill="E8F0FE"/>
          </w:tcPr>
          <w:p>
            <w:pPr>
              <w:spacing w:before="40" w:after="40"/>
            </w:pPr>
            <w:r>
              <w:rPr>
                <w:rFonts w:ascii="Calibri" w:hAnsi="Calibri"/>
                <w:sz w:val="18"/>
              </w:rPr>
              <w:t>69.1%</w:t>
            </w:r>
          </w:p>
        </w:tc>
        <w:tc>
          <w:tcPr>
            <w:tcW w:type="dxa" w:w="1440"/>
            <w:shd w:fill="E8F0FE"/>
          </w:tcPr>
          <w:p>
            <w:pPr>
              <w:spacing w:before="40" w:after="40"/>
            </w:pPr>
            <w:r>
              <w:rPr>
                <w:rFonts w:ascii="Calibri" w:hAnsi="Calibri"/>
                <w:sz w:val="18"/>
              </w:rPr>
              <w:t>68.9%</w:t>
            </w:r>
          </w:p>
        </w:tc>
        <w:tc>
          <w:tcPr>
            <w:tcW w:type="dxa" w:w="1440"/>
            <w:shd w:fill="E8F0FE"/>
          </w:tcPr>
          <w:p>
            <w:pPr>
              <w:spacing w:before="40" w:after="40"/>
            </w:pPr>
            <w:r>
              <w:rPr>
                <w:rFonts w:ascii="Calibri" w:hAnsi="Calibri"/>
                <w:sz w:val="18"/>
              </w:rPr>
              <w:t>69.5%</w:t>
            </w:r>
          </w:p>
        </w:tc>
        <w:tc>
          <w:tcPr>
            <w:tcW w:type="dxa" w:w="1440"/>
            <w:shd w:fill="E8F0FE"/>
          </w:tcPr>
          <w:p>
            <w:pPr>
              <w:spacing w:before="40" w:after="40"/>
            </w:pPr>
            <w:r>
              <w:rPr>
                <w:rFonts w:ascii="Calibri" w:hAnsi="Calibri"/>
                <w:sz w:val="18"/>
              </w:rPr>
              <w:t>70.1%</w:t>
            </w:r>
          </w:p>
        </w:tc>
        <w:tc>
          <w:tcPr>
            <w:tcW w:type="dxa" w:w="1440"/>
            <w:shd w:fill="E8F0FE"/>
          </w:tcPr>
          <w:p>
            <w:pPr>
              <w:spacing w:before="40" w:after="40"/>
            </w:pPr>
            <w:r>
              <w:rPr>
                <w:rFonts w:ascii="Calibri" w:hAnsi="Calibri"/>
                <w:sz w:val="18"/>
              </w:rPr>
              <w:t>70.7%</w:t>
            </w:r>
          </w:p>
        </w:tc>
      </w:tr>
      <w:tr>
        <w:tc>
          <w:tcPr>
            <w:tcW w:type="dxa" w:w="1440"/>
          </w:tcPr>
          <w:p>
            <w:pPr>
              <w:spacing w:before="40" w:after="40"/>
            </w:pPr>
            <w:r>
              <w:rPr>
                <w:rFonts w:ascii="Calibri" w:hAnsi="Calibri"/>
                <w:b/>
                <w:sz w:val="18"/>
              </w:rPr>
              <w:t>EBITDA (Operating) (INR Mn)</w:t>
            </w:r>
          </w:p>
        </w:tc>
        <w:tc>
          <w:tcPr>
            <w:tcW w:type="dxa" w:w="1440"/>
          </w:tcPr>
          <w:p>
            <w:pPr>
              <w:spacing w:before="40" w:after="40"/>
            </w:pPr>
            <w:r>
              <w:rPr>
                <w:rFonts w:ascii="Calibri" w:hAnsi="Calibri"/>
                <w:sz w:val="18"/>
              </w:rPr>
              <w:t>7,367</w:t>
            </w:r>
          </w:p>
        </w:tc>
        <w:tc>
          <w:tcPr>
            <w:tcW w:type="dxa" w:w="1440"/>
          </w:tcPr>
          <w:p>
            <w:pPr>
              <w:spacing w:before="40" w:after="40"/>
            </w:pPr>
            <w:r>
              <w:rPr>
                <w:rFonts w:ascii="Calibri" w:hAnsi="Calibri"/>
                <w:sz w:val="18"/>
              </w:rPr>
              <w:t>9,728</w:t>
            </w:r>
          </w:p>
        </w:tc>
        <w:tc>
          <w:tcPr>
            <w:tcW w:type="dxa" w:w="1440"/>
          </w:tcPr>
          <w:p>
            <w:pPr>
              <w:spacing w:before="40" w:after="40"/>
            </w:pPr>
            <w:r>
              <w:rPr>
                <w:rFonts w:ascii="Calibri" w:hAnsi="Calibri"/>
                <w:sz w:val="18"/>
              </w:rPr>
              <w:t>11,300</w:t>
            </w:r>
          </w:p>
        </w:tc>
        <w:tc>
          <w:tcPr>
            <w:tcW w:type="dxa" w:w="1440"/>
          </w:tcPr>
          <w:p>
            <w:pPr>
              <w:spacing w:before="40" w:after="40"/>
            </w:pPr>
            <w:r>
              <w:rPr>
                <w:rFonts w:ascii="Calibri" w:hAnsi="Calibri"/>
                <w:sz w:val="18"/>
              </w:rPr>
              <w:t>13,000</w:t>
            </w:r>
          </w:p>
        </w:tc>
        <w:tc>
          <w:tcPr>
            <w:tcW w:type="dxa" w:w="1440"/>
          </w:tcPr>
          <w:p>
            <w:pPr>
              <w:spacing w:before="40" w:after="40"/>
            </w:pPr>
            <w:r>
              <w:rPr>
                <w:rFonts w:ascii="Calibri" w:hAnsi="Calibri"/>
                <w:sz w:val="18"/>
              </w:rPr>
              <w:t>14,800</w:t>
            </w:r>
          </w:p>
        </w:tc>
      </w:tr>
      <w:tr>
        <w:tc>
          <w:tcPr>
            <w:tcW w:type="dxa" w:w="1440"/>
            <w:shd w:fill="E8F0FE"/>
          </w:tcPr>
          <w:p>
            <w:pPr>
              <w:spacing w:before="40" w:after="40"/>
            </w:pPr>
            <w:r>
              <w:rPr>
                <w:rFonts w:ascii="Calibri" w:hAnsi="Calibri"/>
                <w:b/>
                <w:sz w:val="18"/>
              </w:rPr>
              <w:t>EBITDA Margin (%)</w:t>
            </w:r>
          </w:p>
        </w:tc>
        <w:tc>
          <w:tcPr>
            <w:tcW w:type="dxa" w:w="1440"/>
            <w:shd w:fill="E8F0FE"/>
          </w:tcPr>
          <w:p>
            <w:pPr>
              <w:spacing w:before="40" w:after="40"/>
            </w:pPr>
            <w:r>
              <w:rPr>
                <w:rFonts w:ascii="Calibri" w:hAnsi="Calibri"/>
                <w:sz w:val="18"/>
              </w:rPr>
              <w:t>59.9%</w:t>
            </w:r>
          </w:p>
        </w:tc>
        <w:tc>
          <w:tcPr>
            <w:tcW w:type="dxa" w:w="1440"/>
            <w:shd w:fill="E8F0FE"/>
          </w:tcPr>
          <w:p>
            <w:pPr>
              <w:spacing w:before="40" w:after="40"/>
            </w:pPr>
            <w:r>
              <w:rPr>
                <w:rFonts w:ascii="Calibri" w:hAnsi="Calibri"/>
                <w:sz w:val="18"/>
              </w:rPr>
              <w:t>60.9%</w:t>
            </w:r>
          </w:p>
        </w:tc>
        <w:tc>
          <w:tcPr>
            <w:tcW w:type="dxa" w:w="1440"/>
            <w:shd w:fill="E8F0FE"/>
          </w:tcPr>
          <w:p>
            <w:pPr>
              <w:spacing w:before="40" w:after="40"/>
            </w:pPr>
            <w:r>
              <w:rPr>
                <w:rFonts w:ascii="Calibri" w:hAnsi="Calibri"/>
                <w:sz w:val="18"/>
              </w:rPr>
              <w:t>61.5%</w:t>
            </w:r>
          </w:p>
        </w:tc>
        <w:tc>
          <w:tcPr>
            <w:tcW w:type="dxa" w:w="1440"/>
            <w:shd w:fill="E8F0FE"/>
          </w:tcPr>
          <w:p>
            <w:pPr>
              <w:spacing w:before="40" w:after="40"/>
            </w:pPr>
            <w:r>
              <w:rPr>
                <w:rFonts w:ascii="Calibri" w:hAnsi="Calibri"/>
                <w:sz w:val="18"/>
              </w:rPr>
              <w:t>62.1%</w:t>
            </w:r>
          </w:p>
        </w:tc>
        <w:tc>
          <w:tcPr>
            <w:tcW w:type="dxa" w:w="1440"/>
            <w:shd w:fill="E8F0FE"/>
          </w:tcPr>
          <w:p>
            <w:pPr>
              <w:spacing w:before="40" w:after="40"/>
            </w:pPr>
            <w:r>
              <w:rPr>
                <w:rFonts w:ascii="Calibri" w:hAnsi="Calibri"/>
                <w:sz w:val="18"/>
              </w:rPr>
              <w:t>62.5%</w:t>
            </w:r>
          </w:p>
        </w:tc>
      </w:tr>
      <w:tr>
        <w:tc>
          <w:tcPr>
            <w:tcW w:type="dxa" w:w="1440"/>
          </w:tcPr>
          <w:p>
            <w:pPr>
              <w:spacing w:before="40" w:after="40"/>
            </w:pPr>
            <w:r>
              <w:rPr>
                <w:rFonts w:ascii="Calibri" w:hAnsi="Calibri"/>
                <w:b/>
                <w:sz w:val="18"/>
              </w:rPr>
              <w:t>Depreciation (INR Mn)</w:t>
            </w:r>
          </w:p>
        </w:tc>
        <w:tc>
          <w:tcPr>
            <w:tcW w:type="dxa" w:w="1440"/>
          </w:tcPr>
          <w:p>
            <w:pPr>
              <w:spacing w:before="40" w:after="40"/>
            </w:pPr>
            <w:r>
              <w:rPr>
                <w:rFonts w:ascii="Calibri" w:hAnsi="Calibri"/>
                <w:sz w:val="18"/>
              </w:rPr>
              <w:t>415</w:t>
            </w:r>
          </w:p>
        </w:tc>
        <w:tc>
          <w:tcPr>
            <w:tcW w:type="dxa" w:w="1440"/>
          </w:tcPr>
          <w:p>
            <w:pPr>
              <w:spacing w:before="40" w:after="40"/>
            </w:pPr>
            <w:r>
              <w:rPr>
                <w:rFonts w:ascii="Calibri" w:hAnsi="Calibri"/>
                <w:sz w:val="18"/>
              </w:rPr>
              <w:t>558</w:t>
            </w:r>
          </w:p>
        </w:tc>
        <w:tc>
          <w:tcPr>
            <w:tcW w:type="dxa" w:w="1440"/>
          </w:tcPr>
          <w:p>
            <w:pPr>
              <w:spacing w:before="40" w:after="40"/>
            </w:pPr>
            <w:r>
              <w:rPr>
                <w:rFonts w:ascii="Calibri" w:hAnsi="Calibri"/>
                <w:sz w:val="18"/>
              </w:rPr>
              <w:t>614</w:t>
            </w:r>
          </w:p>
        </w:tc>
        <w:tc>
          <w:tcPr>
            <w:tcW w:type="dxa" w:w="1440"/>
          </w:tcPr>
          <w:p>
            <w:pPr>
              <w:spacing w:before="40" w:after="40"/>
            </w:pPr>
            <w:r>
              <w:rPr>
                <w:rFonts w:ascii="Calibri" w:hAnsi="Calibri"/>
                <w:sz w:val="18"/>
              </w:rPr>
              <w:t>675</w:t>
            </w:r>
          </w:p>
        </w:tc>
        <w:tc>
          <w:tcPr>
            <w:tcW w:type="dxa" w:w="1440"/>
          </w:tcPr>
          <w:p>
            <w:pPr>
              <w:spacing w:before="40" w:after="40"/>
            </w:pPr>
            <w:r>
              <w:rPr>
                <w:rFonts w:ascii="Calibri" w:hAnsi="Calibri"/>
                <w:sz w:val="18"/>
              </w:rPr>
              <w:t>743</w:t>
            </w:r>
          </w:p>
        </w:tc>
      </w:tr>
      <w:tr>
        <w:tc>
          <w:tcPr>
            <w:tcW w:type="dxa" w:w="1440"/>
            <w:shd w:fill="E8F0FE"/>
          </w:tcPr>
          <w:p>
            <w:pPr>
              <w:spacing w:before="40" w:after="40"/>
            </w:pPr>
            <w:r>
              <w:rPr>
                <w:rFonts w:ascii="Calibri" w:hAnsi="Calibri"/>
                <w:b/>
                <w:sz w:val="18"/>
              </w:rPr>
              <w:t>Finance Cost (INR Mn)</w:t>
            </w:r>
          </w:p>
        </w:tc>
        <w:tc>
          <w:tcPr>
            <w:tcW w:type="dxa" w:w="1440"/>
            <w:shd w:fill="E8F0FE"/>
          </w:tcPr>
          <w:p>
            <w:pPr>
              <w:spacing w:before="40" w:after="40"/>
            </w:pPr>
            <w:r>
              <w:rPr>
                <w:rFonts w:ascii="Calibri" w:hAnsi="Calibri"/>
                <w:sz w:val="18"/>
              </w:rPr>
              <w:t>83</w:t>
            </w:r>
          </w:p>
        </w:tc>
        <w:tc>
          <w:tcPr>
            <w:tcW w:type="dxa" w:w="1440"/>
            <w:shd w:fill="E8F0FE"/>
          </w:tcPr>
          <w:p>
            <w:pPr>
              <w:spacing w:before="40" w:after="40"/>
            </w:pPr>
            <w:r>
              <w:rPr>
                <w:rFonts w:ascii="Calibri" w:hAnsi="Calibri"/>
                <w:sz w:val="18"/>
              </w:rPr>
              <w:t>124</w:t>
            </w:r>
          </w:p>
        </w:tc>
        <w:tc>
          <w:tcPr>
            <w:tcW w:type="dxa" w:w="1440"/>
            <w:shd w:fill="E8F0FE"/>
          </w:tcPr>
          <w:p>
            <w:pPr>
              <w:spacing w:before="40" w:after="40"/>
            </w:pPr>
            <w:r>
              <w:rPr>
                <w:rFonts w:ascii="Calibri" w:hAnsi="Calibri"/>
                <w:sz w:val="18"/>
              </w:rPr>
              <w:t>125</w:t>
            </w:r>
          </w:p>
        </w:tc>
        <w:tc>
          <w:tcPr>
            <w:tcW w:type="dxa" w:w="1440"/>
            <w:shd w:fill="E8F0FE"/>
          </w:tcPr>
          <w:p>
            <w:pPr>
              <w:spacing w:before="40" w:after="40"/>
            </w:pPr>
            <w:r>
              <w:rPr>
                <w:rFonts w:ascii="Calibri" w:hAnsi="Calibri"/>
                <w:sz w:val="18"/>
              </w:rPr>
              <w:t>125</w:t>
            </w:r>
          </w:p>
        </w:tc>
        <w:tc>
          <w:tcPr>
            <w:tcW w:type="dxa" w:w="1440"/>
            <w:shd w:fill="E8F0FE"/>
          </w:tcPr>
          <w:p>
            <w:pPr>
              <w:spacing w:before="40" w:after="40"/>
            </w:pPr>
            <w:r>
              <w:rPr>
                <w:rFonts w:ascii="Calibri" w:hAnsi="Calibri"/>
                <w:sz w:val="18"/>
              </w:rPr>
              <w:t>125</w:t>
            </w:r>
          </w:p>
        </w:tc>
      </w:tr>
      <w:tr>
        <w:tc>
          <w:tcPr>
            <w:tcW w:type="dxa" w:w="1440"/>
          </w:tcPr>
          <w:p>
            <w:pPr>
              <w:spacing w:before="40" w:after="40"/>
            </w:pPr>
            <w:r>
              <w:rPr>
                <w:rFonts w:ascii="Calibri" w:hAnsi="Calibri"/>
                <w:b/>
                <w:sz w:val="18"/>
              </w:rPr>
              <w:t>PBT (Operating) (INR Mn)</w:t>
            </w:r>
          </w:p>
        </w:tc>
        <w:tc>
          <w:tcPr>
            <w:tcW w:type="dxa" w:w="1440"/>
          </w:tcPr>
          <w:p>
            <w:pPr>
              <w:spacing w:before="40" w:after="40"/>
            </w:pPr>
            <w:r>
              <w:rPr>
                <w:rFonts w:ascii="Calibri" w:hAnsi="Calibri"/>
                <w:sz w:val="18"/>
              </w:rPr>
              <w:t>6,869</w:t>
            </w:r>
          </w:p>
        </w:tc>
        <w:tc>
          <w:tcPr>
            <w:tcW w:type="dxa" w:w="1440"/>
          </w:tcPr>
          <w:p>
            <w:pPr>
              <w:spacing w:before="40" w:after="40"/>
            </w:pPr>
            <w:r>
              <w:rPr>
                <w:rFonts w:ascii="Calibri" w:hAnsi="Calibri"/>
                <w:sz w:val="18"/>
              </w:rPr>
              <w:t>9,030</w:t>
            </w:r>
          </w:p>
        </w:tc>
        <w:tc>
          <w:tcPr>
            <w:tcW w:type="dxa" w:w="1440"/>
          </w:tcPr>
          <w:p>
            <w:pPr>
              <w:spacing w:before="40" w:after="40"/>
            </w:pPr>
            <w:r>
              <w:rPr>
                <w:rFonts w:ascii="Calibri" w:hAnsi="Calibri"/>
                <w:sz w:val="18"/>
              </w:rPr>
              <w:t>10,561</w:t>
            </w:r>
          </w:p>
        </w:tc>
        <w:tc>
          <w:tcPr>
            <w:tcW w:type="dxa" w:w="1440"/>
          </w:tcPr>
          <w:p>
            <w:pPr>
              <w:spacing w:before="40" w:after="40"/>
            </w:pPr>
            <w:r>
              <w:rPr>
                <w:rFonts w:ascii="Calibri" w:hAnsi="Calibri"/>
                <w:sz w:val="18"/>
              </w:rPr>
              <w:t>12,200</w:t>
            </w:r>
          </w:p>
        </w:tc>
        <w:tc>
          <w:tcPr>
            <w:tcW w:type="dxa" w:w="1440"/>
          </w:tcPr>
          <w:p>
            <w:pPr>
              <w:spacing w:before="40" w:after="40"/>
            </w:pPr>
            <w:r>
              <w:rPr>
                <w:rFonts w:ascii="Calibri" w:hAnsi="Calibri"/>
                <w:sz w:val="18"/>
              </w:rPr>
              <w:t>13,932</w:t>
            </w:r>
          </w:p>
        </w:tc>
      </w:tr>
      <w:tr>
        <w:tc>
          <w:tcPr>
            <w:tcW w:type="dxa" w:w="1440"/>
            <w:shd w:fill="E8F0FE"/>
          </w:tcPr>
          <w:p>
            <w:pPr>
              <w:spacing w:before="40" w:after="40"/>
            </w:pPr>
            <w:r>
              <w:rPr>
                <w:rFonts w:ascii="Calibri" w:hAnsi="Calibri"/>
                <w:b/>
                <w:sz w:val="18"/>
              </w:rPr>
              <w:t>Tax (INR Mn)</w:t>
            </w:r>
          </w:p>
        </w:tc>
        <w:tc>
          <w:tcPr>
            <w:tcW w:type="dxa" w:w="1440"/>
            <w:shd w:fill="E8F0FE"/>
          </w:tcPr>
          <w:p>
            <w:pPr>
              <w:spacing w:before="40" w:after="40"/>
            </w:pPr>
            <w:r>
              <w:rPr>
                <w:rFonts w:ascii="Calibri" w:hAnsi="Calibri"/>
                <w:sz w:val="18"/>
              </w:rPr>
              <w:t>1,580</w:t>
            </w:r>
          </w:p>
        </w:tc>
        <w:tc>
          <w:tcPr>
            <w:tcW w:type="dxa" w:w="1440"/>
            <w:shd w:fill="E8F0FE"/>
          </w:tcPr>
          <w:p>
            <w:pPr>
              <w:spacing w:before="40" w:after="40"/>
            </w:pPr>
            <w:r>
              <w:rPr>
                <w:rFonts w:ascii="Calibri" w:hAnsi="Calibri"/>
                <w:sz w:val="18"/>
              </w:rPr>
              <w:t>2,575</w:t>
            </w:r>
          </w:p>
        </w:tc>
        <w:tc>
          <w:tcPr>
            <w:tcW w:type="dxa" w:w="1440"/>
            <w:shd w:fill="E8F0FE"/>
          </w:tcPr>
          <w:p>
            <w:pPr>
              <w:spacing w:before="40" w:after="40"/>
            </w:pPr>
            <w:r>
              <w:rPr>
                <w:rFonts w:ascii="Calibri" w:hAnsi="Calibri"/>
                <w:sz w:val="18"/>
              </w:rPr>
              <w:t>2,852</w:t>
            </w:r>
          </w:p>
        </w:tc>
        <w:tc>
          <w:tcPr>
            <w:tcW w:type="dxa" w:w="1440"/>
            <w:shd w:fill="E8F0FE"/>
          </w:tcPr>
          <w:p>
            <w:pPr>
              <w:spacing w:before="40" w:after="40"/>
            </w:pPr>
            <w:r>
              <w:rPr>
                <w:rFonts w:ascii="Calibri" w:hAnsi="Calibri"/>
                <w:sz w:val="18"/>
              </w:rPr>
              <w:t>3,294</w:t>
            </w:r>
          </w:p>
        </w:tc>
        <w:tc>
          <w:tcPr>
            <w:tcW w:type="dxa" w:w="1440"/>
            <w:shd w:fill="E8F0FE"/>
          </w:tcPr>
          <w:p>
            <w:pPr>
              <w:spacing w:before="40" w:after="40"/>
            </w:pPr>
            <w:r>
              <w:rPr>
                <w:rFonts w:ascii="Calibri" w:hAnsi="Calibri"/>
                <w:sz w:val="18"/>
              </w:rPr>
              <w:t>3,762</w:t>
            </w:r>
          </w:p>
        </w:tc>
      </w:tr>
      <w:tr>
        <w:tc>
          <w:tcPr>
            <w:tcW w:type="dxa" w:w="1440"/>
          </w:tcPr>
          <w:p>
            <w:pPr>
              <w:spacing w:before="40" w:after="40"/>
            </w:pPr>
            <w:r>
              <w:rPr>
                <w:rFonts w:ascii="Calibri" w:hAnsi="Calibri"/>
                <w:b/>
                <w:sz w:val="18"/>
              </w:rPr>
              <w:t>PAT (Operating) (INR Mn)</w:t>
            </w:r>
          </w:p>
        </w:tc>
        <w:tc>
          <w:tcPr>
            <w:tcW w:type="dxa" w:w="1440"/>
          </w:tcPr>
          <w:p>
            <w:pPr>
              <w:spacing w:before="40" w:after="40"/>
            </w:pPr>
            <w:r>
              <w:rPr>
                <w:rFonts w:ascii="Calibri" w:hAnsi="Calibri"/>
                <w:sz w:val="18"/>
              </w:rPr>
              <w:t>5,316</w:t>
            </w:r>
          </w:p>
        </w:tc>
        <w:tc>
          <w:tcPr>
            <w:tcW w:type="dxa" w:w="1440"/>
          </w:tcPr>
          <w:p>
            <w:pPr>
              <w:spacing w:before="40" w:after="40"/>
            </w:pPr>
            <w:r>
              <w:rPr>
                <w:rFonts w:ascii="Calibri" w:hAnsi="Calibri"/>
                <w:sz w:val="18"/>
              </w:rPr>
              <w:t>7,112</w:t>
            </w:r>
          </w:p>
        </w:tc>
        <w:tc>
          <w:tcPr>
            <w:tcW w:type="dxa" w:w="1440"/>
          </w:tcPr>
          <w:p>
            <w:pPr>
              <w:spacing w:before="40" w:after="40"/>
            </w:pPr>
            <w:r>
              <w:rPr>
                <w:rFonts w:ascii="Calibri" w:hAnsi="Calibri"/>
                <w:sz w:val="18"/>
              </w:rPr>
              <w:t>7,709</w:t>
            </w:r>
          </w:p>
        </w:tc>
        <w:tc>
          <w:tcPr>
            <w:tcW w:type="dxa" w:w="1440"/>
          </w:tcPr>
          <w:p>
            <w:pPr>
              <w:spacing w:before="40" w:after="40"/>
            </w:pPr>
            <w:r>
              <w:rPr>
                <w:rFonts w:ascii="Calibri" w:hAnsi="Calibri"/>
                <w:sz w:val="18"/>
              </w:rPr>
              <w:t>8,906</w:t>
            </w:r>
          </w:p>
        </w:tc>
        <w:tc>
          <w:tcPr>
            <w:tcW w:type="dxa" w:w="1440"/>
          </w:tcPr>
          <w:p>
            <w:pPr>
              <w:spacing w:before="40" w:after="40"/>
            </w:pPr>
            <w:r>
              <w:rPr>
                <w:rFonts w:ascii="Calibri" w:hAnsi="Calibri"/>
                <w:sz w:val="18"/>
              </w:rPr>
              <w:t>10,170</w:t>
            </w:r>
          </w:p>
        </w:tc>
      </w:tr>
      <w:tr>
        <w:tc>
          <w:tcPr>
            <w:tcW w:type="dxa" w:w="1440"/>
            <w:shd w:fill="E8F0FE"/>
          </w:tcPr>
          <w:p>
            <w:pPr>
              <w:spacing w:before="40" w:after="40"/>
            </w:pPr>
            <w:r>
              <w:rPr>
                <w:rFonts w:ascii="Calibri" w:hAnsi="Calibri"/>
                <w:b/>
                <w:sz w:val="18"/>
              </w:rPr>
              <w:t>EPS (Operating) (INR)</w:t>
            </w:r>
          </w:p>
        </w:tc>
        <w:tc>
          <w:tcPr>
            <w:tcW w:type="dxa" w:w="1440"/>
            <w:shd w:fill="E8F0FE"/>
          </w:tcPr>
          <w:p>
            <w:pPr>
              <w:spacing w:before="40" w:after="40"/>
            </w:pPr>
            <w:r>
              <w:rPr>
                <w:rFonts w:ascii="Calibri" w:hAnsi="Calibri"/>
                <w:sz w:val="18"/>
              </w:rPr>
              <w:t>12.30</w:t>
            </w:r>
          </w:p>
        </w:tc>
        <w:tc>
          <w:tcPr>
            <w:tcW w:type="dxa" w:w="1440"/>
            <w:shd w:fill="E8F0FE"/>
          </w:tcPr>
          <w:p>
            <w:pPr>
              <w:spacing w:before="40" w:after="40"/>
            </w:pPr>
            <w:r>
              <w:rPr>
                <w:rFonts w:ascii="Calibri" w:hAnsi="Calibri"/>
                <w:sz w:val="18"/>
              </w:rPr>
              <w:t>16.46</w:t>
            </w:r>
          </w:p>
        </w:tc>
        <w:tc>
          <w:tcPr>
            <w:tcW w:type="dxa" w:w="1440"/>
            <w:shd w:fill="E8F0FE"/>
          </w:tcPr>
          <w:p>
            <w:pPr>
              <w:spacing w:before="40" w:after="40"/>
            </w:pPr>
            <w:r>
              <w:rPr>
                <w:rFonts w:ascii="Calibri" w:hAnsi="Calibri"/>
                <w:sz w:val="18"/>
              </w:rPr>
              <w:t>17.84</w:t>
            </w:r>
          </w:p>
        </w:tc>
        <w:tc>
          <w:tcPr>
            <w:tcW w:type="dxa" w:w="1440"/>
            <w:shd w:fill="E8F0FE"/>
          </w:tcPr>
          <w:p>
            <w:pPr>
              <w:spacing w:before="40" w:after="40"/>
            </w:pPr>
            <w:r>
              <w:rPr>
                <w:rFonts w:ascii="Calibri" w:hAnsi="Calibri"/>
                <w:sz w:val="18"/>
              </w:rPr>
              <w:t>20.61</w:t>
            </w:r>
          </w:p>
        </w:tc>
        <w:tc>
          <w:tcPr>
            <w:tcW w:type="dxa" w:w="1440"/>
            <w:shd w:fill="E8F0FE"/>
          </w:tcPr>
          <w:p>
            <w:pPr>
              <w:spacing w:before="40" w:after="40"/>
            </w:pPr>
            <w:r>
              <w:rPr>
                <w:rFonts w:ascii="Calibri" w:hAnsi="Calibri"/>
                <w:sz w:val="18"/>
              </w:rPr>
              <w:t>23.53</w:t>
            </w:r>
          </w:p>
        </w:tc>
      </w:tr>
    </w:tbl>
    <w:p/>
    <w:p>
      <w:r>
        <w:rPr>
          <w:rFonts w:ascii="Calibri" w:hAnsi="Calibri"/>
          <w:i/>
          <w:color w:val="666666"/>
          <w:sz w:val="18"/>
        </w:rPr>
        <w:t>Note: FY25A is for 12 months (CY2025), FY26E is for 15 months (Jan 2025 - Mar 2026). Subsequent years are annualized estimates.</w:t>
      </w:r>
    </w:p>
    <w:p>
      <w:pPr>
        <w:pStyle w:val="Heading2"/>
      </w:pPr>
      <w:r>
        <w:rPr>
          <w:rFonts w:ascii="Calibri" w:hAnsi="Calibri"/>
          <w:color w:val="1F5F8B"/>
          <w:sz w:val="26"/>
        </w:rPr>
        <w:t>7.1 Key Assumptions Behind Estimates</w:t>
      </w:r>
    </w:p>
    <w:p>
      <w:pPr>
        <w:pStyle w:val="ListBullet"/>
        <w:spacing w:after="80"/>
      </w:pPr>
      <w:r>
        <w:rPr>
          <w:rFonts w:ascii="Calibri" w:hAnsi="Calibri"/>
          <w:color w:val="333333"/>
          <w:sz w:val="20"/>
        </w:rPr>
        <w:t xml:space="preserve">  </w:t>
      </w:r>
      <w:r>
        <w:rPr>
          <w:rFonts w:ascii="Calibri" w:hAnsi="Calibri"/>
          <w:b/>
          <w:color w:val="333333"/>
          <w:sz w:val="20"/>
        </w:rPr>
        <w:t>Revenue:</w:t>
      </w:r>
    </w:p>
    <w:p>
      <w:pPr>
        <w:pStyle w:val="ListBullet"/>
        <w:spacing w:after="80"/>
      </w:pPr>
      <w:r>
        <w:rPr>
          <w:rFonts w:ascii="Calibri" w:hAnsi="Calibri"/>
          <w:color w:val="333333"/>
          <w:sz w:val="20"/>
        </w:rPr>
        <w:t xml:space="preserve">  </w:t>
      </w:r>
      <w:r>
        <w:rPr>
          <w:rFonts w:ascii="Calibri" w:hAnsi="Calibri"/>
          <w:b/>
          <w:color w:val="333333"/>
          <w:sz w:val="20"/>
        </w:rPr>
        <w:t>FY25A:</w:t>
      </w:r>
      <w:r>
        <w:rPr>
          <w:rFonts w:ascii="Calibri" w:hAnsi="Calibri"/>
          <w:color w:val="333333"/>
          <w:sz w:val="20"/>
        </w:rPr>
        <w:t xml:space="preserve"> Based on 12M CY2025 consolidated actuals from the investor presentation.</w:t>
      </w:r>
    </w:p>
    <w:p>
      <w:pPr>
        <w:pStyle w:val="ListBullet"/>
        <w:spacing w:after="80"/>
      </w:pPr>
      <w:r>
        <w:rPr>
          <w:rFonts w:ascii="Calibri" w:hAnsi="Calibri"/>
          <w:color w:val="333333"/>
          <w:sz w:val="20"/>
        </w:rPr>
        <w:t xml:space="preserve">  </w:t>
      </w:r>
      <w:r>
        <w:rPr>
          <w:rFonts w:ascii="Calibri" w:hAnsi="Calibri"/>
          <w:b/>
          <w:color w:val="333333"/>
          <w:sz w:val="20"/>
        </w:rPr>
        <w:t>FY26E:</w:t>
      </w:r>
      <w:r>
        <w:rPr>
          <w:rFonts w:ascii="Calibri" w:hAnsi="Calibri"/>
          <w:color w:val="333333"/>
          <w:sz w:val="20"/>
        </w:rPr>
        <w:t xml:space="preserve"> Based on 15M 2026 consolidated actuals from the investor presentation and audited financial results.</w:t>
      </w:r>
    </w:p>
    <w:p>
      <w:pPr>
        <w:pStyle w:val="ListBullet"/>
        <w:spacing w:after="80"/>
      </w:pPr>
      <w:r>
        <w:rPr>
          <w:rFonts w:ascii="Calibri" w:hAnsi="Calibri"/>
          <w:color w:val="333333"/>
          <w:sz w:val="20"/>
        </w:rPr>
        <w:t xml:space="preserve">  </w:t>
      </w:r>
      <w:r>
        <w:rPr>
          <w:rFonts w:ascii="Calibri" w:hAnsi="Calibri"/>
          <w:b/>
          <w:color w:val="333333"/>
          <w:sz w:val="20"/>
        </w:rPr>
        <w:t>FY27E-FY29E:</w:t>
      </w:r>
      <w:r>
        <w:rPr>
          <w:rFonts w:ascii="Calibri" w:hAnsi="Calibri"/>
          <w:color w:val="333333"/>
          <w:sz w:val="20"/>
        </w:rPr>
        <w:t xml:space="preserve"> Revenue growth is projected to moderate slightly from the high base but remain strong, driven by the expanding LGD market and increasing certification volumes. We assume 15% growth for FY27, 14% for FY28, and 13% for FY29, reflecting continued market penetration and operating leverage.</w:t>
      </w:r>
    </w:p>
    <w:p>
      <w:pPr>
        <w:pStyle w:val="ListBullet"/>
        <w:spacing w:after="80"/>
      </w:pPr>
      <w:r>
        <w:rPr>
          <w:rFonts w:ascii="Calibri" w:hAnsi="Calibri"/>
          <w:color w:val="333333"/>
          <w:sz w:val="20"/>
        </w:rPr>
        <w:t xml:space="preserve">  </w:t>
      </w:r>
      <w:r>
        <w:rPr>
          <w:rFonts w:ascii="Calibri" w:hAnsi="Calibri"/>
          <w:b/>
          <w:color w:val="333333"/>
          <w:sz w:val="20"/>
        </w:rPr>
        <w:t>Gross Margin:</w:t>
      </w:r>
    </w:p>
    <w:p>
      <w:pPr>
        <w:pStyle w:val="ListBullet"/>
        <w:spacing w:after="80"/>
      </w:pPr>
      <w:r>
        <w:rPr>
          <w:rFonts w:ascii="Calibri" w:hAnsi="Calibri"/>
          <w:color w:val="333333"/>
          <w:sz w:val="20"/>
        </w:rPr>
        <w:t xml:space="preserve">  </w:t>
      </w:r>
      <w:r>
        <w:rPr>
          <w:rFonts w:ascii="Calibri" w:hAnsi="Calibri"/>
          <w:b/>
          <w:color w:val="333333"/>
          <w:sz w:val="20"/>
        </w:rPr>
        <w:t>FY25A &amp; FY26E:</w:t>
      </w:r>
      <w:r>
        <w:rPr>
          <w:rFonts w:ascii="Calibri" w:hAnsi="Calibri"/>
          <w:color w:val="333333"/>
          <w:sz w:val="20"/>
        </w:rPr>
        <w:t xml:space="preserve"> Estimated based on the relationship between Revenue and Total Expenses (excluding D&amp;A, Finance, and Tax) from the provided financial statements, as explicit Gross Profit is not detailed.</w:t>
      </w:r>
    </w:p>
    <w:p>
      <w:pPr>
        <w:pStyle w:val="ListBullet"/>
        <w:spacing w:after="80"/>
      </w:pPr>
      <w:r>
        <w:rPr>
          <w:rFonts w:ascii="Calibri" w:hAnsi="Calibri"/>
          <w:color w:val="333333"/>
          <w:sz w:val="20"/>
        </w:rPr>
        <w:t xml:space="preserve">  </w:t>
      </w:r>
      <w:r>
        <w:rPr>
          <w:rFonts w:ascii="Calibri" w:hAnsi="Calibri"/>
          <w:b/>
          <w:color w:val="333333"/>
          <w:sz w:val="20"/>
        </w:rPr>
        <w:t>FY27E-FY29E:</w:t>
      </w:r>
      <w:r>
        <w:rPr>
          <w:rFonts w:ascii="Calibri" w:hAnsi="Calibri"/>
          <w:color w:val="333333"/>
          <w:sz w:val="20"/>
        </w:rPr>
        <w:t xml:space="preserve"> Expected to gradually improve due to favorable mix shift towards higher-value certifications (ND and LGD loose stones) and operational efficiencies, leading to better cost absorption.</w:t>
      </w:r>
    </w:p>
    <w:p>
      <w:pPr>
        <w:pStyle w:val="ListBullet"/>
        <w:spacing w:after="80"/>
      </w:pPr>
      <w:r>
        <w:rPr>
          <w:rFonts w:ascii="Calibri" w:hAnsi="Calibri"/>
          <w:color w:val="333333"/>
          <w:sz w:val="20"/>
        </w:rPr>
        <w:t xml:space="preserve">  </w:t>
      </w:r>
      <w:r>
        <w:rPr>
          <w:rFonts w:ascii="Calibri" w:hAnsi="Calibri"/>
          <w:b/>
          <w:color w:val="333333"/>
          <w:sz w:val="20"/>
        </w:rPr>
        <w:t>EBITDA Margin:</w:t>
      </w:r>
    </w:p>
    <w:p>
      <w:pPr>
        <w:pStyle w:val="ListBullet"/>
        <w:spacing w:after="80"/>
      </w:pPr>
      <w:r>
        <w:rPr>
          <w:rFonts w:ascii="Calibri" w:hAnsi="Calibri"/>
          <w:color w:val="333333"/>
          <w:sz w:val="20"/>
        </w:rPr>
        <w:t xml:space="preserve">  </w:t>
      </w:r>
      <w:r>
        <w:rPr>
          <w:rFonts w:ascii="Calibri" w:hAnsi="Calibri"/>
          <w:b/>
          <w:color w:val="333333"/>
          <w:sz w:val="20"/>
        </w:rPr>
        <w:t>FY25A &amp; FY26E:</w:t>
      </w:r>
      <w:r>
        <w:rPr>
          <w:rFonts w:ascii="Calibri" w:hAnsi="Calibri"/>
          <w:color w:val="333333"/>
          <w:sz w:val="20"/>
        </w:rPr>
        <w:t xml:space="preserve"> Directly taken from the investor presentation's consolidated figures.</w:t>
      </w:r>
    </w:p>
    <w:p>
      <w:pPr>
        <w:pStyle w:val="ListBullet"/>
        <w:spacing w:after="80"/>
      </w:pPr>
      <w:r>
        <w:rPr>
          <w:rFonts w:ascii="Calibri" w:hAnsi="Calibri"/>
          <w:color w:val="333333"/>
          <w:sz w:val="20"/>
        </w:rPr>
        <w:t xml:space="preserve">  </w:t>
      </w:r>
      <w:r>
        <w:rPr>
          <w:rFonts w:ascii="Calibri" w:hAnsi="Calibri"/>
          <w:b/>
          <w:color w:val="333333"/>
          <w:sz w:val="20"/>
        </w:rPr>
        <w:t>FY27E-FY29E:</w:t>
      </w:r>
      <w:r>
        <w:rPr>
          <w:rFonts w:ascii="Calibri" w:hAnsi="Calibri"/>
          <w:color w:val="333333"/>
          <w:sz w:val="20"/>
        </w:rPr>
        <w:t xml:space="preserve"> Projected to expand further, reaching 61.5% in FY27, 62.1% in FY28, and 62.5% in FY29, driven by operating leverage from increased volumes and productivity in grading operations.</w:t>
      </w:r>
    </w:p>
    <w:p>
      <w:pPr>
        <w:pStyle w:val="ListBullet"/>
        <w:spacing w:after="80"/>
      </w:pPr>
      <w:r>
        <w:rPr>
          <w:rFonts w:ascii="Calibri" w:hAnsi="Calibri"/>
          <w:color w:val="333333"/>
          <w:sz w:val="20"/>
        </w:rPr>
        <w:t xml:space="preserve">  </w:t>
      </w:r>
      <w:r>
        <w:rPr>
          <w:rFonts w:ascii="Calibri" w:hAnsi="Calibri"/>
          <w:b/>
          <w:color w:val="333333"/>
          <w:sz w:val="20"/>
        </w:rPr>
        <w:t>Depreciation:</w:t>
      </w:r>
    </w:p>
    <w:p>
      <w:pPr>
        <w:pStyle w:val="ListBullet"/>
        <w:spacing w:after="80"/>
      </w:pPr>
      <w:r>
        <w:rPr>
          <w:rFonts w:ascii="Calibri" w:hAnsi="Calibri"/>
          <w:color w:val="333333"/>
          <w:sz w:val="20"/>
        </w:rPr>
        <w:t xml:space="preserve">  </w:t>
      </w:r>
      <w:r>
        <w:rPr>
          <w:rFonts w:ascii="Calibri" w:hAnsi="Calibri"/>
          <w:b/>
          <w:color w:val="333333"/>
          <w:sz w:val="20"/>
        </w:rPr>
        <w:t>FY25A:</w:t>
      </w:r>
      <w:r>
        <w:rPr>
          <w:rFonts w:ascii="Calibri" w:hAnsi="Calibri"/>
          <w:color w:val="333333"/>
          <w:sz w:val="20"/>
        </w:rPr>
        <w:t xml:space="preserve"> Estimated based on 12M CY2024 D&amp;A from cash flow statement.</w:t>
      </w:r>
    </w:p>
    <w:p>
      <w:pPr>
        <w:pStyle w:val="ListBullet"/>
        <w:spacing w:after="80"/>
      </w:pPr>
      <w:r>
        <w:rPr>
          <w:rFonts w:ascii="Calibri" w:hAnsi="Calibri"/>
          <w:color w:val="333333"/>
          <w:sz w:val="20"/>
        </w:rPr>
        <w:t xml:space="preserve">  </w:t>
      </w:r>
      <w:r>
        <w:rPr>
          <w:rFonts w:ascii="Calibri" w:hAnsi="Calibri"/>
          <w:b/>
          <w:color w:val="333333"/>
          <w:sz w:val="20"/>
        </w:rPr>
        <w:t>FY26E:</w:t>
      </w:r>
      <w:r>
        <w:rPr>
          <w:rFonts w:ascii="Calibri" w:hAnsi="Calibri"/>
          <w:color w:val="333333"/>
          <w:sz w:val="20"/>
        </w:rPr>
        <w:t xml:space="preserve"> Taken from 15M 2026 consolidated D&amp;A expenses.</w:t>
      </w:r>
    </w:p>
    <w:p>
      <w:pPr>
        <w:pStyle w:val="ListBullet"/>
        <w:spacing w:after="80"/>
      </w:pPr>
      <w:r>
        <w:rPr>
          <w:rFonts w:ascii="Calibri" w:hAnsi="Calibri"/>
          <w:color w:val="333333"/>
          <w:sz w:val="20"/>
        </w:rPr>
        <w:t xml:space="preserve">  </w:t>
      </w:r>
      <w:r>
        <w:rPr>
          <w:rFonts w:ascii="Calibri" w:hAnsi="Calibri"/>
          <w:b/>
          <w:color w:val="333333"/>
          <w:sz w:val="20"/>
        </w:rPr>
        <w:t>FY27E-FY29E:</w:t>
      </w:r>
      <w:r>
        <w:rPr>
          <w:rFonts w:ascii="Calibri" w:hAnsi="Calibri"/>
          <w:color w:val="333333"/>
          <w:sz w:val="20"/>
        </w:rPr>
        <w:t xml:space="preserve"> Assumed to grow at approximately 10% annually, reflecting ongoing capital expenditure for capacity expansion and technological upgrades.</w:t>
      </w:r>
    </w:p>
    <w:p>
      <w:pPr>
        <w:pStyle w:val="ListBullet"/>
        <w:spacing w:after="80"/>
      </w:pPr>
      <w:r>
        <w:rPr>
          <w:rFonts w:ascii="Calibri" w:hAnsi="Calibri"/>
          <w:color w:val="333333"/>
          <w:sz w:val="20"/>
        </w:rPr>
        <w:t xml:space="preserve">  </w:t>
      </w:r>
      <w:r>
        <w:rPr>
          <w:rFonts w:ascii="Calibri" w:hAnsi="Calibri"/>
          <w:b/>
          <w:color w:val="333333"/>
          <w:sz w:val="20"/>
        </w:rPr>
        <w:t>Finance Cost:</w:t>
      </w:r>
    </w:p>
    <w:p>
      <w:pPr>
        <w:pStyle w:val="ListBullet"/>
        <w:spacing w:after="80"/>
      </w:pPr>
      <w:r>
        <w:rPr>
          <w:rFonts w:ascii="Calibri" w:hAnsi="Calibri"/>
          <w:color w:val="333333"/>
          <w:sz w:val="20"/>
        </w:rPr>
        <w:t xml:space="preserve">  </w:t>
      </w:r>
      <w:r>
        <w:rPr>
          <w:rFonts w:ascii="Calibri" w:hAnsi="Calibri"/>
          <w:b/>
          <w:color w:val="333333"/>
          <w:sz w:val="20"/>
        </w:rPr>
        <w:t>FY25A &amp; FY26E:</w:t>
      </w:r>
      <w:r>
        <w:rPr>
          <w:rFonts w:ascii="Calibri" w:hAnsi="Calibri"/>
          <w:color w:val="333333"/>
          <w:sz w:val="20"/>
        </w:rPr>
        <w:t xml:space="preserve"> Taken from consolidated financial statements.</w:t>
      </w:r>
    </w:p>
    <w:p>
      <w:pPr>
        <w:pStyle w:val="ListBullet"/>
        <w:spacing w:after="80"/>
      </w:pPr>
      <w:r>
        <w:rPr>
          <w:rFonts w:ascii="Calibri" w:hAnsi="Calibri"/>
          <w:color w:val="333333"/>
          <w:sz w:val="20"/>
        </w:rPr>
        <w:t xml:space="preserve">  </w:t>
      </w:r>
      <w:r>
        <w:rPr>
          <w:rFonts w:ascii="Calibri" w:hAnsi="Calibri"/>
          <w:b/>
          <w:color w:val="333333"/>
          <w:sz w:val="20"/>
        </w:rPr>
        <w:t>FY27E-FY29E:</w:t>
      </w:r>
      <w:r>
        <w:rPr>
          <w:rFonts w:ascii="Calibri" w:hAnsi="Calibri"/>
          <w:color w:val="333333"/>
          <w:sz w:val="20"/>
        </w:rPr>
        <w:t xml:space="preserve"> Projected to remain relatively stable at around INR 125 million annually, given the company's low debt levels and strong cash generation.</w:t>
      </w:r>
    </w:p>
    <w:p>
      <w:pPr>
        <w:pStyle w:val="ListBullet"/>
        <w:spacing w:after="80"/>
      </w:pPr>
      <w:r>
        <w:rPr>
          <w:rFonts w:ascii="Calibri" w:hAnsi="Calibri"/>
          <w:color w:val="333333"/>
          <w:sz w:val="20"/>
        </w:rPr>
        <w:t xml:space="preserve">  </w:t>
      </w:r>
      <w:r>
        <w:rPr>
          <w:rFonts w:ascii="Calibri" w:hAnsi="Calibri"/>
          <w:b/>
          <w:color w:val="333333"/>
          <w:sz w:val="20"/>
        </w:rPr>
        <w:t>Tax Rate:</w:t>
      </w:r>
    </w:p>
    <w:p>
      <w:pPr>
        <w:pStyle w:val="ListBullet"/>
        <w:spacing w:after="80"/>
      </w:pPr>
      <w:r>
        <w:rPr>
          <w:rFonts w:ascii="Calibri" w:hAnsi="Calibri"/>
          <w:color w:val="333333"/>
          <w:sz w:val="20"/>
        </w:rPr>
        <w:t xml:space="preserve">  </w:t>
      </w:r>
      <w:r>
        <w:rPr>
          <w:rFonts w:ascii="Calibri" w:hAnsi="Calibri"/>
          <w:b/>
          <w:color w:val="333333"/>
          <w:sz w:val="20"/>
        </w:rPr>
        <w:t>FY25A:</w:t>
      </w:r>
      <w:r>
        <w:rPr>
          <w:rFonts w:ascii="Calibri" w:hAnsi="Calibri"/>
          <w:color w:val="333333"/>
          <w:sz w:val="20"/>
        </w:rPr>
        <w:t xml:space="preserve"> Calculated from PBT and Tax expense for 12M CY2025.</w:t>
      </w:r>
    </w:p>
    <w:p>
      <w:pPr>
        <w:pStyle w:val="ListBullet"/>
        <w:spacing w:after="80"/>
      </w:pPr>
      <w:r>
        <w:rPr>
          <w:rFonts w:ascii="Calibri" w:hAnsi="Calibri"/>
          <w:color w:val="333333"/>
          <w:sz w:val="20"/>
        </w:rPr>
        <w:t xml:space="preserve">  </w:t>
      </w:r>
      <w:r>
        <w:rPr>
          <w:rFonts w:ascii="Calibri" w:hAnsi="Calibri"/>
          <w:b/>
          <w:color w:val="333333"/>
          <w:sz w:val="20"/>
        </w:rPr>
        <w:t>FY26E:</w:t>
      </w:r>
      <w:r>
        <w:rPr>
          <w:rFonts w:ascii="Calibri" w:hAnsi="Calibri"/>
          <w:color w:val="333333"/>
          <w:sz w:val="20"/>
        </w:rPr>
        <w:t xml:space="preserve"> Calculated from PBT and Tax expense for 15M 2026 (2,575 Mn / 9,470 Mn = ~27.2%).</w:t>
      </w:r>
    </w:p>
    <w:p>
      <w:pPr>
        <w:pStyle w:val="ListBullet"/>
        <w:spacing w:after="80"/>
      </w:pPr>
      <w:r>
        <w:rPr>
          <w:rFonts w:ascii="Calibri" w:hAnsi="Calibri"/>
          <w:color w:val="333333"/>
          <w:sz w:val="20"/>
        </w:rPr>
        <w:t xml:space="preserve">  </w:t>
      </w:r>
      <w:r>
        <w:rPr>
          <w:rFonts w:ascii="Calibri" w:hAnsi="Calibri"/>
          <w:b/>
          <w:color w:val="333333"/>
          <w:sz w:val="20"/>
        </w:rPr>
        <w:t>FY27E-FY29E:</w:t>
      </w:r>
      <w:r>
        <w:rPr>
          <w:rFonts w:ascii="Calibri" w:hAnsi="Calibri"/>
          <w:color w:val="333333"/>
          <w:sz w:val="20"/>
        </w:rPr>
        <w:t xml:space="preserve"> Assumed a consistent effective tax rate of 27% to 28%.</w:t>
      </w:r>
    </w:p>
    <w:p>
      <w:pPr>
        <w:pStyle w:val="ListBullet"/>
        <w:spacing w:after="80"/>
      </w:pPr>
      <w:r>
        <w:rPr>
          <w:rFonts w:ascii="Calibri" w:hAnsi="Calibri"/>
          <w:color w:val="333333"/>
          <w:sz w:val="20"/>
        </w:rPr>
        <w:t xml:space="preserve">  </w:t>
      </w:r>
      <w:r>
        <w:rPr>
          <w:rFonts w:ascii="Calibri" w:hAnsi="Calibri"/>
          <w:b/>
          <w:color w:val="333333"/>
          <w:sz w:val="20"/>
        </w:rPr>
        <w:t>Share Count:</w:t>
      </w:r>
    </w:p>
    <w:p>
      <w:pPr>
        <w:pStyle w:val="ListBullet"/>
        <w:spacing w:after="80"/>
      </w:pPr>
      <w:r>
        <w:rPr>
          <w:rFonts w:ascii="Calibri" w:hAnsi="Calibri"/>
          <w:color w:val="333333"/>
          <w:sz w:val="20"/>
        </w:rPr>
        <w:t xml:space="preserve">  </w:t>
      </w:r>
      <w:r>
        <w:rPr>
          <w:rFonts w:ascii="Calibri" w:hAnsi="Calibri"/>
          <w:b/>
          <w:color w:val="333333"/>
          <w:sz w:val="20"/>
        </w:rPr>
        <w:t>FY25A-FY29E:</w:t>
      </w:r>
      <w:r>
        <w:rPr>
          <w:rFonts w:ascii="Calibri" w:hAnsi="Calibri"/>
          <w:color w:val="333333"/>
          <w:sz w:val="20"/>
        </w:rPr>
        <w:t xml:space="preserve"> Assumed to remain constant at 432.16 million shares (864.32 Mn Equity Share Capital / INR 2 face value), as no further equity dilution or buybacks are indicated.</w:t>
      </w:r>
    </w:p>
    <w:p>
      <w:pPr>
        <w:pStyle w:val="ListBullet"/>
        <w:spacing w:after="80"/>
      </w:pPr>
      <w:r>
        <w:rPr>
          <w:rFonts w:ascii="Calibri" w:hAnsi="Calibri"/>
          <w:color w:val="333333"/>
          <w:sz w:val="20"/>
        </w:rPr>
        <w:t xml:space="preserve">  </w:t>
      </w:r>
      <w:r>
        <w:rPr>
          <w:rFonts w:ascii="Calibri" w:hAnsi="Calibri"/>
          <w:b/>
          <w:color w:val="333333"/>
          <w:sz w:val="20"/>
        </w:rPr>
        <w:t>Capex:</w:t>
      </w:r>
      <w:r>
        <w:rPr>
          <w:rFonts w:ascii="Calibri" w:hAnsi="Calibri"/>
          <w:color w:val="333333"/>
          <w:sz w:val="20"/>
        </w:rPr>
        <w:t xml:space="preserve"> Not explicitly modeled in the P&amp;L, but assumed to be sufficient to support projected growth, funded primarily through internal accruals.</w:t>
      </w:r>
    </w:p>
    <w:p>
      <w:pPr>
        <w:pStyle w:val="ListBullet"/>
        <w:spacing w:after="80"/>
      </w:pPr>
      <w:r>
        <w:rPr>
          <w:rFonts w:ascii="Calibri" w:hAnsi="Calibri"/>
          <w:color w:val="333333"/>
          <w:sz w:val="20"/>
        </w:rPr>
        <w:t xml:space="preserve">  </w:t>
      </w:r>
      <w:r>
        <w:rPr>
          <w:rFonts w:ascii="Calibri" w:hAnsi="Calibri"/>
          <w:b/>
          <w:color w:val="333333"/>
          <w:sz w:val="20"/>
        </w:rPr>
        <w:t>Working Capital:</w:t>
      </w:r>
      <w:r>
        <w:rPr>
          <w:rFonts w:ascii="Calibri" w:hAnsi="Calibri"/>
          <w:color w:val="333333"/>
          <w:sz w:val="20"/>
        </w:rPr>
        <w:t xml:space="preserve"> Assumed to remain efficiently managed, supporting growth without significant strain on liquidity.</w:t>
      </w:r>
    </w:p>
    <w:p>
      <w:pPr>
        <w:pStyle w:val="Heading1"/>
      </w:pPr>
      <w:r>
        <w:rPr>
          <w:rFonts w:ascii="Calibri" w:hAnsi="Calibri"/>
          <w:color w:val="1F5F8B"/>
          <w:sz w:val="32"/>
        </w:rPr>
        <w:t>8. Capex &amp; Management Guidance Summary</w:t>
      </w:r>
    </w:p>
    <w:p>
      <w:pPr>
        <w:spacing w:before="0" w:after="120"/>
      </w:pPr>
    </w:p>
    <w:p>
      <w:pPr>
        <w:spacing w:after="80"/>
      </w:pPr>
      <w:r>
        <w:rPr>
          <w:rFonts w:ascii="Calibri" w:hAnsi="Calibri"/>
          <w:color w:val="333333"/>
          <w:sz w:val="20"/>
        </w:rPr>
        <w:t>The management's guidance, while not always expressed in precise numerical targets for future years, clearly outlines a strategic direction focused on capitalizing on industry tailwinds and enhancing operational efficiencies.</w:t>
      </w:r>
    </w:p>
    <w:tbl>
      <w:tblPr>
        <w:tblW w:type="auto" w:w="0"/>
        <w:jc w:val="center"/>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1F5F8B"/>
          </w:tcPr>
          <w:p>
            <w:pPr>
              <w:spacing w:before="40" w:after="40"/>
            </w:pPr>
            <w:r>
              <w:rPr>
                <w:rFonts w:ascii="Calibri" w:hAnsi="Calibri"/>
                <w:b/>
                <w:color w:val="FFFFFF"/>
                <w:sz w:val="18"/>
              </w:rPr>
              <w:t>Guidance Parameter</w:t>
            </w:r>
          </w:p>
        </w:tc>
        <w:tc>
          <w:tcPr>
            <w:tcW w:type="dxa" w:w="2880"/>
            <w:shd w:fill="1F5F8B"/>
          </w:tcPr>
          <w:p>
            <w:pPr>
              <w:spacing w:before="40" w:after="40"/>
            </w:pPr>
            <w:r>
              <w:rPr>
                <w:rFonts w:ascii="Calibri" w:hAnsi="Calibri"/>
                <w:b/>
                <w:color w:val="FFFFFF"/>
                <w:sz w:val="18"/>
              </w:rPr>
              <w:t>Target</w:t>
            </w:r>
          </w:p>
        </w:tc>
        <w:tc>
          <w:tcPr>
            <w:tcW w:type="dxa" w:w="2880"/>
            <w:shd w:fill="1F5F8B"/>
          </w:tcPr>
          <w:p>
            <w:pPr>
              <w:spacing w:before="40" w:after="40"/>
            </w:pPr>
            <w:r>
              <w:rPr>
                <w:rFonts w:ascii="Calibri" w:hAnsi="Calibri"/>
                <w:b/>
                <w:color w:val="FFFFFF"/>
                <w:sz w:val="18"/>
              </w:rPr>
              <w:t>Timeline</w:t>
            </w:r>
          </w:p>
        </w:tc>
      </w:tr>
      <w:tr>
        <w:tc>
          <w:tcPr>
            <w:tcW w:type="dxa" w:w="2880"/>
          </w:tcPr>
          <w:p>
            <w:pPr>
              <w:spacing w:before="40" w:after="40"/>
            </w:pPr>
            <w:r>
              <w:rPr>
                <w:rFonts w:ascii="Calibri" w:hAnsi="Calibri"/>
                <w:b/>
                <w:sz w:val="18"/>
              </w:rPr>
              <w:t>Revenue Target</w:t>
            </w:r>
          </w:p>
        </w:tc>
        <w:tc>
          <w:tcPr>
            <w:tcW w:type="dxa" w:w="2880"/>
          </w:tcPr>
          <w:p>
            <w:pPr>
              <w:spacing w:before="40" w:after="40"/>
            </w:pPr>
            <w:r>
              <w:rPr>
                <w:rFonts w:ascii="Calibri" w:hAnsi="Calibri"/>
                <w:sz w:val="18"/>
              </w:rPr>
              <w:t>Continued robust growth, especially in LGD segment.</w:t>
            </w:r>
          </w:p>
        </w:tc>
        <w:tc>
          <w:tcPr>
            <w:tcW w:type="dxa" w:w="2880"/>
          </w:tcPr>
          <w:p>
            <w:pPr>
              <w:spacing w:before="40" w:after="40"/>
            </w:pPr>
            <w:r>
              <w:rPr>
                <w:rFonts w:ascii="Calibri" w:hAnsi="Calibri"/>
                <w:sz w:val="18"/>
              </w:rPr>
              <w:t>Multi-year visibility (FY27-FY29E)</w:t>
            </w:r>
          </w:p>
        </w:tc>
      </w:tr>
      <w:tr>
        <w:tc>
          <w:tcPr>
            <w:tcW w:type="dxa" w:w="2880"/>
            <w:shd w:fill="E8F0FE"/>
          </w:tcPr>
          <w:p>
            <w:pPr>
              <w:spacing w:before="40" w:after="40"/>
            </w:pPr>
            <w:r>
              <w:rPr>
                <w:rFonts w:ascii="Calibri" w:hAnsi="Calibri"/>
                <w:b/>
                <w:sz w:val="18"/>
              </w:rPr>
              <w:t>Revenue CAGR</w:t>
            </w:r>
          </w:p>
        </w:tc>
        <w:tc>
          <w:tcPr>
            <w:tcW w:type="dxa" w:w="2880"/>
            <w:shd w:fill="E8F0FE"/>
          </w:tcPr>
          <w:p>
            <w:pPr>
              <w:spacing w:before="40" w:after="40"/>
            </w:pPr>
            <w:r>
              <w:rPr>
                <w:rFonts w:ascii="Calibri" w:hAnsi="Calibri"/>
                <w:sz w:val="18"/>
              </w:rPr>
              <w:t>Implied strong double-digit growth (15-20%+)</w:t>
            </w:r>
          </w:p>
        </w:tc>
        <w:tc>
          <w:tcPr>
            <w:tcW w:type="dxa" w:w="2880"/>
            <w:shd w:fill="E8F0FE"/>
          </w:tcPr>
          <w:p>
            <w:pPr>
              <w:spacing w:before="40" w:after="40"/>
            </w:pPr>
            <w:r>
              <w:rPr>
                <w:rFonts w:ascii="Calibri" w:hAnsi="Calibri"/>
                <w:sz w:val="18"/>
              </w:rPr>
              <w:t>Next 3-5 years</w:t>
            </w:r>
          </w:p>
        </w:tc>
      </w:tr>
      <w:tr>
        <w:tc>
          <w:tcPr>
            <w:tcW w:type="dxa" w:w="2880"/>
          </w:tcPr>
          <w:p>
            <w:pPr>
              <w:spacing w:before="40" w:after="40"/>
            </w:pPr>
            <w:r>
              <w:rPr>
                <w:rFonts w:ascii="Calibri" w:hAnsi="Calibri"/>
                <w:b/>
                <w:sz w:val="18"/>
              </w:rPr>
              <w:t>Key Segment Targets</w:t>
            </w:r>
          </w:p>
        </w:tc>
        <w:tc>
          <w:tcPr>
            <w:tcW w:type="dxa" w:w="2880"/>
          </w:tcPr>
          <w:p>
            <w:pPr>
              <w:spacing w:before="40" w:after="40"/>
            </w:pPr>
            <w:r>
              <w:rPr>
                <w:rFonts w:ascii="Calibri" w:hAnsi="Calibri"/>
                <w:sz w:val="18"/>
              </w:rPr>
              <w:t>LGD volumes to grow with increasing production capacity; increased certification density for LGD jewelry (SKU-level).</w:t>
            </w:r>
          </w:p>
        </w:tc>
        <w:tc>
          <w:tcPr>
            <w:tcW w:type="dxa" w:w="2880"/>
          </w:tcPr>
          <w:p>
            <w:pPr>
              <w:spacing w:before="40" w:after="40"/>
            </w:pPr>
            <w:r>
              <w:rPr>
                <w:rFonts w:ascii="Calibri" w:hAnsi="Calibri"/>
                <w:sz w:val="18"/>
              </w:rPr>
              <w:t>Ongoing</w:t>
            </w:r>
          </w:p>
        </w:tc>
      </w:tr>
      <w:tr>
        <w:tc>
          <w:tcPr>
            <w:tcW w:type="dxa" w:w="2880"/>
            <w:shd w:fill="E8F0FE"/>
          </w:tcPr>
          <w:p>
            <w:pPr>
              <w:spacing w:before="40" w:after="40"/>
            </w:pPr>
            <w:r>
              <w:rPr>
                <w:rFonts w:ascii="Calibri" w:hAnsi="Calibri"/>
                <w:b/>
                <w:sz w:val="18"/>
              </w:rPr>
              <w:t>EBITDA Margin Target</w:t>
            </w:r>
          </w:p>
        </w:tc>
        <w:tc>
          <w:tcPr>
            <w:tcW w:type="dxa" w:w="2880"/>
            <w:shd w:fill="E8F0FE"/>
          </w:tcPr>
          <w:p>
            <w:pPr>
              <w:spacing w:before="40" w:after="40"/>
            </w:pPr>
            <w:r>
              <w:rPr>
                <w:rFonts w:ascii="Calibri" w:hAnsi="Calibri"/>
                <w:sz w:val="18"/>
              </w:rPr>
              <w:t>Continued margin expansion through operating leverage and productivity gains.</w:t>
            </w:r>
          </w:p>
        </w:tc>
        <w:tc>
          <w:tcPr>
            <w:tcW w:type="dxa" w:w="2880"/>
            <w:shd w:fill="E8F0FE"/>
          </w:tcPr>
          <w:p>
            <w:pPr>
              <w:spacing w:before="40" w:after="40"/>
            </w:pPr>
            <w:r>
              <w:rPr>
                <w:rFonts w:ascii="Calibri" w:hAnsi="Calibri"/>
                <w:sz w:val="18"/>
              </w:rPr>
              <w:t>Ongoing</w:t>
            </w:r>
          </w:p>
        </w:tc>
      </w:tr>
      <w:tr>
        <w:tc>
          <w:tcPr>
            <w:tcW w:type="dxa" w:w="2880"/>
          </w:tcPr>
          <w:p>
            <w:pPr>
              <w:spacing w:before="40" w:after="40"/>
            </w:pPr>
            <w:r>
              <w:rPr>
                <w:rFonts w:ascii="Calibri" w:hAnsi="Calibri"/>
                <w:b/>
                <w:sz w:val="18"/>
              </w:rPr>
              <w:t>Capex Plans</w:t>
            </w:r>
          </w:p>
        </w:tc>
        <w:tc>
          <w:tcPr>
            <w:tcW w:type="dxa" w:w="2880"/>
          </w:tcPr>
          <w:p>
            <w:pPr>
              <w:spacing w:before="40" w:after="40"/>
            </w:pPr>
            <w:r>
              <w:rPr>
                <w:rFonts w:ascii="Calibri" w:hAnsi="Calibri"/>
                <w:sz w:val="18"/>
              </w:rPr>
              <w:t>Investments in capacity expansion and technology to support LGD growth (e.g., in-factory grading setups). Recent acquisition of AGL Holdco Inc. for USD 13.2 Mn.</w:t>
            </w:r>
          </w:p>
        </w:tc>
        <w:tc>
          <w:tcPr>
            <w:tcW w:type="dxa" w:w="2880"/>
          </w:tcPr>
          <w:p>
            <w:pPr>
              <w:spacing w:before="40" w:after="40"/>
            </w:pPr>
            <w:r>
              <w:rPr>
                <w:rFonts w:ascii="Calibri" w:hAnsi="Calibri"/>
                <w:sz w:val="18"/>
              </w:rPr>
              <w:t>Ongoing</w:t>
            </w:r>
          </w:p>
        </w:tc>
      </w:tr>
      <w:tr>
        <w:tc>
          <w:tcPr>
            <w:tcW w:type="dxa" w:w="2880"/>
            <w:shd w:fill="E8F0FE"/>
          </w:tcPr>
          <w:p>
            <w:pPr>
              <w:spacing w:before="40" w:after="40"/>
            </w:pPr>
            <w:r>
              <w:rPr>
                <w:rFonts w:ascii="Calibri" w:hAnsi="Calibri"/>
                <w:b/>
                <w:sz w:val="18"/>
              </w:rPr>
              <w:t>Dividend Policy</w:t>
            </w:r>
          </w:p>
        </w:tc>
        <w:tc>
          <w:tcPr>
            <w:tcW w:type="dxa" w:w="2880"/>
            <w:shd w:fill="E8F0FE"/>
          </w:tcPr>
          <w:p>
            <w:pPr>
              <w:spacing w:before="40" w:after="40"/>
            </w:pPr>
            <w:r>
              <w:rPr>
                <w:rFonts w:ascii="Calibri" w:hAnsi="Calibri"/>
                <w:sz w:val="18"/>
              </w:rPr>
              <w:t>Not explicitly stated in the provided documents.</w:t>
            </w:r>
          </w:p>
        </w:tc>
        <w:tc>
          <w:tcPr>
            <w:tcW w:type="dxa" w:w="2880"/>
            <w:shd w:fill="E8F0FE"/>
          </w:tcPr>
          <w:p>
            <w:pPr>
              <w:spacing w:before="40" w:after="40"/>
            </w:pPr>
            <w:r>
              <w:rPr>
                <w:rFonts w:ascii="Calibri" w:hAnsi="Calibri"/>
                <w:sz w:val="18"/>
              </w:rPr>
              <w:t>-</w:t>
            </w:r>
          </w:p>
        </w:tc>
      </w:tr>
      <w:tr>
        <w:tc>
          <w:tcPr>
            <w:tcW w:type="dxa" w:w="2880"/>
          </w:tcPr>
          <w:p>
            <w:pPr>
              <w:spacing w:before="40" w:after="40"/>
            </w:pPr>
            <w:r>
              <w:rPr>
                <w:rFonts w:ascii="Calibri" w:hAnsi="Calibri"/>
                <w:b/>
                <w:sz w:val="18"/>
              </w:rPr>
              <w:t>Debt Status</w:t>
            </w:r>
          </w:p>
        </w:tc>
        <w:tc>
          <w:tcPr>
            <w:tcW w:type="dxa" w:w="2880"/>
          </w:tcPr>
          <w:p>
            <w:pPr>
              <w:spacing w:before="40" w:after="40"/>
            </w:pPr>
            <w:r>
              <w:rPr>
                <w:rFonts w:ascii="Calibri" w:hAnsi="Calibri"/>
                <w:sz w:val="18"/>
              </w:rPr>
              <w:t>Maintain a healthy balance sheet with low debt.</w:t>
            </w:r>
          </w:p>
        </w:tc>
        <w:tc>
          <w:tcPr>
            <w:tcW w:type="dxa" w:w="2880"/>
          </w:tcPr>
          <w:p>
            <w:pPr>
              <w:spacing w:before="40" w:after="40"/>
            </w:pPr>
            <w:r>
              <w:rPr>
                <w:rFonts w:ascii="Calibri" w:hAnsi="Calibri"/>
                <w:sz w:val="18"/>
              </w:rPr>
              <w:t>Ongoing</w:t>
            </w:r>
          </w:p>
        </w:tc>
      </w:tr>
    </w:tbl>
    <w:p/>
    <w:p>
      <w:pPr>
        <w:spacing w:after="80"/>
      </w:pPr>
      <w:r>
        <w:rPr>
          <w:rFonts w:ascii="Calibri" w:hAnsi="Calibri"/>
          <w:color w:val="333333"/>
          <w:sz w:val="20"/>
        </w:rPr>
        <w:t>The company emphasizes that the LGD market is entering a volume-scale phase, with India emerging as a global manufacturing hub. Management expects IGI's LGD volumes to grow in line with the industry's planned doubling of production capacity over the next three years starting Q1 CY26. This structural shift, coupled with the increasing need for SKU-level certification in LGD jewelry, forms the core of their volume-led growth strategy. The focus on operating leverage through increased volumes and productivity is expected to translate into consistent margin expansion and strong cash generation.</w:t>
      </w:r>
    </w:p>
    <w:p>
      <w:pPr>
        <w:pStyle w:val="Heading1"/>
      </w:pPr>
      <w:r>
        <w:rPr>
          <w:rFonts w:ascii="Calibri" w:hAnsi="Calibri"/>
          <w:color w:val="1F5F8B"/>
          <w:sz w:val="32"/>
        </w:rPr>
        <w:t>9. Conclusion &amp; Investment Summary</w:t>
      </w:r>
    </w:p>
    <w:p>
      <w:pPr>
        <w:spacing w:before="0" w:after="120"/>
      </w:pPr>
    </w:p>
    <w:p>
      <w:pPr>
        <w:pStyle w:val="Heading2"/>
      </w:pPr>
      <w:r>
        <w:rPr>
          <w:rFonts w:ascii="Calibri" w:hAnsi="Calibri"/>
          <w:color w:val="1F5F8B"/>
          <w:sz w:val="26"/>
        </w:rPr>
        <w:t>Bull Case</w:t>
      </w:r>
    </w:p>
    <w:p>
      <w:pPr>
        <w:spacing w:after="80"/>
      </w:pPr>
      <w:r>
        <w:rPr>
          <w:rFonts w:ascii="Calibri" w:hAnsi="Calibri"/>
          <w:color w:val="333333"/>
          <w:sz w:val="20"/>
        </w:rPr>
        <w:t>The bull case for International Gemmological Institute Limited rests on its strong positioning within a structurally growing industry, particularly the lab-grown diamond (LGD) segment. IGI's market leadership in LGD certification, coupled with India's emergence as a global LGD manufacturing hub, provides a clear and robust growth runway. The anticipated doubling of LGD production capacity over the next three years, combined with increasing certification density for LGD jewelry (SKU-level), ensures sustained volume growth for IGI. The company's established global presence, in-factory grading setups, and strong brand trust create significant competitive moats. Furthermore, the inherent operating leverage in its business model means that incremental volumes can be captured with minimal additional costs, leading to continued EBITDA margin expansion and strong free cash flow generation. The resilience of the natural diamond market provides a stable base, while the LGD inflection point offers substantial upside. Strategic acquisitions like AGL Holdco Inc. could further diversify revenue and strengthen market reach.</w:t>
      </w:r>
    </w:p>
    <w:p>
      <w:pPr>
        <w:pStyle w:val="Heading2"/>
      </w:pPr>
      <w:r>
        <w:rPr>
          <w:rFonts w:ascii="Calibri" w:hAnsi="Calibri"/>
          <w:color w:val="1F5F8B"/>
          <w:sz w:val="26"/>
        </w:rPr>
        <w:t>Bear Case</w:t>
      </w:r>
    </w:p>
    <w:p>
      <w:pPr>
        <w:spacing w:after="80"/>
      </w:pPr>
      <w:r>
        <w:rPr>
          <w:rFonts w:ascii="Calibri" w:hAnsi="Calibri"/>
          <w:color w:val="333333"/>
          <w:sz w:val="20"/>
        </w:rPr>
        <w:t>The primary risks to the investment thesis include potential volatility in LGD pricing and the risk of commoditization. A significant decline in LGD prices could pressure average realized prices (ARPs) for certification, impacting revenue growth and margins. Intense competition from existing players or new entrants, especially in a rapidly evolving market, could also erode market share or force price reductions. The company's dependence on the broader diamond and luxury jewelry market exposes it to cyclical downturns in global economic conditions and consumer discretionary spending. Integration risks associated with recent or future acquisitions could lead to operational inefficiencies or failure to realize expected synergies. Additionally, a high percentage of promoter shares being pledged, while common for PE-backed companies, could be a watchpoint for some investors, although the security agent structure aims to mitigate direct market impact.</w:t>
      </w:r>
    </w:p>
    <w:p>
      <w:pPr>
        <w:pStyle w:val="Heading2"/>
      </w:pPr>
      <w:r>
        <w:rPr>
          <w:rFonts w:ascii="Calibri" w:hAnsi="Calibri"/>
          <w:color w:val="1F5F8B"/>
          <w:sz w:val="26"/>
        </w:rPr>
        <w:t>Key Monitorables</w:t>
      </w:r>
    </w:p>
    <w:p>
      <w:pPr>
        <w:pStyle w:val="ListNumber"/>
        <w:spacing w:after="80"/>
      </w:pPr>
      <w:r>
        <w:rPr>
          <w:rFonts w:ascii="Calibri" w:hAnsi="Calibri"/>
          <w:b/>
          <w:color w:val="333333"/>
          <w:sz w:val="20"/>
        </w:rPr>
        <w:t>LGD Volume and Pricing Trends:</w:t>
      </w:r>
      <w:r>
        <w:rPr>
          <w:rFonts w:ascii="Calibri" w:hAnsi="Calibri"/>
          <w:color w:val="333333"/>
          <w:sz w:val="20"/>
        </w:rPr>
        <w:t xml:space="preserve"> Track growth in LGD certification volumes and any shifts in average realized prices (ARPs) for LGDs.</w:t>
      </w:r>
    </w:p>
    <w:p>
      <w:pPr>
        <w:pStyle w:val="ListNumber"/>
        <w:spacing w:after="80"/>
      </w:pPr>
      <w:r>
        <w:rPr>
          <w:rFonts w:ascii="Calibri" w:hAnsi="Calibri"/>
          <w:b/>
          <w:color w:val="333333"/>
          <w:sz w:val="20"/>
        </w:rPr>
        <w:t>EBITDA Margin Expansion:</w:t>
      </w:r>
      <w:r>
        <w:rPr>
          <w:rFonts w:ascii="Calibri" w:hAnsi="Calibri"/>
          <w:color w:val="333333"/>
          <w:sz w:val="20"/>
        </w:rPr>
        <w:t xml:space="preserve"> Monitor the company's ability to sustain and expand EBITDA margins through operating leverage.</w:t>
      </w:r>
    </w:p>
    <w:p>
      <w:pPr>
        <w:pStyle w:val="ListNumber"/>
        <w:spacing w:after="80"/>
      </w:pPr>
      <w:r>
        <w:rPr>
          <w:rFonts w:ascii="Calibri" w:hAnsi="Calibri"/>
          <w:b/>
          <w:color w:val="333333"/>
          <w:sz w:val="20"/>
        </w:rPr>
        <w:t>Certification Mix Shift:</w:t>
      </w:r>
      <w:r>
        <w:rPr>
          <w:rFonts w:ascii="Calibri" w:hAnsi="Calibri"/>
          <w:color w:val="333333"/>
          <w:sz w:val="20"/>
        </w:rPr>
        <w:t xml:space="preserve"> Observe the revenue contribution from higher-value ND and LGD loose stones versus lower-value jewelry certifications.</w:t>
      </w:r>
    </w:p>
    <w:p>
      <w:pPr>
        <w:pStyle w:val="ListNumber"/>
        <w:spacing w:after="80"/>
      </w:pPr>
      <w:r>
        <w:rPr>
          <w:rFonts w:ascii="Calibri" w:hAnsi="Calibri"/>
          <w:b/>
          <w:color w:val="333333"/>
          <w:sz w:val="20"/>
        </w:rPr>
        <w:t>Acquisition Integration:</w:t>
      </w:r>
      <w:r>
        <w:rPr>
          <w:rFonts w:ascii="Calibri" w:hAnsi="Calibri"/>
          <w:color w:val="333333"/>
          <w:sz w:val="20"/>
        </w:rPr>
        <w:t xml:space="preserve"> Assess the successful integration and performance contribution of recent acquisitions like AGL Holdco Inc.</w:t>
      </w:r>
    </w:p>
    <w:p>
      <w:pPr>
        <w:pStyle w:val="ListNumber"/>
        <w:spacing w:after="80"/>
      </w:pPr>
      <w:r>
        <w:rPr>
          <w:rFonts w:ascii="Calibri" w:hAnsi="Calibri"/>
          <w:b/>
          <w:color w:val="333333"/>
          <w:sz w:val="20"/>
        </w:rPr>
        <w:t>Global Market Penetration:</w:t>
      </w:r>
      <w:r>
        <w:rPr>
          <w:rFonts w:ascii="Calibri" w:hAnsi="Calibri"/>
          <w:color w:val="333333"/>
          <w:sz w:val="20"/>
        </w:rPr>
        <w:t xml:space="preserve"> Track growth in key international markets and any new geographical expansions.</w:t>
      </w:r>
    </w:p>
    <w:p>
      <w:pPr>
        <w:pStyle w:val="ListNumber"/>
        <w:spacing w:after="80"/>
      </w:pPr>
      <w:r>
        <w:rPr>
          <w:rFonts w:ascii="Calibri" w:hAnsi="Calibri"/>
          <w:b/>
          <w:color w:val="333333"/>
          <w:sz w:val="20"/>
        </w:rPr>
        <w:t>Regulatory Environment:</w:t>
      </w:r>
      <w:r>
        <w:rPr>
          <w:rFonts w:ascii="Calibri" w:hAnsi="Calibri"/>
          <w:color w:val="333333"/>
          <w:sz w:val="20"/>
        </w:rPr>
        <w:t xml:space="preserve"> Monitor any changes in labor laws or industry-specific regulations that could impact costs or operations.</w:t>
      </w:r>
    </w:p>
    <w:p>
      <w:pPr>
        <w:pStyle w:val="ListNumber"/>
        <w:spacing w:after="80"/>
      </w:pPr>
      <w:r>
        <w:rPr>
          <w:rFonts w:ascii="Calibri" w:hAnsi="Calibri"/>
          <w:b/>
          <w:color w:val="333333"/>
          <w:sz w:val="20"/>
        </w:rPr>
        <w:t>Cash Flow Generation:</w:t>
      </w:r>
      <w:r>
        <w:rPr>
          <w:rFonts w:ascii="Calibri" w:hAnsi="Calibri"/>
          <w:color w:val="333333"/>
          <w:sz w:val="20"/>
        </w:rPr>
        <w:t xml:space="preserve"> Evaluate the consistency of free cash flow generation and its deployment for growth or shareholder returns.</w:t>
      </w:r>
    </w:p>
    <w:p>
      <w:pPr>
        <w:pStyle w:val="ListNumber"/>
        <w:spacing w:after="80"/>
      </w:pPr>
      <w:r>
        <w:rPr>
          <w:rFonts w:ascii="Calibri" w:hAnsi="Calibri"/>
          <w:b/>
          <w:color w:val="333333"/>
          <w:sz w:val="20"/>
        </w:rPr>
        <w:t>Competitive Landscape:</w:t>
      </w:r>
      <w:r>
        <w:rPr>
          <w:rFonts w:ascii="Calibri" w:hAnsi="Calibri"/>
          <w:color w:val="333333"/>
          <w:sz w:val="20"/>
        </w:rPr>
        <w:t xml:space="preserve"> Keep an eye on competitive intensity and any new disruptive technologies or business models.</w:t>
      </w:r>
    </w:p>
    <w:p>
      <w:pPr>
        <w:pStyle w:val="ListNumber"/>
        <w:spacing w:after="80"/>
      </w:pPr>
      <w:r>
        <w:rPr>
          <w:rFonts w:ascii="Calibri" w:hAnsi="Calibri"/>
          <w:b/>
          <w:color w:val="333333"/>
          <w:sz w:val="20"/>
        </w:rPr>
        <w:t>Promoter Pledge Status:</w:t>
      </w:r>
      <w:r>
        <w:rPr>
          <w:rFonts w:ascii="Calibri" w:hAnsi="Calibri"/>
          <w:color w:val="333333"/>
          <w:sz w:val="20"/>
        </w:rPr>
        <w:t xml:space="preserve"> While indirect, any changes in the status of promoter share encumbrance.</w:t>
      </w:r>
    </w:p>
    <w:p>
      <w:pPr>
        <w:pStyle w:val="ListNumber"/>
        <w:spacing w:after="80"/>
      </w:pPr>
      <w:r>
        <w:rPr>
          <w:rFonts w:ascii="Calibri" w:hAnsi="Calibri"/>
          <w:b/>
          <w:color w:val="333333"/>
          <w:sz w:val="20"/>
        </w:rPr>
        <w:t>Capital Allocation:</w:t>
      </w:r>
      <w:r>
        <w:rPr>
          <w:rFonts w:ascii="Calibri" w:hAnsi="Calibri"/>
          <w:color w:val="333333"/>
          <w:sz w:val="20"/>
        </w:rPr>
        <w:t xml:space="preserve"> How the company utilizes its strong cash position for organic growth, acquisitions, or shareholder distributions.</w:t>
      </w:r>
    </w:p>
    <w:p>
      <w:pPr>
        <w:spacing w:after="80"/>
      </w:pPr>
      <w:r>
        <w:rPr>
          <w:rFonts w:ascii="Calibri" w:hAnsi="Calibri"/>
          <w:b/>
          <w:color w:val="333333"/>
          <w:sz w:val="20"/>
        </w:rPr>
        <w:t>Disclaimer:</w:t>
      </w:r>
      <w:r>
        <w:rPr>
          <w:rFonts w:ascii="Calibri" w:hAnsi="Calibri"/>
          <w:color w:val="333333"/>
          <w:sz w:val="20"/>
        </w:rPr>
        <w:t xml:space="preserve"> This analysis is for informational purposes only and does not constitute investment advice. Please consult a registered financial advisor before making investment decisions.</w:t>
      </w:r>
    </w:p>
    <w:sectPr w:rsidR="00FC693F" w:rsidRPr="0006063C" w:rsidSect="00034616">
      <w:headerReference w:type="default" r:id="rId9"/>
      <w:footerReference w:type="default" r:id="rId10"/>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4"/>
      </w:rPr>
      <w:t>Disclaimer: For informational purposes only. Not investment advice.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66666"/>
        <w:sz w:val="16"/>
      </w:rPr>
      <w:t>International Gemmological Institute India Ltd | Comprehensive Analysis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5F8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5F8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5F8B"/>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5F8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