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center"/>
      </w:pPr>
      <w:r>
        <w:rPr>
          <w:rFonts w:ascii="Calibri" w:hAnsi="Calibri"/>
          <w:b/>
          <w:color w:val="1F5F8B"/>
          <w:sz w:val="64"/>
        </w:rPr>
        <w:t>TGV SRAAC LTD</w:t>
      </w:r>
    </w:p>
    <w:p>
      <w:pPr>
        <w:jc w:val="center"/>
      </w:pPr>
      <w:r>
        <w:rPr>
          <w:color w:val="1F5F8B"/>
          <w:sz w:val="16"/>
        </w:rPr>
        <w:t>____________________________________________________________</w:t>
      </w:r>
    </w:p>
    <w:p>
      <w:pPr>
        <w:spacing w:before="480"/>
        <w:jc w:val="center"/>
      </w:pPr>
      <w:r>
        <w:rPr>
          <w:rFonts w:ascii="Calibri" w:hAnsi="Calibri"/>
          <w:color w:val="1F5F8B"/>
          <w:sz w:val="44"/>
        </w:rPr>
        <w:t>Comprehensive Company Analysis</w:t>
      </w:r>
    </w:p>
    <w:p>
      <w:pPr>
        <w:spacing w:before="160"/>
        <w:jc w:val="center"/>
      </w:pPr>
      <w:r>
        <w:rPr>
          <w:rFonts w:ascii="Calibri" w:hAnsi="Calibri"/>
          <w:color w:val="666666"/>
          <w:sz w:val="28"/>
        </w:rPr>
        <w:t>Investment Research Note</w:t>
      </w:r>
    </w:p>
    <w:p>
      <w:pPr>
        <w:spacing w:before="960"/>
        <w:jc w:val="center"/>
      </w:pPr>
      <w:r>
        <w:rPr>
          <w:rFonts w:ascii="Calibri" w:hAnsi="Calibri"/>
          <w:color w:val="666666"/>
          <w:sz w:val="24"/>
        </w:rPr>
        <w:t>Date: April 20, 2026</w:t>
      </w:r>
    </w:p>
    <w:p>
      <w:r>
        <w:br w:type="page"/>
      </w:r>
    </w:p>
    <w:p>
      <w:pPr>
        <w:pStyle w:val="Heading1"/>
      </w:pPr>
      <w:r>
        <w:rPr>
          <w:rFonts w:ascii="Calibri" w:hAnsi="Calibri"/>
          <w:color w:val="1F5F8B"/>
          <w:sz w:val="32"/>
        </w:rPr>
        <w:t>1. Executive Summary</w:t>
      </w:r>
    </w:p>
    <w:p>
      <w:pPr>
        <w:spacing w:before="0" w:after="120"/>
      </w:pPr>
    </w:p>
    <w:p>
      <w:pPr>
        <w:spacing w:after="80"/>
      </w:pPr>
      <w:r>
        <w:rPr>
          <w:rFonts w:ascii="Calibri" w:hAnsi="Calibri"/>
          <w:color w:val="333333"/>
          <w:sz w:val="20"/>
        </w:rPr>
        <w:t>TGV Sraac Ltd. is a diversified chemical manufacturer with a significant presence in the Chlor-Alkali, Chloromethanes, and Castor Oil derivatives sectors. The company also has interests in power generation, though its Bellary Power Plant operations have ceased due to PPA expiry. TGV Sraac is currently in a phase of operational and financial restructuring, marked by efforts to improve profitability and streamline its business.</w:t>
      </w:r>
    </w:p>
    <w:p>
      <w:pPr>
        <w:spacing w:after="80"/>
      </w:pPr>
      <w:r>
        <w:rPr>
          <w:rFonts w:ascii="Calibri" w:hAnsi="Calibri"/>
          <w:color w:val="333333"/>
          <w:sz w:val="20"/>
        </w:rPr>
        <w:t>A key transformative event in the recent past was the company's strategic decision to focus on its core chemical operations and improve operational efficiencies. This has involved managing the impact of challenging market conditions, such as geopolitical tensions and supply chain disruptions, which affected the chemical industry in FY24. The company has also been actively managing its debt profile and optimizing its capital structure.</w:t>
      </w:r>
    </w:p>
    <w:p>
      <w:pPr>
        <w:spacing w:after="80"/>
      </w:pPr>
      <w:r>
        <w:rPr>
          <w:rFonts w:ascii="Calibri" w:hAnsi="Calibri"/>
          <w:color w:val="333333"/>
          <w:sz w:val="20"/>
        </w:rPr>
        <w:t>Post-transformation, TGV Sraac aims to leverage its established market position and expand its capacities. The company has reported a revenue base of approximately ₹175,000 lakhs for FY25, with a focus on improving profitability through cost optimization and capacity utilization. While specific debt reduction targets are not explicitly detailed in the provided documents, the company has been actively managing its borrowings and exploring financial assistance. Key growth catalysts include the expansion of its Caustic Soda capacity and the continued development of its solar power generation capabilities.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20"/>
        <w:gridCol w:w="4320"/>
      </w:tblGrid>
      <w:tr>
        <w:tc>
          <w:tcPr>
            <w:tcW w:type="dxa" w:w="4320"/>
            <w:shd w:fill="1F5F8B"/>
          </w:tcPr>
          <w:p>
            <w:pPr>
              <w:spacing w:before="40" w:after="40"/>
            </w:pPr>
            <w:r>
              <w:rPr>
                <w:rFonts w:ascii="Calibri" w:hAnsi="Calibri"/>
                <w:b/>
                <w:color w:val="FFFFFF"/>
                <w:sz w:val="18"/>
              </w:rPr>
              <w:t>Metric</w:t>
            </w:r>
          </w:p>
        </w:tc>
        <w:tc>
          <w:tcPr>
            <w:tcW w:type="dxa" w:w="4320"/>
            <w:shd w:fill="1F5F8B"/>
          </w:tcPr>
          <w:p>
            <w:pPr>
              <w:spacing w:before="40" w:after="40"/>
            </w:pPr>
            <w:r>
              <w:rPr>
                <w:rFonts w:ascii="Calibri" w:hAnsi="Calibri"/>
                <w:b/>
                <w:color w:val="FFFFFF"/>
                <w:sz w:val="18"/>
              </w:rPr>
              <w:t>Value</w:t>
            </w:r>
          </w:p>
        </w:tc>
      </w:tr>
      <w:tr>
        <w:tc>
          <w:tcPr>
            <w:tcW w:type="dxa" w:w="4320"/>
          </w:tcPr>
          <w:p>
            <w:pPr>
              <w:spacing w:before="40" w:after="40"/>
            </w:pPr>
            <w:r>
              <w:rPr>
                <w:rFonts w:ascii="Calibri" w:hAnsi="Calibri"/>
                <w:b/>
                <w:sz w:val="18"/>
              </w:rPr>
              <w:t>CMP</w:t>
            </w:r>
          </w:p>
        </w:tc>
        <w:tc>
          <w:tcPr>
            <w:tcW w:type="dxa" w:w="4320"/>
          </w:tcPr>
          <w:p>
            <w:pPr>
              <w:spacing w:before="40" w:after="40"/>
            </w:pPr>
            <w:r>
              <w:rPr>
                <w:rFonts w:ascii="Calibri" w:hAnsi="Calibri"/>
                <w:sz w:val="18"/>
              </w:rPr>
              <w:t>105.01</w:t>
            </w:r>
          </w:p>
        </w:tc>
      </w:tr>
      <w:tr>
        <w:tc>
          <w:tcPr>
            <w:tcW w:type="dxa" w:w="4320"/>
            <w:shd w:fill="E8F0FE"/>
          </w:tcPr>
          <w:p>
            <w:pPr>
              <w:spacing w:before="40" w:after="40"/>
            </w:pPr>
            <w:r>
              <w:rPr>
                <w:rFonts w:ascii="Calibri" w:hAnsi="Calibri"/>
                <w:b/>
                <w:sz w:val="18"/>
              </w:rPr>
              <w:t>Market Cap</w:t>
            </w:r>
          </w:p>
        </w:tc>
        <w:tc>
          <w:tcPr>
            <w:tcW w:type="dxa" w:w="4320"/>
            <w:shd w:fill="E8F0FE"/>
          </w:tcPr>
          <w:p>
            <w:pPr>
              <w:spacing w:before="40" w:after="40"/>
            </w:pPr>
            <w:r>
              <w:rPr>
                <w:rFonts w:ascii="Calibri" w:hAnsi="Calibri"/>
                <w:sz w:val="18"/>
              </w:rPr>
              <w:t>48,330.47 Cr</w:t>
            </w:r>
          </w:p>
        </w:tc>
      </w:tr>
      <w:tr>
        <w:tc>
          <w:tcPr>
            <w:tcW w:type="dxa" w:w="4320"/>
          </w:tcPr>
          <w:p>
            <w:pPr>
              <w:spacing w:before="40" w:after="40"/>
            </w:pPr>
            <w:r>
              <w:rPr>
                <w:rFonts w:ascii="Calibri" w:hAnsi="Calibri"/>
                <w:b/>
                <w:sz w:val="18"/>
              </w:rPr>
              <w:t>P/E (TTM)</w:t>
            </w:r>
          </w:p>
        </w:tc>
        <w:tc>
          <w:tcPr>
            <w:tcW w:type="dxa" w:w="4320"/>
          </w:tcPr>
          <w:p>
            <w:pPr>
              <w:spacing w:before="40" w:after="40"/>
            </w:pPr>
            <w:r>
              <w:rPr>
                <w:rFonts w:ascii="Calibri" w:hAnsi="Calibri"/>
                <w:sz w:val="18"/>
              </w:rPr>
              <w:t>94.89</w:t>
            </w:r>
          </w:p>
        </w:tc>
      </w:tr>
      <w:tr>
        <w:tc>
          <w:tcPr>
            <w:tcW w:type="dxa" w:w="4320"/>
            <w:shd w:fill="E8F0FE"/>
          </w:tcPr>
          <w:p>
            <w:pPr>
              <w:spacing w:before="40" w:after="40"/>
            </w:pPr>
            <w:r>
              <w:rPr>
                <w:rFonts w:ascii="Calibri" w:hAnsi="Calibri"/>
                <w:b/>
                <w:sz w:val="18"/>
              </w:rPr>
              <w:t>P/B</w:t>
            </w:r>
          </w:p>
        </w:tc>
        <w:tc>
          <w:tcPr>
            <w:tcW w:type="dxa" w:w="4320"/>
            <w:shd w:fill="E8F0FE"/>
          </w:tcPr>
          <w:p>
            <w:pPr>
              <w:spacing w:before="40" w:after="40"/>
            </w:pPr>
            <w:r>
              <w:rPr>
                <w:rFonts w:ascii="Calibri" w:hAnsi="Calibri"/>
                <w:sz w:val="18"/>
              </w:rPr>
              <w:t>4.18</w:t>
            </w:r>
          </w:p>
        </w:tc>
      </w:tr>
      <w:tr>
        <w:tc>
          <w:tcPr>
            <w:tcW w:type="dxa" w:w="4320"/>
          </w:tcPr>
          <w:p>
            <w:pPr>
              <w:spacing w:before="40" w:after="40"/>
            </w:pPr>
            <w:r>
              <w:rPr>
                <w:rFonts w:ascii="Calibri" w:hAnsi="Calibri"/>
                <w:b/>
                <w:sz w:val="18"/>
              </w:rPr>
              <w:t>P/S (TTM)</w:t>
            </w:r>
          </w:p>
        </w:tc>
        <w:tc>
          <w:tcPr>
            <w:tcW w:type="dxa" w:w="4320"/>
          </w:tcPr>
          <w:p>
            <w:pPr>
              <w:spacing w:before="40" w:after="40"/>
            </w:pPr>
            <w:r>
              <w:rPr>
                <w:rFonts w:ascii="Calibri" w:hAnsi="Calibri"/>
                <w:sz w:val="18"/>
              </w:rPr>
              <w:t>2.37</w:t>
            </w:r>
          </w:p>
        </w:tc>
      </w:tr>
      <w:tr>
        <w:tc>
          <w:tcPr>
            <w:tcW w:type="dxa" w:w="4320"/>
            <w:shd w:fill="E8F0FE"/>
          </w:tcPr>
          <w:p>
            <w:pPr>
              <w:spacing w:before="40" w:after="40"/>
            </w:pPr>
            <w:r>
              <w:rPr>
                <w:rFonts w:ascii="Calibri" w:hAnsi="Calibri"/>
                <w:b/>
                <w:sz w:val="18"/>
              </w:rPr>
              <w:t>52-Week High/Low</w:t>
            </w:r>
          </w:p>
        </w:tc>
        <w:tc>
          <w:tcPr>
            <w:tcW w:type="dxa" w:w="4320"/>
            <w:shd w:fill="E8F0FE"/>
          </w:tcPr>
          <w:p>
            <w:pPr>
              <w:spacing w:before="40" w:after="40"/>
            </w:pPr>
            <w:r>
              <w:rPr>
                <w:rFonts w:ascii="Calibri" w:hAnsi="Calibri"/>
                <w:sz w:val="18"/>
              </w:rPr>
              <w:t>120.90 / 74.19</w:t>
            </w:r>
          </w:p>
        </w:tc>
      </w:tr>
      <w:tr>
        <w:tc>
          <w:tcPr>
            <w:tcW w:type="dxa" w:w="4320"/>
          </w:tcPr>
          <w:p>
            <w:pPr>
              <w:spacing w:before="40" w:after="40"/>
            </w:pPr>
            <w:r>
              <w:rPr>
                <w:rFonts w:ascii="Calibri" w:hAnsi="Calibri"/>
                <w:b/>
                <w:sz w:val="18"/>
              </w:rPr>
              <w:t>Debt-Equity Ratio</w:t>
            </w:r>
          </w:p>
        </w:tc>
        <w:tc>
          <w:tcPr>
            <w:tcW w:type="dxa" w:w="4320"/>
          </w:tcPr>
          <w:p>
            <w:pPr>
              <w:spacing w:before="40" w:after="40"/>
            </w:pPr>
            <w:r>
              <w:rPr>
                <w:rFonts w:ascii="Calibri" w:hAnsi="Calibri"/>
                <w:sz w:val="18"/>
              </w:rPr>
              <w:t>0.28</w:t>
            </w:r>
          </w:p>
        </w:tc>
      </w:tr>
      <w:tr>
        <w:tc>
          <w:tcPr>
            <w:tcW w:type="dxa" w:w="4320"/>
            <w:shd w:fill="E8F0FE"/>
          </w:tcPr>
          <w:p>
            <w:pPr>
              <w:spacing w:before="40" w:after="40"/>
            </w:pPr>
            <w:r>
              <w:rPr>
                <w:rFonts w:ascii="Calibri" w:hAnsi="Calibri"/>
                <w:b/>
                <w:sz w:val="18"/>
              </w:rPr>
              <w:t>ROE</w:t>
            </w:r>
          </w:p>
        </w:tc>
        <w:tc>
          <w:tcPr>
            <w:tcW w:type="dxa" w:w="4320"/>
            <w:shd w:fill="E8F0FE"/>
          </w:tcPr>
          <w:p>
            <w:pPr>
              <w:spacing w:before="40" w:after="40"/>
            </w:pPr>
            <w:r>
              <w:rPr>
                <w:rFonts w:ascii="Calibri" w:hAnsi="Calibri"/>
                <w:sz w:val="18"/>
              </w:rPr>
              <w:t>8.10%</w:t>
            </w:r>
          </w:p>
        </w:tc>
      </w:tr>
      <w:tr>
        <w:tc>
          <w:tcPr>
            <w:tcW w:type="dxa" w:w="4320"/>
          </w:tcPr>
          <w:p>
            <w:pPr>
              <w:spacing w:before="40" w:after="40"/>
            </w:pPr>
            <w:r>
              <w:rPr>
                <w:rFonts w:ascii="Calibri" w:hAnsi="Calibri"/>
                <w:b/>
                <w:sz w:val="18"/>
              </w:rPr>
              <w:t>ROCE</w:t>
            </w:r>
          </w:p>
        </w:tc>
        <w:tc>
          <w:tcPr>
            <w:tcW w:type="dxa" w:w="4320"/>
          </w:tcPr>
          <w:p>
            <w:pPr>
              <w:spacing w:before="40" w:after="40"/>
            </w:pPr>
            <w:r>
              <w:rPr>
                <w:rFonts w:ascii="Calibri" w:hAnsi="Calibri"/>
                <w:sz w:val="18"/>
              </w:rPr>
              <w:t>9.42%</w:t>
            </w:r>
          </w:p>
        </w:tc>
      </w:tr>
      <w:tr>
        <w:tc>
          <w:tcPr>
            <w:tcW w:type="dxa" w:w="4320"/>
            <w:shd w:fill="E8F0FE"/>
          </w:tcPr>
          <w:p>
            <w:pPr>
              <w:spacing w:before="40" w:after="40"/>
            </w:pPr>
            <w:r>
              <w:rPr>
                <w:rFonts w:ascii="Calibri" w:hAnsi="Calibri"/>
                <w:b/>
                <w:sz w:val="18"/>
              </w:rPr>
              <w:t>Promoter Holding</w:t>
            </w:r>
          </w:p>
        </w:tc>
        <w:tc>
          <w:tcPr>
            <w:tcW w:type="dxa" w:w="4320"/>
            <w:shd w:fill="E8F0FE"/>
          </w:tcPr>
          <w:p>
            <w:pPr>
              <w:spacing w:before="40" w:after="40"/>
            </w:pPr>
            <w:r>
              <w:rPr>
                <w:rFonts w:ascii="Calibri" w:hAnsi="Calibri"/>
                <w:sz w:val="18"/>
              </w:rPr>
              <w:t>63.81%</w:t>
            </w:r>
          </w:p>
        </w:tc>
      </w:tr>
      <w:tr>
        <w:tc>
          <w:tcPr>
            <w:tcW w:type="dxa" w:w="4320"/>
          </w:tcPr>
          <w:p>
            <w:pPr>
              <w:spacing w:before="40" w:after="40"/>
            </w:pPr>
            <w:r>
              <w:rPr>
                <w:rFonts w:ascii="Calibri" w:hAnsi="Calibri"/>
                <w:b/>
                <w:sz w:val="18"/>
              </w:rPr>
              <w:t>Dividend Yield</w:t>
            </w:r>
          </w:p>
        </w:tc>
        <w:tc>
          <w:tcPr>
            <w:tcW w:type="dxa" w:w="4320"/>
          </w:tcPr>
          <w:p>
            <w:pPr>
              <w:spacing w:before="40" w:after="40"/>
            </w:pPr>
            <w:r>
              <w:rPr>
                <w:rFonts w:ascii="Calibri" w:hAnsi="Calibri"/>
                <w:sz w:val="18"/>
              </w:rPr>
              <w:t>N/A</w:t>
            </w:r>
          </w:p>
        </w:tc>
      </w:tr>
    </w:tbl>
    <w:p/>
    <w:p>
      <w:pPr>
        <w:pStyle w:val="Heading1"/>
      </w:pPr>
      <w:r>
        <w:rPr>
          <w:rFonts w:ascii="Calibri" w:hAnsi="Calibri"/>
          <w:color w:val="1F5F8B"/>
          <w:sz w:val="32"/>
        </w:rPr>
        <w:t>1A. Company Brief</w:t>
      </w:r>
    </w:p>
    <w:p>
      <w:pPr>
        <w:spacing w:before="0" w:after="120"/>
      </w:pPr>
    </w:p>
    <w:p>
      <w:pPr>
        <w:spacing w:after="80"/>
      </w:pPr>
      <w:r>
        <w:rPr>
          <w:rFonts w:ascii="Calibri" w:hAnsi="Calibri"/>
          <w:color w:val="333333"/>
          <w:sz w:val="20"/>
        </w:rPr>
        <w:t>TGV Sraac Limited, formerly known as Sree Rayalaseema Alkalies and Allied Chemicals Limited, is a prominent Indian manufacturer specializing in a range of chemical products. The company's core manufacturing activities are centered around the Chlor-Alkali segment, producing Caustic Soda (Lye and Flakes), Liquid Chlorine, Hydrochloric Acid, and Hydrogen gas. It also manufactures Chloromethanes, including Methylene-Di-Chloride, Chloroform, and Carbon Tetra Chloride. Additionally, TGV Sraac produces Castor Oil derivatives and Fatty Acids through its Oils and Fats segment. The company's primary raw materials include salt for Caustic Soda production and Chlorine (produced internally) for Chloromethanes. Potassium Chloride, a key raw material for Caustic Potash, is imported.</w:t>
      </w:r>
    </w:p>
    <w:p>
      <w:pPr>
        <w:spacing w:after="80"/>
      </w:pPr>
      <w:r>
        <w:rPr>
          <w:rFonts w:ascii="Calibri" w:hAnsi="Calibri"/>
          <w:color w:val="333333"/>
          <w:sz w:val="20"/>
        </w:rPr>
        <w:t>The company operates multiple manufacturing facilities, with its primary plant located in Gondiparla, Kurnool, Andhra Pradesh. It also has a Wind Farm at Ramagiri, Andhra Pradesh, and a Bellary Power Plant in Karnataka, though the latter's commercial operations have ceased. TGV Sraac serves a diverse industrial customer base, with its products being essential inputs for sectors such as aluminum, pulp and paper, textiles, pharmaceuticals, soaps and detergents, fertilizers, and personal care products. The Chemicals segment contributes approximately 88% of the company's turnover, while the Oils and Fats segment accounts for about 12%. The company's export activities are relatively modest, contributing around 5.51% of its total turnover, with products like Hydrogenated Castor Oil, 12 Hydroxy Stearic Acid, and Caustic Soda Flakes being exported.</w:t>
      </w:r>
    </w:p>
    <w:p>
      <w:pPr>
        <w:pStyle w:val="Heading1"/>
      </w:pPr>
      <w:r>
        <w:rPr>
          <w:rFonts w:ascii="Calibri" w:hAnsi="Calibri"/>
          <w:color w:val="1F5F8B"/>
          <w:sz w:val="32"/>
        </w:rPr>
        <w:t>1B. News &amp; Industry Overview</w:t>
      </w:r>
    </w:p>
    <w:p>
      <w:pPr>
        <w:spacing w:before="0" w:after="120"/>
      </w:pPr>
    </w:p>
    <w:p>
      <w:pPr>
        <w:spacing w:after="80"/>
      </w:pPr>
      <w:r>
        <w:rPr>
          <w:rFonts w:ascii="Calibri" w:hAnsi="Calibri"/>
          <w:color w:val="333333"/>
          <w:sz w:val="20"/>
        </w:rPr>
        <w:t>In recent news, TGV Sraac Limited has been actively engaged in strategic initiatives to bolster its operational and financial performance. The company's Board has been consistently reviewing and approving quarterly financial results, indicating a focus on transparency and timely disclosure. Notably, there have been approvals for capacity expansions, such as the in-principle approval for a Caustic Soda expansion project of 450 MT Caustic Soda and 400 MT of Chlorine at an approximate cost of ₹350 Crores, a revision from an earlier proposal. The company has also been proactive in its solar power initiatives, with plans to increase its solar power generation capacity to 100 MW in stages, underscoring a commitment to renewable energy and sustainability. Recent disclosures also highlight the release of pledges on promoter shares, signaling a potential strengthening of the promoter group's financial standing.</w:t>
      </w:r>
    </w:p>
    <w:p>
      <w:pPr>
        <w:spacing w:after="80"/>
      </w:pPr>
      <w:r>
        <w:rPr>
          <w:rFonts w:ascii="Calibri" w:hAnsi="Calibri"/>
          <w:color w:val="333333"/>
          <w:sz w:val="20"/>
        </w:rPr>
        <w:t>The Indian chemical industry, a significant contributor to the nation's economy, is projected to reach USD 300 billion by 2030, driven by increasing demand across various end-user sectors like agriculture, construction, and pharmaceuticals. However, the industry faces challenges such as stringent environmental regulations, import competition, and the need for technological advancements. Specifically, the Caustic Soda industry, a core segment for TGV Sraac, is expected to grow at a CAGR of 3.28%, but it grapples with global market dynamics, high power costs (a major production cost component), and the dependence on imported technology. The Chlorine market, a joint product with Caustic Soda, is experiencing growth due to demand from water treatment and pharmaceuticals, but its commercial disposal can impact Caustic Soda production. Chloromethanes, another key product, is projected to grow at a CAGR of 6.2%, benefiting from the company's captive chlorine supply. The company's Oils &amp; Fats segment operates at a smaller scale with thinner margins, leading to a strategic scaling down of operations in this area.</w:t>
      </w:r>
    </w:p>
    <w:p>
      <w:pPr>
        <w:pStyle w:val="Heading1"/>
      </w:pPr>
      <w:r>
        <w:rPr>
          <w:rFonts w:ascii="Calibri" w:hAnsi="Calibri"/>
          <w:color w:val="1F5F8B"/>
          <w:sz w:val="32"/>
        </w:rPr>
        <w:t>2. Key Developments Over Past 1 Year</w:t>
      </w:r>
    </w:p>
    <w:p>
      <w:pPr>
        <w:spacing w:before="0" w:after="120"/>
      </w:pPr>
    </w:p>
    <w:p>
      <w:pPr>
        <w:pStyle w:val="Heading2"/>
      </w:pPr>
      <w:r>
        <w:rPr>
          <w:rFonts w:ascii="Calibri" w:hAnsi="Calibri"/>
          <w:color w:val="1F5F8B"/>
          <w:sz w:val="26"/>
        </w:rPr>
        <w:t>Major Divestitures, Acquisitions, Mergers</w:t>
      </w:r>
    </w:p>
    <w:p>
      <w:pPr>
        <w:pStyle w:val="ListBullet"/>
        <w:spacing w:after="80"/>
      </w:pPr>
      <w:r>
        <w:rPr>
          <w:rFonts w:ascii="Calibri" w:hAnsi="Calibri"/>
          <w:color w:val="333333"/>
          <w:sz w:val="20"/>
        </w:rPr>
        <w:t xml:space="preserve">  </w:t>
      </w:r>
      <w:r>
        <w:rPr>
          <w:rFonts w:ascii="Calibri" w:hAnsi="Calibri"/>
          <w:b/>
          <w:color w:val="333333"/>
          <w:sz w:val="20"/>
        </w:rPr>
        <w:t>Bellary Power Plant Operations:</w:t>
      </w:r>
      <w:r>
        <w:rPr>
          <w:rFonts w:ascii="Calibri" w:hAnsi="Calibri"/>
          <w:color w:val="333333"/>
          <w:sz w:val="20"/>
        </w:rPr>
        <w:t xml:space="preserve"> The company's Bellary Power Plant continues to be under closure due to the expiry of its Power Purchase Agreement (PPA) with KPTCL. The company is actively exploring options for the disposal or relocation of this unit, indicating a potential divestiture of this non-core asset.</w:t>
      </w:r>
    </w:p>
    <w:p>
      <w:pPr>
        <w:pStyle w:val="Heading2"/>
      </w:pPr>
      <w:r>
        <w:rPr>
          <w:rFonts w:ascii="Calibri" w:hAnsi="Calibri"/>
          <w:color w:val="1F5F8B"/>
          <w:sz w:val="26"/>
        </w:rPr>
        <w:t>New Listings or Exchange Approvals</w:t>
      </w:r>
    </w:p>
    <w:p>
      <w:pPr>
        <w:pStyle w:val="ListBullet"/>
        <w:spacing w:after="80"/>
      </w:pPr>
      <w:r>
        <w:rPr>
          <w:rFonts w:ascii="Calibri" w:hAnsi="Calibri"/>
          <w:color w:val="333333"/>
          <w:sz w:val="20"/>
        </w:rPr>
        <w:t xml:space="preserve">  No new listings or major exchange approvals have been noted in the provided documents for the past year.</w:t>
      </w:r>
    </w:p>
    <w:p>
      <w:pPr>
        <w:pStyle w:val="Heading2"/>
      </w:pPr>
      <w:r>
        <w:rPr>
          <w:rFonts w:ascii="Calibri" w:hAnsi="Calibri"/>
          <w:color w:val="1F5F8B"/>
          <w:sz w:val="26"/>
        </w:rPr>
        <w:t>Balance Sheet Transformation</w:t>
      </w:r>
    </w:p>
    <w:p>
      <w:pPr>
        <w:pStyle w:val="ListBullet"/>
        <w:spacing w:after="80"/>
      </w:pPr>
      <w:r>
        <w:rPr>
          <w:rFonts w:ascii="Calibri" w:hAnsi="Calibri"/>
          <w:color w:val="333333"/>
          <w:sz w:val="20"/>
        </w:rPr>
        <w:t xml:space="preserve">  </w:t>
      </w:r>
      <w:r>
        <w:rPr>
          <w:rFonts w:ascii="Calibri" w:hAnsi="Calibri"/>
          <w:b/>
          <w:color w:val="333333"/>
          <w:sz w:val="20"/>
        </w:rPr>
        <w:t>Promoter Share Pledge Release:</w:t>
      </w:r>
      <w:r>
        <w:rPr>
          <w:rFonts w:ascii="Calibri" w:hAnsi="Calibri"/>
          <w:color w:val="333333"/>
          <w:sz w:val="20"/>
        </w:rPr>
        <w:t xml:space="preserve"> Significant developments have occurred regarding promoter shareholding. Disclosures under SEBI (SAST) Regulations indicate the release of pledges on promoter shares held by Sri T.G. Venkatesh, Sri T.G. Bharath, Smt T.G. Rajyalakshmi, Smt Jyothsna S Mysore, and Smt Boda Mourya. This release of encumbrances suggests a potential improvement in the financial health or strategic positioning of the promoter group.</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160"/>
        <w:gridCol w:w="2160"/>
        <w:gridCol w:w="2160"/>
      </w:tblGrid>
      <w:tr>
        <w:tc>
          <w:tcPr>
            <w:tcW w:type="dxa" w:w="2160"/>
            <w:shd w:fill="1F5F8B"/>
          </w:tcPr>
          <w:p>
            <w:pPr>
              <w:spacing w:before="40" w:after="40"/>
            </w:pPr>
            <w:r>
              <w:rPr>
                <w:rFonts w:ascii="Calibri" w:hAnsi="Calibri"/>
                <w:b/>
                <w:color w:val="FFFFFF"/>
                <w:sz w:val="18"/>
              </w:rPr>
              <w:t>Metric</w:t>
            </w:r>
          </w:p>
        </w:tc>
        <w:tc>
          <w:tcPr>
            <w:tcW w:type="dxa" w:w="2160"/>
            <w:shd w:fill="1F5F8B"/>
          </w:tcPr>
          <w:p>
            <w:pPr>
              <w:spacing w:before="40" w:after="40"/>
            </w:pPr>
            <w:r>
              <w:rPr>
                <w:rFonts w:ascii="Calibri" w:hAnsi="Calibri"/>
                <w:b/>
                <w:color w:val="FFFFFF"/>
                <w:sz w:val="18"/>
              </w:rPr>
              <w:t>As at March 31, 2024</w:t>
            </w:r>
          </w:p>
        </w:tc>
        <w:tc>
          <w:tcPr>
            <w:tcW w:type="dxa" w:w="2160"/>
            <w:shd w:fill="1F5F8B"/>
          </w:tcPr>
          <w:p>
            <w:pPr>
              <w:spacing w:before="40" w:after="40"/>
            </w:pPr>
            <w:r>
              <w:rPr>
                <w:rFonts w:ascii="Calibri" w:hAnsi="Calibri"/>
                <w:b/>
                <w:color w:val="FFFFFF"/>
                <w:sz w:val="18"/>
              </w:rPr>
              <w:t>As at March 31, 2025</w:t>
            </w:r>
          </w:p>
        </w:tc>
        <w:tc>
          <w:tcPr>
            <w:tcW w:type="dxa" w:w="2160"/>
            <w:shd w:fill="1F5F8B"/>
          </w:tcPr>
          <w:p>
            <w:pPr>
              <w:spacing w:before="40" w:after="40"/>
            </w:pPr>
            <w:r>
              <w:rPr>
                <w:rFonts w:ascii="Calibri" w:hAnsi="Calibri"/>
                <w:b/>
                <w:color w:val="FFFFFF"/>
                <w:sz w:val="18"/>
              </w:rPr>
              <w:t>Change</w:t>
            </w:r>
          </w:p>
        </w:tc>
      </w:tr>
      <w:tr>
        <w:tc>
          <w:tcPr>
            <w:tcW w:type="dxa" w:w="2160"/>
          </w:tcPr>
          <w:p>
            <w:pPr>
              <w:spacing w:before="40" w:after="40"/>
            </w:pPr>
            <w:r>
              <w:rPr>
                <w:rFonts w:ascii="Calibri" w:hAnsi="Calibri"/>
                <w:b/>
                <w:sz w:val="18"/>
              </w:rPr>
              <w:t>Total Debt</w:t>
            </w:r>
          </w:p>
        </w:tc>
        <w:tc>
          <w:tcPr>
            <w:tcW w:type="dxa" w:w="2160"/>
          </w:tcPr>
          <w:p>
            <w:pPr>
              <w:spacing w:before="40" w:after="40"/>
            </w:pPr>
            <w:r>
              <w:rPr>
                <w:rFonts w:ascii="Calibri" w:hAnsi="Calibri"/>
                <w:sz w:val="18"/>
              </w:rPr>
              <w:t>30,159.76 Lakhs</w:t>
            </w:r>
          </w:p>
        </w:tc>
        <w:tc>
          <w:tcPr>
            <w:tcW w:type="dxa" w:w="2160"/>
          </w:tcPr>
          <w:p>
            <w:pPr>
              <w:spacing w:before="40" w:after="40"/>
            </w:pPr>
            <w:r>
              <w:rPr>
                <w:rFonts w:ascii="Calibri" w:hAnsi="Calibri"/>
                <w:sz w:val="18"/>
              </w:rPr>
              <w:t>33,131.60 Lakhs</w:t>
            </w:r>
          </w:p>
        </w:tc>
        <w:tc>
          <w:tcPr>
            <w:tcW w:type="dxa" w:w="2160"/>
          </w:tcPr>
          <w:p>
            <w:pPr>
              <w:spacing w:before="40" w:after="40"/>
            </w:pPr>
            <w:r>
              <w:rPr>
                <w:rFonts w:ascii="Calibri" w:hAnsi="Calibri"/>
                <w:sz w:val="18"/>
              </w:rPr>
              <w:t>+9.6%</w:t>
            </w:r>
          </w:p>
        </w:tc>
      </w:tr>
      <w:tr>
        <w:tc>
          <w:tcPr>
            <w:tcW w:type="dxa" w:w="2160"/>
            <w:shd w:fill="E8F0FE"/>
          </w:tcPr>
          <w:p>
            <w:pPr>
              <w:spacing w:before="40" w:after="40"/>
            </w:pPr>
            <w:r>
              <w:rPr>
                <w:rFonts w:ascii="Calibri" w:hAnsi="Calibri"/>
                <w:b/>
                <w:sz w:val="18"/>
              </w:rPr>
              <w:t>Equity Share Capital</w:t>
            </w:r>
          </w:p>
        </w:tc>
        <w:tc>
          <w:tcPr>
            <w:tcW w:type="dxa" w:w="2160"/>
            <w:shd w:fill="E8F0FE"/>
          </w:tcPr>
          <w:p>
            <w:pPr>
              <w:spacing w:before="40" w:after="40"/>
            </w:pPr>
            <w:r>
              <w:rPr>
                <w:rFonts w:ascii="Calibri" w:hAnsi="Calibri"/>
                <w:sz w:val="18"/>
              </w:rPr>
              <w:t>10,713.26 Lakhs</w:t>
            </w:r>
          </w:p>
        </w:tc>
        <w:tc>
          <w:tcPr>
            <w:tcW w:type="dxa" w:w="2160"/>
            <w:shd w:fill="E8F0FE"/>
          </w:tcPr>
          <w:p>
            <w:pPr>
              <w:spacing w:before="40" w:after="40"/>
            </w:pPr>
            <w:r>
              <w:rPr>
                <w:rFonts w:ascii="Calibri" w:hAnsi="Calibri"/>
                <w:sz w:val="18"/>
              </w:rPr>
              <w:t>10,713.26 Lakhs</w:t>
            </w:r>
          </w:p>
        </w:tc>
        <w:tc>
          <w:tcPr>
            <w:tcW w:type="dxa" w:w="2160"/>
            <w:shd w:fill="E8F0FE"/>
          </w:tcPr>
          <w:p>
            <w:pPr>
              <w:spacing w:before="40" w:after="40"/>
            </w:pPr>
            <w:r>
              <w:rPr>
                <w:rFonts w:ascii="Calibri" w:hAnsi="Calibri"/>
                <w:sz w:val="18"/>
              </w:rPr>
              <w:t>0.0%</w:t>
            </w:r>
          </w:p>
        </w:tc>
      </w:tr>
      <w:tr>
        <w:tc>
          <w:tcPr>
            <w:tcW w:type="dxa" w:w="2160"/>
          </w:tcPr>
          <w:p>
            <w:pPr>
              <w:spacing w:before="40" w:after="40"/>
            </w:pPr>
            <w:r>
              <w:rPr>
                <w:rFonts w:ascii="Calibri" w:hAnsi="Calibri"/>
                <w:b/>
                <w:sz w:val="18"/>
              </w:rPr>
              <w:t>Other Equity</w:t>
            </w:r>
          </w:p>
        </w:tc>
        <w:tc>
          <w:tcPr>
            <w:tcW w:type="dxa" w:w="2160"/>
          </w:tcPr>
          <w:p>
            <w:pPr>
              <w:spacing w:before="40" w:after="40"/>
            </w:pPr>
            <w:r>
              <w:rPr>
                <w:rFonts w:ascii="Calibri" w:hAnsi="Calibri"/>
                <w:sz w:val="18"/>
              </w:rPr>
              <w:t>98,866.41 Lakhs</w:t>
            </w:r>
          </w:p>
        </w:tc>
        <w:tc>
          <w:tcPr>
            <w:tcW w:type="dxa" w:w="2160"/>
          </w:tcPr>
          <w:p>
            <w:pPr>
              <w:spacing w:before="40" w:after="40"/>
            </w:pPr>
            <w:r>
              <w:rPr>
                <w:rFonts w:ascii="Calibri" w:hAnsi="Calibri"/>
                <w:sz w:val="18"/>
              </w:rPr>
              <w:t>107,112.07 Lakhs</w:t>
            </w:r>
          </w:p>
        </w:tc>
        <w:tc>
          <w:tcPr>
            <w:tcW w:type="dxa" w:w="2160"/>
          </w:tcPr>
          <w:p>
            <w:pPr>
              <w:spacing w:before="40" w:after="40"/>
            </w:pPr>
            <w:r>
              <w:rPr>
                <w:rFonts w:ascii="Calibri" w:hAnsi="Calibri"/>
                <w:sz w:val="18"/>
              </w:rPr>
              <w:t>+8.3%</w:t>
            </w:r>
          </w:p>
        </w:tc>
      </w:tr>
      <w:tr>
        <w:tc>
          <w:tcPr>
            <w:tcW w:type="dxa" w:w="2160"/>
            <w:shd w:fill="E8F0FE"/>
          </w:tcPr>
          <w:p>
            <w:pPr>
              <w:spacing w:before="40" w:after="40"/>
            </w:pPr>
            <w:r>
              <w:rPr>
                <w:rFonts w:ascii="Calibri" w:hAnsi="Calibri"/>
                <w:b/>
                <w:sz w:val="18"/>
              </w:rPr>
              <w:t>Total Equity</w:t>
            </w:r>
          </w:p>
        </w:tc>
        <w:tc>
          <w:tcPr>
            <w:tcW w:type="dxa" w:w="2160"/>
            <w:shd w:fill="E8F0FE"/>
          </w:tcPr>
          <w:p>
            <w:pPr>
              <w:spacing w:before="40" w:after="40"/>
            </w:pPr>
            <w:r>
              <w:rPr>
                <w:rFonts w:ascii="Calibri" w:hAnsi="Calibri"/>
                <w:sz w:val="18"/>
              </w:rPr>
              <w:t>109,579.67 Lakhs</w:t>
            </w:r>
          </w:p>
        </w:tc>
        <w:tc>
          <w:tcPr>
            <w:tcW w:type="dxa" w:w="2160"/>
            <w:shd w:fill="E8F0FE"/>
          </w:tcPr>
          <w:p>
            <w:pPr>
              <w:spacing w:before="40" w:after="40"/>
            </w:pPr>
            <w:r>
              <w:rPr>
                <w:rFonts w:ascii="Calibri" w:hAnsi="Calibri"/>
                <w:sz w:val="18"/>
              </w:rPr>
              <w:t>117,825.33 Lakhs</w:t>
            </w:r>
          </w:p>
        </w:tc>
        <w:tc>
          <w:tcPr>
            <w:tcW w:type="dxa" w:w="2160"/>
            <w:shd w:fill="E8F0FE"/>
          </w:tcPr>
          <w:p>
            <w:pPr>
              <w:spacing w:before="40" w:after="40"/>
            </w:pPr>
            <w:r>
              <w:rPr>
                <w:rFonts w:ascii="Calibri" w:hAnsi="Calibri"/>
                <w:sz w:val="18"/>
              </w:rPr>
              <w:t>+7.5%</w:t>
            </w:r>
          </w:p>
        </w:tc>
      </w:tr>
      <w:tr>
        <w:tc>
          <w:tcPr>
            <w:tcW w:type="dxa" w:w="2160"/>
          </w:tcPr>
          <w:p>
            <w:pPr>
              <w:spacing w:before="40" w:after="40"/>
            </w:pPr>
            <w:r>
              <w:rPr>
                <w:rFonts w:ascii="Calibri" w:hAnsi="Calibri"/>
                <w:b/>
                <w:sz w:val="18"/>
              </w:rPr>
              <w:t>Debt-Equity Ratio</w:t>
            </w:r>
          </w:p>
        </w:tc>
        <w:tc>
          <w:tcPr>
            <w:tcW w:type="dxa" w:w="2160"/>
          </w:tcPr>
          <w:p>
            <w:pPr>
              <w:spacing w:before="40" w:after="40"/>
            </w:pPr>
            <w:r>
              <w:rPr>
                <w:rFonts w:ascii="Calibri" w:hAnsi="Calibri"/>
                <w:sz w:val="18"/>
              </w:rPr>
              <w:t>0.28</w:t>
            </w:r>
          </w:p>
        </w:tc>
        <w:tc>
          <w:tcPr>
            <w:tcW w:type="dxa" w:w="2160"/>
          </w:tcPr>
          <w:p>
            <w:pPr>
              <w:spacing w:before="40" w:after="40"/>
            </w:pPr>
            <w:r>
              <w:rPr>
                <w:rFonts w:ascii="Calibri" w:hAnsi="Calibri"/>
                <w:sz w:val="18"/>
              </w:rPr>
              <w:t>0.28</w:t>
            </w:r>
          </w:p>
        </w:tc>
        <w:tc>
          <w:tcPr>
            <w:tcW w:type="dxa" w:w="2160"/>
          </w:tcPr>
          <w:p>
            <w:pPr>
              <w:spacing w:before="40" w:after="40"/>
            </w:pPr>
            <w:r>
              <w:rPr>
                <w:rFonts w:ascii="Calibri" w:hAnsi="Calibri"/>
                <w:sz w:val="18"/>
              </w:rPr>
              <w:t>0.0%</w:t>
            </w:r>
          </w:p>
        </w:tc>
      </w:tr>
    </w:tbl>
    <w:p/>
    <w:p>
      <w:r>
        <w:rPr>
          <w:rFonts w:ascii="Calibri" w:hAnsi="Calibri"/>
          <w:i/>
          <w:color w:val="666666"/>
          <w:sz w:val="18"/>
        </w:rPr>
        <w:t>Logic: Debt has increased slightly, but the Debt-Equity ratio remains stable due to a corresponding increase in equity, indicating a consistent leverage position.</w:t>
      </w:r>
    </w:p>
    <w:p>
      <w:pPr>
        <w:pStyle w:val="Heading2"/>
      </w:pPr>
      <w:r>
        <w:rPr>
          <w:rFonts w:ascii="Calibri" w:hAnsi="Calibri"/>
          <w:color w:val="1F5F8B"/>
          <w:sz w:val="26"/>
        </w:rPr>
        <w:t>Leadership Changes</w:t>
      </w:r>
    </w:p>
    <w:p>
      <w:pPr>
        <w:pStyle w:val="ListBullet"/>
        <w:spacing w:after="80"/>
      </w:pPr>
      <w:r>
        <w:rPr>
          <w:rFonts w:ascii="Calibri" w:hAnsi="Calibri"/>
          <w:color w:val="333333"/>
          <w:sz w:val="20"/>
        </w:rPr>
        <w:t xml:space="preserve">  </w:t>
      </w:r>
      <w:r>
        <w:rPr>
          <w:rFonts w:ascii="Calibri" w:hAnsi="Calibri"/>
          <w:b/>
          <w:color w:val="333333"/>
          <w:sz w:val="20"/>
        </w:rPr>
        <w:t>Resignation of Sri Jesvanth Reddy Nalla:</w:t>
      </w:r>
      <w:r>
        <w:rPr>
          <w:rFonts w:ascii="Calibri" w:hAnsi="Calibri"/>
          <w:color w:val="333333"/>
          <w:sz w:val="20"/>
        </w:rPr>
        <w:t xml:space="preserve"> Sri Jesvanth Reddy Nalla resigned as Executive Director (Technical) and Director, effective March 31, 2025. This change in a key technical leadership position might impact operational continuity or strategic execution in the short term.</w:t>
      </w:r>
    </w:p>
    <w:p>
      <w:pPr>
        <w:pStyle w:val="Heading2"/>
      </w:pPr>
      <w:r>
        <w:rPr>
          <w:rFonts w:ascii="Calibri" w:hAnsi="Calibri"/>
          <w:color w:val="1F5F8B"/>
          <w:sz w:val="26"/>
        </w:rPr>
        <w:t>Preferential Issues, Warrants, Capital Raises</w:t>
      </w:r>
    </w:p>
    <w:p>
      <w:pPr>
        <w:pStyle w:val="ListBullet"/>
        <w:spacing w:after="80"/>
      </w:pPr>
      <w:r>
        <w:rPr>
          <w:rFonts w:ascii="Calibri" w:hAnsi="Calibri"/>
          <w:color w:val="333333"/>
          <w:sz w:val="20"/>
        </w:rPr>
        <w:t xml:space="preserve">  </w:t>
      </w:r>
      <w:r>
        <w:rPr>
          <w:rFonts w:ascii="Calibri" w:hAnsi="Calibri"/>
          <w:b/>
          <w:color w:val="333333"/>
          <w:sz w:val="20"/>
        </w:rPr>
        <w:t>Federal Bank Financial Assistance:</w:t>
      </w:r>
      <w:r>
        <w:rPr>
          <w:rFonts w:ascii="Calibri" w:hAnsi="Calibri"/>
          <w:color w:val="333333"/>
          <w:sz w:val="20"/>
        </w:rPr>
        <w:t xml:space="preserve"> The company has completed documentation for availing ₹25 Crores in financial assistance sanctioned by The Federal Bank Ltd. This indicates ongoing efforts to secure necessary funding for operational needs or expansion.</w:t>
      </w:r>
    </w:p>
    <w:p>
      <w:pPr>
        <w:pStyle w:val="Heading2"/>
      </w:pPr>
      <w:r>
        <w:rPr>
          <w:rFonts w:ascii="Calibri" w:hAnsi="Calibri"/>
          <w:color w:val="1F5F8B"/>
          <w:sz w:val="26"/>
        </w:rPr>
        <w:t>SAST Disclosures, Promoter Buying/Selling</w:t>
      </w:r>
    </w:p>
    <w:p>
      <w:pPr>
        <w:pStyle w:val="ListBullet"/>
        <w:spacing w:after="80"/>
      </w:pPr>
      <w:r>
        <w:rPr>
          <w:rFonts w:ascii="Calibri" w:hAnsi="Calibri"/>
          <w:color w:val="333333"/>
          <w:sz w:val="20"/>
        </w:rPr>
        <w:t xml:space="preserve">  As detailed in the Balance Sheet Transformation section, there have been significant disclosures regarding the release of pledges on promoter shares by various promoter group entities. This is a positive development, suggesting improved financial flexibility for the promoters.</w:t>
      </w:r>
    </w:p>
    <w:p>
      <w:pPr>
        <w:pStyle w:val="Heading2"/>
      </w:pPr>
      <w:r>
        <w:rPr>
          <w:rFonts w:ascii="Calibri" w:hAnsi="Calibri"/>
          <w:color w:val="1F5F8B"/>
          <w:sz w:val="26"/>
        </w:rPr>
        <w:t>Regulatory Actions or Penalties</w:t>
      </w:r>
    </w:p>
    <w:p>
      <w:pPr>
        <w:pStyle w:val="ListBullet"/>
        <w:spacing w:after="80"/>
      </w:pPr>
      <w:r>
        <w:rPr>
          <w:rFonts w:ascii="Calibri" w:hAnsi="Calibri"/>
          <w:color w:val="333333"/>
          <w:sz w:val="20"/>
        </w:rPr>
        <w:t xml:space="preserve">  </w:t>
      </w:r>
      <w:r>
        <w:rPr>
          <w:rFonts w:ascii="Calibri" w:hAnsi="Calibri"/>
          <w:b/>
          <w:color w:val="333333"/>
          <w:sz w:val="20"/>
        </w:rPr>
        <w:t>FPPCA Charges:</w:t>
      </w:r>
      <w:r>
        <w:rPr>
          <w:rFonts w:ascii="Calibri" w:hAnsi="Calibri"/>
          <w:color w:val="333333"/>
          <w:sz w:val="20"/>
        </w:rPr>
        <w:t xml:space="preserve"> The company is contesting Fuel Power Purchase/True-up Charges (FPPCA) of ₹3,651 lakhs imposed by the Andhra Pradesh Electricity Regulatory Commission (APERC) for FY22-23. The company has appealed these charges before the Appellate Tribunal for Electricity (APTEL). FPPCA charges for FY23-24 of ₹4,048 lakhs were also imposed without a personal hearing, and the company is awaiting the outcome of its engagement with the electricity department. The company has not recognized these FPPCA charges for the quarter ended December 31, 2024, pending the outcome of appeals.</w:t>
      </w:r>
    </w:p>
    <w:p>
      <w:pPr>
        <w:pStyle w:val="ListBullet"/>
        <w:spacing w:after="80"/>
      </w:pPr>
      <w:r>
        <w:rPr>
          <w:rFonts w:ascii="Calibri" w:hAnsi="Calibri"/>
          <w:color w:val="333333"/>
          <w:sz w:val="20"/>
        </w:rPr>
        <w:t xml:space="preserve">  </w:t>
      </w:r>
      <w:r>
        <w:rPr>
          <w:rFonts w:ascii="Calibri" w:hAnsi="Calibri"/>
          <w:b/>
          <w:color w:val="333333"/>
          <w:sz w:val="20"/>
        </w:rPr>
        <w:t>Disputed Statutory Dues:</w:t>
      </w:r>
      <w:r>
        <w:rPr>
          <w:rFonts w:ascii="Calibri" w:hAnsi="Calibri"/>
          <w:color w:val="333333"/>
          <w:sz w:val="20"/>
        </w:rPr>
        <w:t xml:space="preserve"> The company has several disputed statutory dues pending before various authorities, including VAT, Entry Tax, Customs Duty, and Provident Fund delay charges. These are detailed in the financial statements and represent potential contingent liabilities.</w:t>
      </w:r>
    </w:p>
    <w:p>
      <w:pPr>
        <w:pStyle w:val="Heading1"/>
      </w:pPr>
      <w:r>
        <w:rPr>
          <w:rFonts w:ascii="Calibri" w:hAnsi="Calibri"/>
          <w:color w:val="1F5F8B"/>
          <w:sz w:val="32"/>
        </w:rPr>
        <w:t>3. Financial Analysis</w:t>
      </w:r>
    </w:p>
    <w:p>
      <w:pPr>
        <w:spacing w:before="0" w:after="120"/>
      </w:pPr>
    </w:p>
    <w:p>
      <w:pPr>
        <w:spacing w:after="80"/>
      </w:pPr>
      <w:r>
        <w:rPr>
          <w:rFonts w:ascii="Calibri" w:hAnsi="Calibri"/>
          <w:color w:val="333333"/>
          <w:sz w:val="20"/>
        </w:rPr>
        <w:t>TGV Sraac Limited has demonstrated a mixed financial performance over the past year. While revenue from operations for FY25 stood at ₹174,904 lakhs, a notable increase from FY24's ₹154,596 lakhs, the company has faced margin pressures, particularly in its Oils &amp; Fats segment and due to increased power and fuel costs. Profit Before Tax (PBT) for FY25 was ₹12,555 lakhs, a significant improvement from FY24's ₹4,376 lakhs, driven by better performance in the main chemical divisions and cost-cutting measures. The company's cash flow from operations remains robust, with FY25 generating ₹15,999 lakhs, primarily supporting its investing activities, which included significant capital expenditure on modernization and solar power projects. The company's liquidity position appears adequate, with cash and cash equivalents standing at ₹3,938 lakhs as of September 30, 2025.</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440"/>
        <w:gridCol w:w="1440"/>
        <w:gridCol w:w="1440"/>
        <w:gridCol w:w="1440"/>
        <w:gridCol w:w="1440"/>
        <w:gridCol w:w="1440"/>
      </w:tblGrid>
      <w:tr>
        <w:tc>
          <w:tcPr>
            <w:tcW w:type="dxa" w:w="1440"/>
            <w:shd w:fill="1F5F8B"/>
          </w:tcPr>
          <w:p>
            <w:pPr>
              <w:spacing w:before="40" w:after="40"/>
            </w:pPr>
            <w:r>
              <w:rPr>
                <w:rFonts w:ascii="Calibri" w:hAnsi="Calibri"/>
                <w:b/>
                <w:color w:val="FFFFFF"/>
                <w:sz w:val="18"/>
              </w:rPr>
              <w:t>Particulars</w:t>
            </w:r>
          </w:p>
        </w:tc>
        <w:tc>
          <w:tcPr>
            <w:tcW w:type="dxa" w:w="1440"/>
            <w:shd w:fill="1F5F8B"/>
          </w:tcPr>
          <w:p>
            <w:pPr>
              <w:spacing w:before="40" w:after="40"/>
            </w:pPr>
            <w:r>
              <w:rPr>
                <w:rFonts w:ascii="Calibri" w:hAnsi="Calibri"/>
                <w:b/>
                <w:color w:val="FFFFFF"/>
                <w:sz w:val="18"/>
              </w:rPr>
              <w:t>FY25A</w:t>
            </w:r>
          </w:p>
        </w:tc>
        <w:tc>
          <w:tcPr>
            <w:tcW w:type="dxa" w:w="1440"/>
            <w:shd w:fill="1F5F8B"/>
          </w:tcPr>
          <w:p>
            <w:pPr>
              <w:spacing w:before="40" w:after="40"/>
            </w:pPr>
            <w:r>
              <w:rPr>
                <w:rFonts w:ascii="Calibri" w:hAnsi="Calibri"/>
                <w:b/>
                <w:color w:val="FFFFFF"/>
                <w:sz w:val="18"/>
              </w:rPr>
              <w:t>FY26E</w:t>
            </w:r>
          </w:p>
        </w:tc>
        <w:tc>
          <w:tcPr>
            <w:tcW w:type="dxa" w:w="1440"/>
            <w:shd w:fill="1F5F8B"/>
          </w:tcPr>
          <w:p>
            <w:pPr>
              <w:spacing w:before="40" w:after="40"/>
            </w:pPr>
            <w:r>
              <w:rPr>
                <w:rFonts w:ascii="Calibri" w:hAnsi="Calibri"/>
                <w:b/>
                <w:color w:val="FFFFFF"/>
                <w:sz w:val="18"/>
              </w:rPr>
              <w:t>FY27E</w:t>
            </w:r>
          </w:p>
        </w:tc>
        <w:tc>
          <w:tcPr>
            <w:tcW w:type="dxa" w:w="1440"/>
            <w:shd w:fill="1F5F8B"/>
          </w:tcPr>
          <w:p>
            <w:pPr>
              <w:spacing w:before="40" w:after="40"/>
            </w:pPr>
            <w:r>
              <w:rPr>
                <w:rFonts w:ascii="Calibri" w:hAnsi="Calibri"/>
                <w:b/>
                <w:color w:val="FFFFFF"/>
                <w:sz w:val="18"/>
              </w:rPr>
              <w:t>FY28E</w:t>
            </w:r>
          </w:p>
        </w:tc>
        <w:tc>
          <w:tcPr>
            <w:tcW w:type="dxa" w:w="1440"/>
            <w:shd w:fill="1F5F8B"/>
          </w:tcPr>
          <w:p>
            <w:pPr>
              <w:spacing w:before="40" w:after="40"/>
            </w:pPr>
            <w:r>
              <w:rPr>
                <w:rFonts w:ascii="Calibri" w:hAnsi="Calibri"/>
                <w:b/>
                <w:color w:val="FFFFFF"/>
                <w:sz w:val="18"/>
              </w:rPr>
              <w:t>FY29E</w:t>
            </w:r>
          </w:p>
        </w:tc>
      </w:tr>
      <w:tr>
        <w:tc>
          <w:tcPr>
            <w:tcW w:type="dxa" w:w="1440"/>
          </w:tcPr>
          <w:p>
            <w:pPr>
              <w:spacing w:before="40" w:after="40"/>
            </w:pPr>
            <w:r>
              <w:rPr>
                <w:rFonts w:ascii="Calibri" w:hAnsi="Calibri"/>
                <w:b/>
                <w:sz w:val="18"/>
              </w:rPr>
              <w:t>Revenue from Operations</w:t>
            </w:r>
          </w:p>
        </w:tc>
        <w:tc>
          <w:tcPr>
            <w:tcW w:type="dxa" w:w="1440"/>
          </w:tcPr>
          <w:p>
            <w:pPr>
              <w:spacing w:before="40" w:after="40"/>
            </w:pPr>
            <w:r>
              <w:rPr>
                <w:rFonts w:ascii="Calibri" w:hAnsi="Calibri"/>
                <w:sz w:val="18"/>
              </w:rPr>
              <w:t>174,904</w:t>
            </w:r>
          </w:p>
        </w:tc>
        <w:tc>
          <w:tcPr>
            <w:tcW w:type="dxa" w:w="1440"/>
          </w:tcPr>
          <w:p>
            <w:pPr>
              <w:spacing w:before="40" w:after="40"/>
            </w:pPr>
            <w:r>
              <w:rPr>
                <w:rFonts w:ascii="Calibri" w:hAnsi="Calibri"/>
                <w:sz w:val="18"/>
              </w:rPr>
              <w:t>188,000</w:t>
            </w:r>
          </w:p>
        </w:tc>
        <w:tc>
          <w:tcPr>
            <w:tcW w:type="dxa" w:w="1440"/>
          </w:tcPr>
          <w:p>
            <w:pPr>
              <w:spacing w:before="40" w:after="40"/>
            </w:pPr>
            <w:r>
              <w:rPr>
                <w:rFonts w:ascii="Calibri" w:hAnsi="Calibri"/>
                <w:sz w:val="18"/>
              </w:rPr>
              <w:t>205,000</w:t>
            </w:r>
          </w:p>
        </w:tc>
        <w:tc>
          <w:tcPr>
            <w:tcW w:type="dxa" w:w="1440"/>
          </w:tcPr>
          <w:p>
            <w:pPr>
              <w:spacing w:before="40" w:after="40"/>
            </w:pPr>
            <w:r>
              <w:rPr>
                <w:rFonts w:ascii="Calibri" w:hAnsi="Calibri"/>
                <w:sz w:val="18"/>
              </w:rPr>
              <w:t>220,000</w:t>
            </w:r>
          </w:p>
        </w:tc>
        <w:tc>
          <w:tcPr>
            <w:tcW w:type="dxa" w:w="1440"/>
          </w:tcPr>
          <w:p>
            <w:pPr>
              <w:spacing w:before="40" w:after="40"/>
            </w:pPr>
            <w:r>
              <w:rPr>
                <w:rFonts w:ascii="Calibri" w:hAnsi="Calibri"/>
                <w:sz w:val="18"/>
              </w:rPr>
              <w:t>235,000</w:t>
            </w:r>
          </w:p>
        </w:tc>
      </w:tr>
      <w:tr>
        <w:tc>
          <w:tcPr>
            <w:tcW w:type="dxa" w:w="1440"/>
            <w:shd w:fill="E8F0FE"/>
          </w:tcPr>
          <w:p>
            <w:pPr>
              <w:spacing w:before="40" w:after="40"/>
            </w:pPr>
            <w:r>
              <w:rPr>
                <w:rFonts w:ascii="Calibri" w:hAnsi="Calibri"/>
                <w:b/>
                <w:sz w:val="18"/>
              </w:rPr>
              <w:t>Revenue Growth (%)</w:t>
            </w:r>
          </w:p>
        </w:tc>
        <w:tc>
          <w:tcPr>
            <w:tcW w:type="dxa" w:w="1440"/>
            <w:shd w:fill="E8F0FE"/>
          </w:tcPr>
          <w:p>
            <w:pPr>
              <w:spacing w:before="40" w:after="40"/>
            </w:pPr>
            <w:r>
              <w:rPr>
                <w:rFonts w:ascii="Calibri" w:hAnsi="Calibri"/>
                <w:sz w:val="18"/>
              </w:rPr>
              <w:t>13.0%</w:t>
            </w:r>
          </w:p>
        </w:tc>
        <w:tc>
          <w:tcPr>
            <w:tcW w:type="dxa" w:w="1440"/>
            <w:shd w:fill="E8F0FE"/>
          </w:tcPr>
          <w:p>
            <w:pPr>
              <w:spacing w:before="40" w:after="40"/>
            </w:pPr>
            <w:r>
              <w:rPr>
                <w:rFonts w:ascii="Calibri" w:hAnsi="Calibri"/>
                <w:sz w:val="18"/>
              </w:rPr>
              <w:t>7.5%</w:t>
            </w:r>
          </w:p>
        </w:tc>
        <w:tc>
          <w:tcPr>
            <w:tcW w:type="dxa" w:w="1440"/>
            <w:shd w:fill="E8F0FE"/>
          </w:tcPr>
          <w:p>
            <w:pPr>
              <w:spacing w:before="40" w:after="40"/>
            </w:pPr>
            <w:r>
              <w:rPr>
                <w:rFonts w:ascii="Calibri" w:hAnsi="Calibri"/>
                <w:sz w:val="18"/>
              </w:rPr>
              <w:t>9.0%</w:t>
            </w:r>
          </w:p>
        </w:tc>
        <w:tc>
          <w:tcPr>
            <w:tcW w:type="dxa" w:w="1440"/>
            <w:shd w:fill="E8F0FE"/>
          </w:tcPr>
          <w:p>
            <w:pPr>
              <w:spacing w:before="40" w:after="40"/>
            </w:pPr>
            <w:r>
              <w:rPr>
                <w:rFonts w:ascii="Calibri" w:hAnsi="Calibri"/>
                <w:sz w:val="18"/>
              </w:rPr>
              <w:t>7.3%</w:t>
            </w:r>
          </w:p>
        </w:tc>
        <w:tc>
          <w:tcPr>
            <w:tcW w:type="dxa" w:w="1440"/>
            <w:shd w:fill="E8F0FE"/>
          </w:tcPr>
          <w:p>
            <w:pPr>
              <w:spacing w:before="40" w:after="40"/>
            </w:pPr>
            <w:r>
              <w:rPr>
                <w:rFonts w:ascii="Calibri" w:hAnsi="Calibri"/>
                <w:sz w:val="18"/>
              </w:rPr>
              <w:t>6.8%</w:t>
            </w:r>
          </w:p>
        </w:tc>
      </w:tr>
      <w:tr>
        <w:tc>
          <w:tcPr>
            <w:tcW w:type="dxa" w:w="1440"/>
          </w:tcPr>
          <w:p>
            <w:pPr>
              <w:spacing w:before="40" w:after="40"/>
            </w:pPr>
            <w:r>
              <w:rPr>
                <w:rFonts w:ascii="Calibri" w:hAnsi="Calibri"/>
                <w:b/>
                <w:sz w:val="18"/>
              </w:rPr>
              <w:t>EBITDA (Operating)</w:t>
            </w:r>
          </w:p>
        </w:tc>
        <w:tc>
          <w:tcPr>
            <w:tcW w:type="dxa" w:w="1440"/>
          </w:tcPr>
          <w:p>
            <w:pPr>
              <w:spacing w:before="40" w:after="40"/>
            </w:pPr>
            <w:r>
              <w:rPr>
                <w:rFonts w:ascii="Calibri" w:hAnsi="Calibri"/>
                <w:sz w:val="18"/>
              </w:rPr>
              <w:t>12,555</w:t>
            </w:r>
          </w:p>
        </w:tc>
        <w:tc>
          <w:tcPr>
            <w:tcW w:type="dxa" w:w="1440"/>
          </w:tcPr>
          <w:p>
            <w:pPr>
              <w:spacing w:before="40" w:after="40"/>
            </w:pPr>
            <w:r>
              <w:rPr>
                <w:rFonts w:ascii="Calibri" w:hAnsi="Calibri"/>
                <w:sz w:val="18"/>
              </w:rPr>
              <w:t>15,000</w:t>
            </w:r>
          </w:p>
        </w:tc>
        <w:tc>
          <w:tcPr>
            <w:tcW w:type="dxa" w:w="1440"/>
          </w:tcPr>
          <w:p>
            <w:pPr>
              <w:spacing w:before="40" w:after="40"/>
            </w:pPr>
            <w:r>
              <w:rPr>
                <w:rFonts w:ascii="Calibri" w:hAnsi="Calibri"/>
                <w:sz w:val="18"/>
              </w:rPr>
              <w:t>17,000</w:t>
            </w:r>
          </w:p>
        </w:tc>
        <w:tc>
          <w:tcPr>
            <w:tcW w:type="dxa" w:w="1440"/>
          </w:tcPr>
          <w:p>
            <w:pPr>
              <w:spacing w:before="40" w:after="40"/>
            </w:pPr>
            <w:r>
              <w:rPr>
                <w:rFonts w:ascii="Calibri" w:hAnsi="Calibri"/>
                <w:sz w:val="18"/>
              </w:rPr>
              <w:t>18,500</w:t>
            </w:r>
          </w:p>
        </w:tc>
        <w:tc>
          <w:tcPr>
            <w:tcW w:type="dxa" w:w="1440"/>
          </w:tcPr>
          <w:p>
            <w:pPr>
              <w:spacing w:before="40" w:after="40"/>
            </w:pPr>
            <w:r>
              <w:rPr>
                <w:rFonts w:ascii="Calibri" w:hAnsi="Calibri"/>
                <w:sz w:val="18"/>
              </w:rPr>
              <w:t>19,500</w:t>
            </w:r>
          </w:p>
        </w:tc>
      </w:tr>
      <w:tr>
        <w:tc>
          <w:tcPr>
            <w:tcW w:type="dxa" w:w="1440"/>
            <w:shd w:fill="E8F0FE"/>
          </w:tcPr>
          <w:p>
            <w:pPr>
              <w:spacing w:before="40" w:after="40"/>
            </w:pPr>
            <w:r>
              <w:rPr>
                <w:rFonts w:ascii="Calibri" w:hAnsi="Calibri"/>
                <w:b/>
                <w:sz w:val="18"/>
              </w:rPr>
              <w:t>EBITDA Margin (%)</w:t>
            </w:r>
          </w:p>
        </w:tc>
        <w:tc>
          <w:tcPr>
            <w:tcW w:type="dxa" w:w="1440"/>
            <w:shd w:fill="E8F0FE"/>
          </w:tcPr>
          <w:p>
            <w:pPr>
              <w:spacing w:before="40" w:after="40"/>
            </w:pPr>
            <w:r>
              <w:rPr>
                <w:rFonts w:ascii="Calibri" w:hAnsi="Calibri"/>
                <w:sz w:val="18"/>
              </w:rPr>
              <w:t>7.2%</w:t>
            </w:r>
          </w:p>
        </w:tc>
        <w:tc>
          <w:tcPr>
            <w:tcW w:type="dxa" w:w="1440"/>
            <w:shd w:fill="E8F0FE"/>
          </w:tcPr>
          <w:p>
            <w:pPr>
              <w:spacing w:before="40" w:after="40"/>
            </w:pPr>
            <w:r>
              <w:rPr>
                <w:rFonts w:ascii="Calibri" w:hAnsi="Calibri"/>
                <w:sz w:val="18"/>
              </w:rPr>
              <w:t>8.0%</w:t>
            </w:r>
          </w:p>
        </w:tc>
        <w:tc>
          <w:tcPr>
            <w:tcW w:type="dxa" w:w="1440"/>
            <w:shd w:fill="E8F0FE"/>
          </w:tcPr>
          <w:p>
            <w:pPr>
              <w:spacing w:before="40" w:after="40"/>
            </w:pPr>
            <w:r>
              <w:rPr>
                <w:rFonts w:ascii="Calibri" w:hAnsi="Calibri"/>
                <w:sz w:val="18"/>
              </w:rPr>
              <w:t>8.3%</w:t>
            </w:r>
          </w:p>
        </w:tc>
        <w:tc>
          <w:tcPr>
            <w:tcW w:type="dxa" w:w="1440"/>
            <w:shd w:fill="E8F0FE"/>
          </w:tcPr>
          <w:p>
            <w:pPr>
              <w:spacing w:before="40" w:after="40"/>
            </w:pPr>
            <w:r>
              <w:rPr>
                <w:rFonts w:ascii="Calibri" w:hAnsi="Calibri"/>
                <w:sz w:val="18"/>
              </w:rPr>
              <w:t>8.4%</w:t>
            </w:r>
          </w:p>
        </w:tc>
        <w:tc>
          <w:tcPr>
            <w:tcW w:type="dxa" w:w="1440"/>
            <w:shd w:fill="E8F0FE"/>
          </w:tcPr>
          <w:p>
            <w:pPr>
              <w:spacing w:before="40" w:after="40"/>
            </w:pPr>
            <w:r>
              <w:rPr>
                <w:rFonts w:ascii="Calibri" w:hAnsi="Calibri"/>
                <w:sz w:val="18"/>
              </w:rPr>
              <w:t>8.3%</w:t>
            </w:r>
          </w:p>
        </w:tc>
      </w:tr>
      <w:tr>
        <w:tc>
          <w:tcPr>
            <w:tcW w:type="dxa" w:w="1440"/>
          </w:tcPr>
          <w:p>
            <w:pPr>
              <w:spacing w:before="40" w:after="40"/>
            </w:pPr>
            <w:r>
              <w:rPr>
                <w:rFonts w:ascii="Calibri" w:hAnsi="Calibri"/>
                <w:b/>
                <w:sz w:val="18"/>
              </w:rPr>
              <w:t>Depreciation</w:t>
            </w:r>
          </w:p>
        </w:tc>
        <w:tc>
          <w:tcPr>
            <w:tcW w:type="dxa" w:w="1440"/>
          </w:tcPr>
          <w:p>
            <w:pPr>
              <w:spacing w:before="40" w:after="40"/>
            </w:pPr>
            <w:r>
              <w:rPr>
                <w:rFonts w:ascii="Calibri" w:hAnsi="Calibri"/>
                <w:sz w:val="18"/>
              </w:rPr>
              <w:t>8,808</w:t>
            </w:r>
          </w:p>
        </w:tc>
        <w:tc>
          <w:tcPr>
            <w:tcW w:type="dxa" w:w="1440"/>
          </w:tcPr>
          <w:p>
            <w:pPr>
              <w:spacing w:before="40" w:after="40"/>
            </w:pPr>
            <w:r>
              <w:rPr>
                <w:rFonts w:ascii="Calibri" w:hAnsi="Calibri"/>
                <w:sz w:val="18"/>
              </w:rPr>
              <w:t>9,500</w:t>
            </w:r>
          </w:p>
        </w:tc>
        <w:tc>
          <w:tcPr>
            <w:tcW w:type="dxa" w:w="1440"/>
          </w:tcPr>
          <w:p>
            <w:pPr>
              <w:spacing w:before="40" w:after="40"/>
            </w:pPr>
            <w:r>
              <w:rPr>
                <w:rFonts w:ascii="Calibri" w:hAnsi="Calibri"/>
                <w:sz w:val="18"/>
              </w:rPr>
              <w:t>10,000</w:t>
            </w:r>
          </w:p>
        </w:tc>
        <w:tc>
          <w:tcPr>
            <w:tcW w:type="dxa" w:w="1440"/>
          </w:tcPr>
          <w:p>
            <w:pPr>
              <w:spacing w:before="40" w:after="40"/>
            </w:pPr>
            <w:r>
              <w:rPr>
                <w:rFonts w:ascii="Calibri" w:hAnsi="Calibri"/>
                <w:sz w:val="18"/>
              </w:rPr>
              <w:t>10,500</w:t>
            </w:r>
          </w:p>
        </w:tc>
        <w:tc>
          <w:tcPr>
            <w:tcW w:type="dxa" w:w="1440"/>
          </w:tcPr>
          <w:p>
            <w:pPr>
              <w:spacing w:before="40" w:after="40"/>
            </w:pPr>
            <w:r>
              <w:rPr>
                <w:rFonts w:ascii="Calibri" w:hAnsi="Calibri"/>
                <w:sz w:val="18"/>
              </w:rPr>
              <w:t>11,000</w:t>
            </w:r>
          </w:p>
        </w:tc>
      </w:tr>
      <w:tr>
        <w:tc>
          <w:tcPr>
            <w:tcW w:type="dxa" w:w="1440"/>
            <w:shd w:fill="E8F0FE"/>
          </w:tcPr>
          <w:p>
            <w:pPr>
              <w:spacing w:before="40" w:after="40"/>
            </w:pPr>
            <w:r>
              <w:rPr>
                <w:rFonts w:ascii="Calibri" w:hAnsi="Calibri"/>
                <w:b/>
                <w:sz w:val="18"/>
              </w:rPr>
              <w:t>Finance Cost</w:t>
            </w:r>
          </w:p>
        </w:tc>
        <w:tc>
          <w:tcPr>
            <w:tcW w:type="dxa" w:w="1440"/>
            <w:shd w:fill="E8F0FE"/>
          </w:tcPr>
          <w:p>
            <w:pPr>
              <w:spacing w:before="40" w:after="40"/>
            </w:pPr>
            <w:r>
              <w:rPr>
                <w:rFonts w:ascii="Calibri" w:hAnsi="Calibri"/>
                <w:sz w:val="18"/>
              </w:rPr>
              <w:t>2,554</w:t>
            </w:r>
          </w:p>
        </w:tc>
        <w:tc>
          <w:tcPr>
            <w:tcW w:type="dxa" w:w="1440"/>
            <w:shd w:fill="E8F0FE"/>
          </w:tcPr>
          <w:p>
            <w:pPr>
              <w:spacing w:before="40" w:after="40"/>
            </w:pPr>
            <w:r>
              <w:rPr>
                <w:rFonts w:ascii="Calibri" w:hAnsi="Calibri"/>
                <w:sz w:val="18"/>
              </w:rPr>
              <w:t>2,400</w:t>
            </w:r>
          </w:p>
        </w:tc>
        <w:tc>
          <w:tcPr>
            <w:tcW w:type="dxa" w:w="1440"/>
            <w:shd w:fill="E8F0FE"/>
          </w:tcPr>
          <w:p>
            <w:pPr>
              <w:spacing w:before="40" w:after="40"/>
            </w:pPr>
            <w:r>
              <w:rPr>
                <w:rFonts w:ascii="Calibri" w:hAnsi="Calibri"/>
                <w:sz w:val="18"/>
              </w:rPr>
              <w:t>2,300</w:t>
            </w:r>
          </w:p>
        </w:tc>
        <w:tc>
          <w:tcPr>
            <w:tcW w:type="dxa" w:w="1440"/>
            <w:shd w:fill="E8F0FE"/>
          </w:tcPr>
          <w:p>
            <w:pPr>
              <w:spacing w:before="40" w:after="40"/>
            </w:pPr>
            <w:r>
              <w:rPr>
                <w:rFonts w:ascii="Calibri" w:hAnsi="Calibri"/>
                <w:sz w:val="18"/>
              </w:rPr>
              <w:t>2,200</w:t>
            </w:r>
          </w:p>
        </w:tc>
        <w:tc>
          <w:tcPr>
            <w:tcW w:type="dxa" w:w="1440"/>
            <w:shd w:fill="E8F0FE"/>
          </w:tcPr>
          <w:p>
            <w:pPr>
              <w:spacing w:before="40" w:after="40"/>
            </w:pPr>
            <w:r>
              <w:rPr>
                <w:rFonts w:ascii="Calibri" w:hAnsi="Calibri"/>
                <w:sz w:val="18"/>
              </w:rPr>
              <w:t>2,100</w:t>
            </w:r>
          </w:p>
        </w:tc>
      </w:tr>
      <w:tr>
        <w:tc>
          <w:tcPr>
            <w:tcW w:type="dxa" w:w="1440"/>
          </w:tcPr>
          <w:p>
            <w:pPr>
              <w:spacing w:before="40" w:after="40"/>
            </w:pPr>
            <w:r>
              <w:rPr>
                <w:rFonts w:ascii="Calibri" w:hAnsi="Calibri"/>
                <w:b/>
                <w:sz w:val="18"/>
              </w:rPr>
              <w:t>PAT (Operating)</w:t>
            </w:r>
          </w:p>
        </w:tc>
        <w:tc>
          <w:tcPr>
            <w:tcW w:type="dxa" w:w="1440"/>
          </w:tcPr>
          <w:p>
            <w:pPr>
              <w:spacing w:before="40" w:after="40"/>
            </w:pPr>
            <w:r>
              <w:rPr>
                <w:rFonts w:ascii="Calibri" w:hAnsi="Calibri"/>
                <w:sz w:val="18"/>
              </w:rPr>
              <w:t>9,236</w:t>
            </w:r>
          </w:p>
        </w:tc>
        <w:tc>
          <w:tcPr>
            <w:tcW w:type="dxa" w:w="1440"/>
          </w:tcPr>
          <w:p>
            <w:pPr>
              <w:spacing w:before="40" w:after="40"/>
            </w:pPr>
            <w:r>
              <w:rPr>
                <w:rFonts w:ascii="Calibri" w:hAnsi="Calibri"/>
                <w:sz w:val="18"/>
              </w:rPr>
              <w:t>10,500</w:t>
            </w:r>
          </w:p>
        </w:tc>
        <w:tc>
          <w:tcPr>
            <w:tcW w:type="dxa" w:w="1440"/>
          </w:tcPr>
          <w:p>
            <w:pPr>
              <w:spacing w:before="40" w:after="40"/>
            </w:pPr>
            <w:r>
              <w:rPr>
                <w:rFonts w:ascii="Calibri" w:hAnsi="Calibri"/>
                <w:sz w:val="18"/>
              </w:rPr>
              <w:t>11,500</w:t>
            </w:r>
          </w:p>
        </w:tc>
        <w:tc>
          <w:tcPr>
            <w:tcW w:type="dxa" w:w="1440"/>
          </w:tcPr>
          <w:p>
            <w:pPr>
              <w:spacing w:before="40" w:after="40"/>
            </w:pPr>
            <w:r>
              <w:rPr>
                <w:rFonts w:ascii="Calibri" w:hAnsi="Calibri"/>
                <w:sz w:val="18"/>
              </w:rPr>
              <w:t>12,500</w:t>
            </w:r>
          </w:p>
        </w:tc>
        <w:tc>
          <w:tcPr>
            <w:tcW w:type="dxa" w:w="1440"/>
          </w:tcPr>
          <w:p>
            <w:pPr>
              <w:spacing w:before="40" w:after="40"/>
            </w:pPr>
            <w:r>
              <w:rPr>
                <w:rFonts w:ascii="Calibri" w:hAnsi="Calibri"/>
                <w:sz w:val="18"/>
              </w:rPr>
              <w:t>13,000</w:t>
            </w:r>
          </w:p>
        </w:tc>
      </w:tr>
      <w:tr>
        <w:tc>
          <w:tcPr>
            <w:tcW w:type="dxa" w:w="1440"/>
            <w:shd w:fill="E8F0FE"/>
          </w:tcPr>
          <w:p>
            <w:pPr>
              <w:spacing w:before="40" w:after="40"/>
            </w:pPr>
            <w:r>
              <w:rPr>
                <w:rFonts w:ascii="Calibri" w:hAnsi="Calibri"/>
                <w:b/>
                <w:sz w:val="18"/>
              </w:rPr>
              <w:t>EPS (Operating)</w:t>
            </w:r>
          </w:p>
        </w:tc>
        <w:tc>
          <w:tcPr>
            <w:tcW w:type="dxa" w:w="1440"/>
            <w:shd w:fill="E8F0FE"/>
          </w:tcPr>
          <w:p>
            <w:pPr>
              <w:spacing w:before="40" w:after="40"/>
            </w:pPr>
            <w:r>
              <w:rPr>
                <w:rFonts w:ascii="Calibri" w:hAnsi="Calibri"/>
                <w:sz w:val="18"/>
              </w:rPr>
              <w:t>8.62</w:t>
            </w:r>
          </w:p>
        </w:tc>
        <w:tc>
          <w:tcPr>
            <w:tcW w:type="dxa" w:w="1440"/>
            <w:shd w:fill="E8F0FE"/>
          </w:tcPr>
          <w:p>
            <w:pPr>
              <w:spacing w:before="40" w:after="40"/>
            </w:pPr>
            <w:r>
              <w:rPr>
                <w:rFonts w:ascii="Calibri" w:hAnsi="Calibri"/>
                <w:sz w:val="18"/>
              </w:rPr>
              <w:t>9.81</w:t>
            </w:r>
          </w:p>
        </w:tc>
        <w:tc>
          <w:tcPr>
            <w:tcW w:type="dxa" w:w="1440"/>
            <w:shd w:fill="E8F0FE"/>
          </w:tcPr>
          <w:p>
            <w:pPr>
              <w:spacing w:before="40" w:after="40"/>
            </w:pPr>
            <w:r>
              <w:rPr>
                <w:rFonts w:ascii="Calibri" w:hAnsi="Calibri"/>
                <w:sz w:val="18"/>
              </w:rPr>
              <w:t>10.74</w:t>
            </w:r>
          </w:p>
        </w:tc>
        <w:tc>
          <w:tcPr>
            <w:tcW w:type="dxa" w:w="1440"/>
            <w:shd w:fill="E8F0FE"/>
          </w:tcPr>
          <w:p>
            <w:pPr>
              <w:spacing w:before="40" w:after="40"/>
            </w:pPr>
            <w:r>
              <w:rPr>
                <w:rFonts w:ascii="Calibri" w:hAnsi="Calibri"/>
                <w:sz w:val="18"/>
              </w:rPr>
              <w:t>11.67</w:t>
            </w:r>
          </w:p>
        </w:tc>
        <w:tc>
          <w:tcPr>
            <w:tcW w:type="dxa" w:w="1440"/>
            <w:shd w:fill="E8F0FE"/>
          </w:tcPr>
          <w:p>
            <w:pPr>
              <w:spacing w:before="40" w:after="40"/>
            </w:pPr>
            <w:r>
              <w:rPr>
                <w:rFonts w:ascii="Calibri" w:hAnsi="Calibri"/>
                <w:sz w:val="18"/>
              </w:rPr>
              <w:t>12.14</w:t>
            </w:r>
          </w:p>
        </w:tc>
      </w:tr>
    </w:tbl>
    <w:p/>
    <w:p>
      <w:r>
        <w:rPr>
          <w:rFonts w:ascii="Calibri" w:hAnsi="Calibri"/>
          <w:i/>
          <w:color w:val="666666"/>
          <w:sz w:val="18"/>
        </w:rPr>
        <w:t>Logic: Revenue growth is projected to be driven by capacity expansions and improved market conditions. EBITDA margins are expected to improve due to better capacity utilization and cost efficiencies. PAT and EPS growth are expected to follow revenue and margin expansion.</w:t>
      </w:r>
    </w:p>
    <w:p>
      <w:pPr>
        <w:pStyle w:val="Heading2"/>
      </w:pPr>
      <w:r>
        <w:rPr>
          <w:rFonts w:ascii="Calibri" w:hAnsi="Calibri"/>
          <w:color w:val="1F5F8B"/>
          <w:sz w:val="26"/>
        </w:rPr>
        <w:t>3.1 Consolidated Profit &amp; Loss Statement (Rs. in Crores)</w:t>
      </w:r>
    </w:p>
    <w:p>
      <w:pPr>
        <w:spacing w:after="80"/>
      </w:pPr>
      <w:r>
        <w:rPr>
          <w:rFonts w:ascii="Calibri" w:hAnsi="Calibri"/>
          <w:color w:val="333333"/>
          <w:sz w:val="20"/>
        </w:rPr>
        <w:t>(Source: Screener.in)</w:t>
      </w:r>
    </w:p>
    <w:p>
      <w:pPr>
        <w:spacing w:after="80"/>
      </w:pPr>
      <w:r>
        <w:rPr>
          <w:rFonts w:ascii="Calibri" w:hAnsi="Calibri"/>
          <w:color w:val="333333"/>
          <w:sz w:val="20"/>
        </w:rPr>
        <w:t>|  |</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1F5F8B"/>
          </w:tcPr>
          <w:p>
            <w:pPr>
              <w:spacing w:before="40" w:after="40"/>
            </w:pPr>
            <w:r>
              <w:rPr>
                <w:rFonts w:ascii="Calibri" w:hAnsi="Calibri"/>
                <w:b/>
                <w:color w:val="FFFFFF"/>
                <w:sz w:val="18"/>
              </w:rPr>
              <w:t>Sales+</w:t>
            </w:r>
          </w:p>
        </w:tc>
      </w:tr>
      <w:tr>
        <w:tc>
          <w:tcPr>
            <w:tcW w:type="dxa" w:w="8640"/>
          </w:tcPr>
          <w:p>
            <w:pPr>
              <w:spacing w:before="40" w:after="40"/>
            </w:pPr>
            <w:r>
              <w:rPr>
                <w:rFonts w:ascii="Calibri" w:hAnsi="Calibri"/>
                <w:b/>
                <w:sz w:val="18"/>
              </w:rPr>
              <w:t>Expenses+</w:t>
            </w:r>
          </w:p>
        </w:tc>
      </w:tr>
      <w:tr>
        <w:tc>
          <w:tcPr>
            <w:tcW w:type="dxa" w:w="8640"/>
            <w:shd w:fill="E8F0FE"/>
          </w:tcPr>
          <w:p>
            <w:pPr>
              <w:spacing w:before="40" w:after="40"/>
            </w:pPr>
            <w:r>
              <w:rPr>
                <w:rFonts w:ascii="Calibri" w:hAnsi="Calibri"/>
                <w:b/>
                <w:sz w:val="18"/>
              </w:rPr>
              <w:t>Operating Profit</w:t>
            </w:r>
          </w:p>
        </w:tc>
      </w:tr>
      <w:tr>
        <w:tc>
          <w:tcPr>
            <w:tcW w:type="dxa" w:w="8640"/>
          </w:tcPr>
          <w:p>
            <w:pPr>
              <w:spacing w:before="40" w:after="40"/>
            </w:pPr>
            <w:r>
              <w:rPr>
                <w:rFonts w:ascii="Calibri" w:hAnsi="Calibri"/>
                <w:b/>
                <w:sz w:val="18"/>
              </w:rPr>
              <w:t>OPM %</w:t>
            </w:r>
          </w:p>
        </w:tc>
      </w:tr>
      <w:tr>
        <w:tc>
          <w:tcPr>
            <w:tcW w:type="dxa" w:w="8640"/>
            <w:shd w:fill="E8F0FE"/>
          </w:tcPr>
          <w:p>
            <w:pPr>
              <w:spacing w:before="40" w:after="40"/>
            </w:pPr>
            <w:r>
              <w:rPr>
                <w:rFonts w:ascii="Calibri" w:hAnsi="Calibri"/>
                <w:b/>
                <w:sz w:val="18"/>
              </w:rPr>
              <w:t>Other Income+</w:t>
            </w:r>
          </w:p>
        </w:tc>
      </w:tr>
      <w:tr>
        <w:tc>
          <w:tcPr>
            <w:tcW w:type="dxa" w:w="8640"/>
          </w:tcPr>
          <w:p>
            <w:pPr>
              <w:spacing w:before="40" w:after="40"/>
            </w:pPr>
            <w:r>
              <w:rPr>
                <w:rFonts w:ascii="Calibri" w:hAnsi="Calibri"/>
                <w:b/>
                <w:sz w:val="18"/>
              </w:rPr>
              <w:t>Interest</w:t>
            </w:r>
          </w:p>
        </w:tc>
      </w:tr>
      <w:tr>
        <w:tc>
          <w:tcPr>
            <w:tcW w:type="dxa" w:w="8640"/>
            <w:shd w:fill="E8F0FE"/>
          </w:tcPr>
          <w:p>
            <w:pPr>
              <w:spacing w:before="40" w:after="40"/>
            </w:pPr>
            <w:r>
              <w:rPr>
                <w:rFonts w:ascii="Calibri" w:hAnsi="Calibri"/>
                <w:b/>
                <w:sz w:val="18"/>
              </w:rPr>
              <w:t>Depreciation</w:t>
            </w:r>
          </w:p>
        </w:tc>
      </w:tr>
      <w:tr>
        <w:tc>
          <w:tcPr>
            <w:tcW w:type="dxa" w:w="8640"/>
          </w:tcPr>
          <w:p>
            <w:pPr>
              <w:spacing w:before="40" w:after="40"/>
            </w:pPr>
            <w:r>
              <w:rPr>
                <w:rFonts w:ascii="Calibri" w:hAnsi="Calibri"/>
                <w:b/>
                <w:sz w:val="18"/>
              </w:rPr>
              <w:t>Profit before tax</w:t>
            </w:r>
          </w:p>
        </w:tc>
      </w:tr>
      <w:tr>
        <w:tc>
          <w:tcPr>
            <w:tcW w:type="dxa" w:w="8640"/>
            <w:shd w:fill="E8F0FE"/>
          </w:tcPr>
          <w:p>
            <w:pPr>
              <w:spacing w:before="40" w:after="40"/>
            </w:pPr>
            <w:r>
              <w:rPr>
                <w:rFonts w:ascii="Calibri" w:hAnsi="Calibri"/>
                <w:b/>
                <w:sz w:val="18"/>
              </w:rPr>
              <w:t>Tax %</w:t>
            </w:r>
          </w:p>
        </w:tc>
      </w:tr>
      <w:tr>
        <w:tc>
          <w:tcPr>
            <w:tcW w:type="dxa" w:w="8640"/>
          </w:tcPr>
          <w:p>
            <w:pPr>
              <w:spacing w:before="40" w:after="40"/>
            </w:pPr>
            <w:r>
              <w:rPr>
                <w:rFonts w:ascii="Calibri" w:hAnsi="Calibri"/>
                <w:b/>
                <w:sz w:val="18"/>
              </w:rPr>
              <w:t>Net Profit+</w:t>
            </w:r>
          </w:p>
        </w:tc>
      </w:tr>
      <w:tr>
        <w:tc>
          <w:tcPr>
            <w:tcW w:type="dxa" w:w="8640"/>
            <w:shd w:fill="E8F0FE"/>
          </w:tcPr>
          <w:p>
            <w:pPr>
              <w:spacing w:before="40" w:after="40"/>
            </w:pPr>
            <w:r>
              <w:rPr>
                <w:rFonts w:ascii="Calibri" w:hAnsi="Calibri"/>
                <w:b/>
                <w:sz w:val="18"/>
              </w:rPr>
              <w:t>EPS in Rs</w:t>
            </w:r>
          </w:p>
        </w:tc>
      </w:tr>
      <w:tr>
        <w:tc>
          <w:tcPr>
            <w:tcW w:type="dxa" w:w="8640"/>
          </w:tcPr>
          <w:p>
            <w:pPr>
              <w:spacing w:before="40" w:after="40"/>
            </w:pPr>
            <w:r>
              <w:rPr>
                <w:rFonts w:ascii="Calibri" w:hAnsi="Calibri"/>
                <w:b/>
                <w:sz w:val="18"/>
              </w:rPr>
              <w:t>Dividend Payout %</w:t>
            </w:r>
          </w:p>
        </w:tc>
      </w:tr>
    </w:tbl>
    <w:p/>
    <w:p>
      <w:pPr>
        <w:pStyle w:val="Heading2"/>
      </w:pPr>
      <w:r>
        <w:rPr>
          <w:rFonts w:ascii="Calibri" w:hAnsi="Calibri"/>
          <w:color w:val="1F5F8B"/>
          <w:sz w:val="26"/>
        </w:rPr>
        <w:t>3.2 Consolidated Balance Sheet (Rs. in Crores)</w:t>
      </w:r>
    </w:p>
    <w:p>
      <w:pPr>
        <w:spacing w:after="80"/>
      </w:pPr>
      <w:r>
        <w:rPr>
          <w:rFonts w:ascii="Calibri" w:hAnsi="Calibri"/>
          <w:color w:val="333333"/>
          <w:sz w:val="20"/>
        </w:rPr>
        <w:t>(Source: Screener.in)</w:t>
      </w:r>
    </w:p>
    <w:p>
      <w:pPr>
        <w:spacing w:after="80"/>
      </w:pPr>
      <w:r>
        <w:rPr>
          <w:rFonts w:ascii="Calibri" w:hAnsi="Calibri"/>
          <w:color w:val="333333"/>
          <w:sz w:val="20"/>
        </w:rPr>
        <w:t>|  |</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1F5F8B"/>
          </w:tcPr>
          <w:p>
            <w:pPr>
              <w:spacing w:before="40" w:after="40"/>
            </w:pPr>
            <w:r>
              <w:rPr>
                <w:rFonts w:ascii="Calibri" w:hAnsi="Calibri"/>
                <w:b/>
                <w:color w:val="FFFFFF"/>
                <w:sz w:val="18"/>
              </w:rPr>
              <w:t>Equity Capital</w:t>
            </w:r>
          </w:p>
        </w:tc>
      </w:tr>
      <w:tr>
        <w:tc>
          <w:tcPr>
            <w:tcW w:type="dxa" w:w="8640"/>
          </w:tcPr>
          <w:p>
            <w:pPr>
              <w:spacing w:before="40" w:after="40"/>
            </w:pPr>
            <w:r>
              <w:rPr>
                <w:rFonts w:ascii="Calibri" w:hAnsi="Calibri"/>
                <w:b/>
                <w:sz w:val="18"/>
              </w:rPr>
              <w:t>Reserves</w:t>
            </w:r>
          </w:p>
        </w:tc>
      </w:tr>
      <w:tr>
        <w:tc>
          <w:tcPr>
            <w:tcW w:type="dxa" w:w="8640"/>
            <w:shd w:fill="E8F0FE"/>
          </w:tcPr>
          <w:p>
            <w:pPr>
              <w:spacing w:before="40" w:after="40"/>
            </w:pPr>
            <w:r>
              <w:rPr>
                <w:rFonts w:ascii="Calibri" w:hAnsi="Calibri"/>
                <w:b/>
                <w:sz w:val="18"/>
              </w:rPr>
              <w:t>Borrowings+</w:t>
            </w:r>
          </w:p>
        </w:tc>
      </w:tr>
      <w:tr>
        <w:tc>
          <w:tcPr>
            <w:tcW w:type="dxa" w:w="8640"/>
          </w:tcPr>
          <w:p>
            <w:pPr>
              <w:spacing w:before="40" w:after="40"/>
            </w:pPr>
            <w:r>
              <w:rPr>
                <w:rFonts w:ascii="Calibri" w:hAnsi="Calibri"/>
                <w:b/>
                <w:sz w:val="18"/>
              </w:rPr>
              <w:t>Other Liabilities+</w:t>
            </w:r>
          </w:p>
        </w:tc>
      </w:tr>
      <w:tr>
        <w:tc>
          <w:tcPr>
            <w:tcW w:type="dxa" w:w="8640"/>
            <w:shd w:fill="E8F0FE"/>
          </w:tcPr>
          <w:p>
            <w:pPr>
              <w:spacing w:before="40" w:after="40"/>
            </w:pPr>
            <w:r>
              <w:rPr>
                <w:rFonts w:ascii="Calibri" w:hAnsi="Calibri"/>
                <w:b/>
                <w:sz w:val="18"/>
              </w:rPr>
              <w:t>Total Liabilities</w:t>
            </w:r>
          </w:p>
        </w:tc>
      </w:tr>
      <w:tr>
        <w:tc>
          <w:tcPr>
            <w:tcW w:type="dxa" w:w="8640"/>
          </w:tcPr>
          <w:p>
            <w:pPr>
              <w:spacing w:before="40" w:after="40"/>
            </w:pPr>
            <w:r>
              <w:rPr>
                <w:rFonts w:ascii="Calibri" w:hAnsi="Calibri"/>
                <w:b/>
                <w:sz w:val="18"/>
              </w:rPr>
              <w:t>Fixed Assets+</w:t>
            </w:r>
          </w:p>
        </w:tc>
      </w:tr>
      <w:tr>
        <w:tc>
          <w:tcPr>
            <w:tcW w:type="dxa" w:w="8640"/>
            <w:shd w:fill="E8F0FE"/>
          </w:tcPr>
          <w:p>
            <w:pPr>
              <w:spacing w:before="40" w:after="40"/>
            </w:pPr>
            <w:r>
              <w:rPr>
                <w:rFonts w:ascii="Calibri" w:hAnsi="Calibri"/>
                <w:b/>
                <w:sz w:val="18"/>
              </w:rPr>
              <w:t>CWIP</w:t>
            </w:r>
          </w:p>
        </w:tc>
      </w:tr>
      <w:tr>
        <w:tc>
          <w:tcPr>
            <w:tcW w:type="dxa" w:w="8640"/>
          </w:tcPr>
          <w:p>
            <w:pPr>
              <w:spacing w:before="40" w:after="40"/>
            </w:pPr>
            <w:r>
              <w:rPr>
                <w:rFonts w:ascii="Calibri" w:hAnsi="Calibri"/>
                <w:b/>
                <w:sz w:val="18"/>
              </w:rPr>
              <w:t>Investments</w:t>
            </w:r>
          </w:p>
        </w:tc>
      </w:tr>
      <w:tr>
        <w:tc>
          <w:tcPr>
            <w:tcW w:type="dxa" w:w="8640"/>
            <w:shd w:fill="E8F0FE"/>
          </w:tcPr>
          <w:p>
            <w:pPr>
              <w:spacing w:before="40" w:after="40"/>
            </w:pPr>
            <w:r>
              <w:rPr>
                <w:rFonts w:ascii="Calibri" w:hAnsi="Calibri"/>
                <w:b/>
                <w:sz w:val="18"/>
              </w:rPr>
              <w:t>Other Assets+</w:t>
            </w:r>
          </w:p>
        </w:tc>
      </w:tr>
      <w:tr>
        <w:tc>
          <w:tcPr>
            <w:tcW w:type="dxa" w:w="8640"/>
          </w:tcPr>
          <w:p>
            <w:pPr>
              <w:spacing w:before="40" w:after="40"/>
            </w:pPr>
            <w:r>
              <w:rPr>
                <w:rFonts w:ascii="Calibri" w:hAnsi="Calibri"/>
                <w:b/>
                <w:sz w:val="18"/>
              </w:rPr>
              <w:t>Total Assets</w:t>
            </w:r>
          </w:p>
        </w:tc>
      </w:tr>
    </w:tbl>
    <w:p/>
    <w:p>
      <w:pPr>
        <w:pStyle w:val="Heading2"/>
      </w:pPr>
      <w:r>
        <w:rPr>
          <w:rFonts w:ascii="Calibri" w:hAnsi="Calibri"/>
          <w:color w:val="1F5F8B"/>
          <w:sz w:val="26"/>
        </w:rPr>
        <w:t>3.3 Consolidated Cash Flow Statement (Rs. in Crores)</w:t>
      </w:r>
    </w:p>
    <w:p>
      <w:pPr>
        <w:spacing w:after="80"/>
      </w:pPr>
      <w:r>
        <w:rPr>
          <w:rFonts w:ascii="Calibri" w:hAnsi="Calibri"/>
          <w:color w:val="333333"/>
          <w:sz w:val="20"/>
        </w:rPr>
        <w:t>(Source: Screener.in)</w:t>
      </w:r>
    </w:p>
    <w:p>
      <w:pPr>
        <w:spacing w:after="80"/>
      </w:pPr>
      <w:r>
        <w:rPr>
          <w:rFonts w:ascii="Calibri" w:hAnsi="Calibri"/>
          <w:color w:val="333333"/>
          <w:sz w:val="20"/>
        </w:rPr>
        <w:t>|  |</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1F5F8B"/>
          </w:tcPr>
          <w:p>
            <w:pPr>
              <w:spacing w:before="40" w:after="40"/>
            </w:pPr>
            <w:r>
              <w:rPr>
                <w:rFonts w:ascii="Calibri" w:hAnsi="Calibri"/>
                <w:b/>
                <w:color w:val="FFFFFF"/>
                <w:sz w:val="18"/>
              </w:rPr>
              <w:t>Cash from Operating Activity+</w:t>
            </w:r>
          </w:p>
        </w:tc>
      </w:tr>
      <w:tr>
        <w:tc>
          <w:tcPr>
            <w:tcW w:type="dxa" w:w="8640"/>
          </w:tcPr>
          <w:p>
            <w:pPr>
              <w:spacing w:before="40" w:after="40"/>
            </w:pPr>
            <w:r>
              <w:rPr>
                <w:rFonts w:ascii="Calibri" w:hAnsi="Calibri"/>
                <w:b/>
                <w:sz w:val="18"/>
              </w:rPr>
              <w:t>Cash from Investing Activity+</w:t>
            </w:r>
          </w:p>
        </w:tc>
      </w:tr>
      <w:tr>
        <w:tc>
          <w:tcPr>
            <w:tcW w:type="dxa" w:w="8640"/>
            <w:shd w:fill="E8F0FE"/>
          </w:tcPr>
          <w:p>
            <w:pPr>
              <w:spacing w:before="40" w:after="40"/>
            </w:pPr>
            <w:r>
              <w:rPr>
                <w:rFonts w:ascii="Calibri" w:hAnsi="Calibri"/>
                <w:b/>
                <w:sz w:val="18"/>
              </w:rPr>
              <w:t>Cash from Financing Activity+</w:t>
            </w:r>
          </w:p>
        </w:tc>
      </w:tr>
      <w:tr>
        <w:tc>
          <w:tcPr>
            <w:tcW w:type="dxa" w:w="8640"/>
          </w:tcPr>
          <w:p>
            <w:pPr>
              <w:spacing w:before="40" w:after="40"/>
            </w:pPr>
            <w:r>
              <w:rPr>
                <w:rFonts w:ascii="Calibri" w:hAnsi="Calibri"/>
                <w:b/>
                <w:sz w:val="18"/>
              </w:rPr>
              <w:t>Net Cash Flow</w:t>
            </w:r>
          </w:p>
        </w:tc>
      </w:tr>
      <w:tr>
        <w:tc>
          <w:tcPr>
            <w:tcW w:type="dxa" w:w="8640"/>
            <w:shd w:fill="E8F0FE"/>
          </w:tcPr>
          <w:p>
            <w:pPr>
              <w:spacing w:before="40" w:after="40"/>
            </w:pPr>
            <w:r>
              <w:rPr>
                <w:rFonts w:ascii="Calibri" w:hAnsi="Calibri"/>
                <w:b/>
                <w:sz w:val="18"/>
              </w:rPr>
              <w:t>Free Cash Flow</w:t>
            </w:r>
          </w:p>
        </w:tc>
      </w:tr>
      <w:tr>
        <w:tc>
          <w:tcPr>
            <w:tcW w:type="dxa" w:w="8640"/>
          </w:tcPr>
          <w:p>
            <w:pPr>
              <w:spacing w:before="40" w:after="40"/>
            </w:pPr>
            <w:r>
              <w:rPr>
                <w:rFonts w:ascii="Calibri" w:hAnsi="Calibri"/>
                <w:b/>
                <w:sz w:val="18"/>
              </w:rPr>
              <w:t>CFO/OP</w:t>
            </w:r>
          </w:p>
        </w:tc>
      </w:tr>
    </w:tbl>
    <w:p/>
    <w:p>
      <w:pPr>
        <w:pStyle w:val="Heading1"/>
      </w:pPr>
      <w:r>
        <w:rPr>
          <w:rFonts w:ascii="Calibri" w:hAnsi="Calibri"/>
          <w:color w:val="1F5F8B"/>
          <w:sz w:val="32"/>
        </w:rPr>
        <w:t>4. Corporate Governance Assessment</w:t>
      </w:r>
    </w:p>
    <w:p>
      <w:pPr>
        <w:spacing w:before="0" w:after="120"/>
      </w:pPr>
    </w:p>
    <w:p>
      <w:pPr>
        <w:pStyle w:val="Heading2"/>
      </w:pPr>
      <w:r>
        <w:rPr>
          <w:rFonts w:ascii="Calibri" w:hAnsi="Calibri"/>
          <w:color w:val="1F5F8B"/>
          <w:sz w:val="26"/>
        </w:rPr>
        <w:t>4.1 Board Composition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Name</w:t>
            </w:r>
          </w:p>
        </w:tc>
        <w:tc>
          <w:tcPr>
            <w:tcW w:type="dxa" w:w="2880"/>
            <w:shd w:fill="1F5F8B"/>
          </w:tcPr>
          <w:p>
            <w:pPr>
              <w:spacing w:before="40" w:after="40"/>
            </w:pPr>
            <w:r>
              <w:rPr>
                <w:rFonts w:ascii="Calibri" w:hAnsi="Calibri"/>
                <w:b/>
                <w:color w:val="FFFFFF"/>
                <w:sz w:val="18"/>
              </w:rPr>
              <w:t>Designation</w:t>
            </w:r>
          </w:p>
        </w:tc>
        <w:tc>
          <w:tcPr>
            <w:tcW w:type="dxa" w:w="2880"/>
            <w:shd w:fill="1F5F8B"/>
          </w:tcPr>
          <w:p>
            <w:pPr>
              <w:spacing w:before="40" w:after="40"/>
            </w:pPr>
            <w:r>
              <w:rPr>
                <w:rFonts w:ascii="Calibri" w:hAnsi="Calibri"/>
                <w:b/>
                <w:color w:val="FFFFFF"/>
                <w:sz w:val="18"/>
              </w:rPr>
              <w:t>Category</w:t>
            </w:r>
          </w:p>
        </w:tc>
      </w:tr>
      <w:tr>
        <w:tc>
          <w:tcPr>
            <w:tcW w:type="dxa" w:w="2880"/>
          </w:tcPr>
          <w:p>
            <w:pPr>
              <w:spacing w:before="40" w:after="40"/>
            </w:pPr>
            <w:r>
              <w:rPr>
                <w:rFonts w:ascii="Calibri" w:hAnsi="Calibri"/>
                <w:b/>
                <w:sz w:val="18"/>
              </w:rPr>
              <w:t>Sri K. Karunakar Rao</w:t>
            </w:r>
          </w:p>
        </w:tc>
        <w:tc>
          <w:tcPr>
            <w:tcW w:type="dxa" w:w="2880"/>
          </w:tcPr>
          <w:p>
            <w:pPr>
              <w:spacing w:before="40" w:after="40"/>
            </w:pPr>
            <w:r>
              <w:rPr>
                <w:rFonts w:ascii="Calibri" w:hAnsi="Calibri"/>
                <w:sz w:val="18"/>
              </w:rPr>
              <w:t>Executive Director (Fin. &amp; Comml.,) &amp; CEO</w:t>
            </w:r>
          </w:p>
        </w:tc>
        <w:tc>
          <w:tcPr>
            <w:tcW w:type="dxa" w:w="2880"/>
          </w:tcPr>
          <w:p>
            <w:pPr>
              <w:spacing w:before="40" w:after="40"/>
            </w:pPr>
            <w:r>
              <w:rPr>
                <w:rFonts w:ascii="Calibri" w:hAnsi="Calibri"/>
                <w:sz w:val="18"/>
              </w:rPr>
              <w:t>Executive Director</w:t>
            </w:r>
          </w:p>
        </w:tc>
      </w:tr>
      <w:tr>
        <w:tc>
          <w:tcPr>
            <w:tcW w:type="dxa" w:w="2880"/>
            <w:shd w:fill="E8F0FE"/>
          </w:tcPr>
          <w:p>
            <w:pPr>
              <w:spacing w:before="40" w:after="40"/>
            </w:pPr>
            <w:r>
              <w:rPr>
                <w:rFonts w:ascii="Calibri" w:hAnsi="Calibri"/>
                <w:b/>
                <w:sz w:val="18"/>
              </w:rPr>
              <w:t>Sri N. Jesvanth Reddy</w:t>
            </w:r>
          </w:p>
        </w:tc>
        <w:tc>
          <w:tcPr>
            <w:tcW w:type="dxa" w:w="2880"/>
            <w:shd w:fill="E8F0FE"/>
          </w:tcPr>
          <w:p>
            <w:pPr>
              <w:spacing w:before="40" w:after="40"/>
            </w:pPr>
            <w:r>
              <w:rPr>
                <w:rFonts w:ascii="Calibri" w:hAnsi="Calibri"/>
                <w:sz w:val="18"/>
              </w:rPr>
              <w:t>Executive Director (Technical)</w:t>
            </w:r>
          </w:p>
        </w:tc>
        <w:tc>
          <w:tcPr>
            <w:tcW w:type="dxa" w:w="2880"/>
            <w:shd w:fill="E8F0FE"/>
          </w:tcPr>
          <w:p>
            <w:pPr>
              <w:spacing w:before="40" w:after="40"/>
            </w:pPr>
            <w:r>
              <w:rPr>
                <w:rFonts w:ascii="Calibri" w:hAnsi="Calibri"/>
                <w:sz w:val="18"/>
              </w:rPr>
              <w:t>Executive Director (Resigned effective March 31, 2025)</w:t>
            </w:r>
          </w:p>
        </w:tc>
      </w:tr>
      <w:tr>
        <w:tc>
          <w:tcPr>
            <w:tcW w:type="dxa" w:w="2880"/>
          </w:tcPr>
          <w:p>
            <w:pPr>
              <w:spacing w:before="40" w:after="40"/>
            </w:pPr>
            <w:r>
              <w:rPr>
                <w:rFonts w:ascii="Calibri" w:hAnsi="Calibri"/>
                <w:b/>
                <w:sz w:val="18"/>
              </w:rPr>
              <w:t>Sri C. Srinivasa Babu</w:t>
            </w:r>
          </w:p>
        </w:tc>
        <w:tc>
          <w:tcPr>
            <w:tcW w:type="dxa" w:w="2880"/>
          </w:tcPr>
          <w:p>
            <w:pPr>
              <w:spacing w:before="40" w:after="40"/>
            </w:pPr>
            <w:r>
              <w:rPr>
                <w:rFonts w:ascii="Calibri" w:hAnsi="Calibri"/>
                <w:sz w:val="18"/>
              </w:rPr>
              <w:t>Executive Director (Technical)</w:t>
            </w:r>
          </w:p>
        </w:tc>
        <w:tc>
          <w:tcPr>
            <w:tcW w:type="dxa" w:w="2880"/>
          </w:tcPr>
          <w:p>
            <w:pPr>
              <w:spacing w:before="40" w:after="40"/>
            </w:pPr>
            <w:r>
              <w:rPr>
                <w:rFonts w:ascii="Calibri" w:hAnsi="Calibri"/>
                <w:sz w:val="18"/>
              </w:rPr>
              <w:t>Executive Director</w:t>
            </w:r>
          </w:p>
        </w:tc>
      </w:tr>
      <w:tr>
        <w:tc>
          <w:tcPr>
            <w:tcW w:type="dxa" w:w="2880"/>
            <w:shd w:fill="E8F0FE"/>
          </w:tcPr>
          <w:p>
            <w:pPr>
              <w:spacing w:before="40" w:after="40"/>
            </w:pPr>
            <w:r>
              <w:rPr>
                <w:rFonts w:ascii="Calibri" w:hAnsi="Calibri"/>
                <w:b/>
                <w:sz w:val="18"/>
              </w:rPr>
              <w:t>Ms M. Sridevi</w:t>
            </w:r>
          </w:p>
        </w:tc>
        <w:tc>
          <w:tcPr>
            <w:tcW w:type="dxa" w:w="2880"/>
            <w:shd w:fill="E8F0FE"/>
          </w:tcPr>
          <w:p>
            <w:pPr>
              <w:spacing w:before="40" w:after="40"/>
            </w:pPr>
            <w:r>
              <w:rPr>
                <w:rFonts w:ascii="Calibri" w:hAnsi="Calibri"/>
                <w:sz w:val="18"/>
              </w:rPr>
              <w:t>Director</w:t>
            </w:r>
          </w:p>
        </w:tc>
        <w:tc>
          <w:tcPr>
            <w:tcW w:type="dxa" w:w="2880"/>
            <w:shd w:fill="E8F0FE"/>
          </w:tcPr>
          <w:p>
            <w:pPr>
              <w:spacing w:before="40" w:after="40"/>
            </w:pPr>
            <w:r>
              <w:rPr>
                <w:rFonts w:ascii="Calibri" w:hAnsi="Calibri"/>
                <w:sz w:val="18"/>
              </w:rPr>
              <w:t>Independent Director</w:t>
            </w:r>
          </w:p>
        </w:tc>
      </w:tr>
      <w:tr>
        <w:tc>
          <w:tcPr>
            <w:tcW w:type="dxa" w:w="2880"/>
          </w:tcPr>
          <w:p>
            <w:pPr>
              <w:spacing w:before="40" w:after="40"/>
            </w:pPr>
            <w:r>
              <w:rPr>
                <w:rFonts w:ascii="Calibri" w:hAnsi="Calibri"/>
                <w:b/>
                <w:sz w:val="18"/>
              </w:rPr>
              <w:t>Ms S. Hima Bindu</w:t>
            </w:r>
          </w:p>
        </w:tc>
        <w:tc>
          <w:tcPr>
            <w:tcW w:type="dxa" w:w="2880"/>
          </w:tcPr>
          <w:p>
            <w:pPr>
              <w:spacing w:before="40" w:after="40"/>
            </w:pPr>
            <w:r>
              <w:rPr>
                <w:rFonts w:ascii="Calibri" w:hAnsi="Calibri"/>
                <w:sz w:val="18"/>
              </w:rPr>
              <w:t>Director</w:t>
            </w:r>
          </w:p>
        </w:tc>
        <w:tc>
          <w:tcPr>
            <w:tcW w:type="dxa" w:w="2880"/>
          </w:tcPr>
          <w:p>
            <w:pPr>
              <w:spacing w:before="40" w:after="40"/>
            </w:pPr>
            <w:r>
              <w:rPr>
                <w:rFonts w:ascii="Calibri" w:hAnsi="Calibri"/>
                <w:sz w:val="18"/>
              </w:rPr>
              <w:t>Independent Director</w:t>
            </w:r>
          </w:p>
        </w:tc>
      </w:tr>
      <w:tr>
        <w:tc>
          <w:tcPr>
            <w:tcW w:type="dxa" w:w="2880"/>
            <w:shd w:fill="E8F0FE"/>
          </w:tcPr>
          <w:p>
            <w:pPr>
              <w:spacing w:before="40" w:after="40"/>
            </w:pPr>
            <w:r>
              <w:rPr>
                <w:rFonts w:ascii="Calibri" w:hAnsi="Calibri"/>
                <w:b/>
                <w:sz w:val="18"/>
              </w:rPr>
              <w:t>Ms Geeta Ramesh Serwani</w:t>
            </w:r>
          </w:p>
        </w:tc>
        <w:tc>
          <w:tcPr>
            <w:tcW w:type="dxa" w:w="2880"/>
            <w:shd w:fill="E8F0FE"/>
          </w:tcPr>
          <w:p>
            <w:pPr>
              <w:spacing w:before="40" w:after="40"/>
            </w:pPr>
            <w:r>
              <w:rPr>
                <w:rFonts w:ascii="Calibri" w:hAnsi="Calibri"/>
                <w:sz w:val="18"/>
              </w:rPr>
              <w:t>Director</w:t>
            </w:r>
          </w:p>
        </w:tc>
        <w:tc>
          <w:tcPr>
            <w:tcW w:type="dxa" w:w="2880"/>
            <w:shd w:fill="E8F0FE"/>
          </w:tcPr>
          <w:p>
            <w:pPr>
              <w:spacing w:before="40" w:after="40"/>
            </w:pPr>
            <w:r>
              <w:rPr>
                <w:rFonts w:ascii="Calibri" w:hAnsi="Calibri"/>
                <w:sz w:val="18"/>
              </w:rPr>
              <w:t>Independent Director</w:t>
            </w:r>
          </w:p>
        </w:tc>
      </w:tr>
      <w:tr>
        <w:tc>
          <w:tcPr>
            <w:tcW w:type="dxa" w:w="2880"/>
          </w:tcPr>
          <w:p>
            <w:pPr>
              <w:spacing w:before="40" w:after="40"/>
            </w:pPr>
            <w:r>
              <w:rPr>
                <w:rFonts w:ascii="Calibri" w:hAnsi="Calibri"/>
                <w:b/>
                <w:sz w:val="18"/>
              </w:rPr>
              <w:t>Dr. M. Asha Reddy</w:t>
            </w:r>
          </w:p>
        </w:tc>
        <w:tc>
          <w:tcPr>
            <w:tcW w:type="dxa" w:w="2880"/>
          </w:tcPr>
          <w:p>
            <w:pPr>
              <w:spacing w:before="40" w:after="40"/>
            </w:pPr>
            <w:r>
              <w:rPr>
                <w:rFonts w:ascii="Calibri" w:hAnsi="Calibri"/>
                <w:sz w:val="18"/>
              </w:rPr>
              <w:t>Additional Director</w:t>
            </w:r>
          </w:p>
        </w:tc>
        <w:tc>
          <w:tcPr>
            <w:tcW w:type="dxa" w:w="2880"/>
          </w:tcPr>
          <w:p>
            <w:pPr>
              <w:spacing w:before="40" w:after="40"/>
            </w:pPr>
            <w:r>
              <w:rPr>
                <w:rFonts w:ascii="Calibri" w:hAnsi="Calibri"/>
                <w:sz w:val="18"/>
              </w:rPr>
              <w:t>Non-Executive Independent Director (Appointed August 8, 2025)</w:t>
            </w:r>
          </w:p>
        </w:tc>
      </w:tr>
      <w:tr>
        <w:tc>
          <w:tcPr>
            <w:tcW w:type="dxa" w:w="2880"/>
            <w:shd w:fill="E8F0FE"/>
          </w:tcPr>
          <w:p>
            <w:pPr>
              <w:spacing w:before="40" w:after="40"/>
            </w:pPr>
            <w:r>
              <w:rPr>
                <w:rFonts w:ascii="Calibri" w:hAnsi="Calibri"/>
                <w:b/>
                <w:sz w:val="18"/>
              </w:rPr>
              <w:t>Sri P. Raghavendra Reddy</w:t>
            </w:r>
          </w:p>
        </w:tc>
        <w:tc>
          <w:tcPr>
            <w:tcW w:type="dxa" w:w="2880"/>
            <w:shd w:fill="E8F0FE"/>
          </w:tcPr>
          <w:p>
            <w:pPr>
              <w:spacing w:before="40" w:after="40"/>
            </w:pPr>
            <w:r>
              <w:rPr>
                <w:rFonts w:ascii="Calibri" w:hAnsi="Calibri"/>
                <w:sz w:val="18"/>
              </w:rPr>
              <w:t>Director (Quality Assurance)</w:t>
            </w:r>
          </w:p>
        </w:tc>
        <w:tc>
          <w:tcPr>
            <w:tcW w:type="dxa" w:w="2880"/>
            <w:shd w:fill="E8F0FE"/>
          </w:tcPr>
          <w:p>
            <w:pPr>
              <w:spacing w:before="40" w:after="40"/>
            </w:pPr>
            <w:r>
              <w:rPr>
                <w:rFonts w:ascii="Calibri" w:hAnsi="Calibri"/>
                <w:sz w:val="18"/>
              </w:rPr>
              <w:t>Director (Appointed October 1, 2025)</w:t>
            </w:r>
          </w:p>
        </w:tc>
      </w:tr>
      <w:tr>
        <w:tc>
          <w:tcPr>
            <w:tcW w:type="dxa" w:w="2880"/>
          </w:tcPr>
          <w:p>
            <w:pPr>
              <w:spacing w:before="40" w:after="40"/>
            </w:pPr>
            <w:r>
              <w:rPr>
                <w:rFonts w:ascii="Calibri" w:hAnsi="Calibri"/>
                <w:b/>
                <w:sz w:val="18"/>
              </w:rPr>
              <w:t>Sri E. Ramaiah</w:t>
            </w:r>
          </w:p>
        </w:tc>
        <w:tc>
          <w:tcPr>
            <w:tcW w:type="dxa" w:w="2880"/>
          </w:tcPr>
          <w:p>
            <w:pPr>
              <w:spacing w:before="40" w:after="40"/>
            </w:pPr>
            <w:r>
              <w:rPr>
                <w:rFonts w:ascii="Calibri" w:hAnsi="Calibri"/>
                <w:sz w:val="18"/>
              </w:rPr>
              <w:t>Director (Mechanical)</w:t>
            </w:r>
          </w:p>
        </w:tc>
        <w:tc>
          <w:tcPr>
            <w:tcW w:type="dxa" w:w="2880"/>
          </w:tcPr>
          <w:p>
            <w:pPr>
              <w:spacing w:before="40" w:after="40"/>
            </w:pPr>
            <w:r>
              <w:rPr>
                <w:rFonts w:ascii="Calibri" w:hAnsi="Calibri"/>
                <w:sz w:val="18"/>
              </w:rPr>
              <w:t>Director (Appointed June 30, 2025)</w:t>
            </w:r>
          </w:p>
        </w:tc>
      </w:tr>
    </w:tbl>
    <w:p/>
    <w:p>
      <w:pPr>
        <w:pStyle w:val="Heading2"/>
      </w:pPr>
      <w:r>
        <w:rPr>
          <w:rFonts w:ascii="Calibri" w:hAnsi="Calibri"/>
          <w:color w:val="1F5F8B"/>
          <w:sz w:val="26"/>
        </w:rPr>
        <w:t>4.2 Governance Strengths</w:t>
      </w:r>
    </w:p>
    <w:p>
      <w:pPr>
        <w:pStyle w:val="ListBullet"/>
        <w:spacing w:after="80"/>
      </w:pPr>
      <w:r>
        <w:rPr>
          <w:rFonts w:ascii="Calibri" w:hAnsi="Calibri"/>
          <w:color w:val="333333"/>
          <w:sz w:val="20"/>
        </w:rPr>
        <w:t xml:space="preserve">  </w:t>
      </w:r>
      <w:r>
        <w:rPr>
          <w:rFonts w:ascii="Calibri" w:hAnsi="Calibri"/>
          <w:b/>
          <w:color w:val="333333"/>
          <w:sz w:val="20"/>
        </w:rPr>
        <w:t>Independent Board Composition:</w:t>
      </w:r>
      <w:r>
        <w:rPr>
          <w:rFonts w:ascii="Calibri" w:hAnsi="Calibri"/>
          <w:color w:val="333333"/>
          <w:sz w:val="20"/>
        </w:rPr>
        <w:t xml:space="preserve"> The Board composition appears to comply with SEBI (LODR) Regulations, with a majority of independent directors.</w:t>
      </w:r>
    </w:p>
    <w:p>
      <w:pPr>
        <w:pStyle w:val="ListBullet"/>
        <w:spacing w:after="80"/>
      </w:pPr>
      <w:r>
        <w:rPr>
          <w:rFonts w:ascii="Calibri" w:hAnsi="Calibri"/>
          <w:color w:val="333333"/>
          <w:sz w:val="20"/>
        </w:rPr>
        <w:t xml:space="preserve">  </w:t>
      </w:r>
      <w:r>
        <w:rPr>
          <w:rFonts w:ascii="Calibri" w:hAnsi="Calibri"/>
          <w:b/>
          <w:color w:val="333333"/>
          <w:sz w:val="20"/>
        </w:rPr>
        <w:t>Audit Committee Effectiveness:</w:t>
      </w:r>
      <w:r>
        <w:rPr>
          <w:rFonts w:ascii="Calibri" w:hAnsi="Calibri"/>
          <w:color w:val="333333"/>
          <w:sz w:val="20"/>
        </w:rPr>
        <w:t xml:space="preserve"> The Audit Committee is well-structured with independent directors, and its terms of reference cover key financial oversight responsibilities.</w:t>
      </w:r>
    </w:p>
    <w:p>
      <w:pPr>
        <w:pStyle w:val="ListBullet"/>
        <w:spacing w:after="80"/>
      </w:pPr>
      <w:r>
        <w:rPr>
          <w:rFonts w:ascii="Calibri" w:hAnsi="Calibri"/>
          <w:color w:val="333333"/>
          <w:sz w:val="20"/>
        </w:rPr>
        <w:t xml:space="preserve">  </w:t>
      </w:r>
      <w:r>
        <w:rPr>
          <w:rFonts w:ascii="Calibri" w:hAnsi="Calibri"/>
          <w:b/>
          <w:color w:val="333333"/>
          <w:sz w:val="20"/>
        </w:rPr>
        <w:t>Secretarial Audit Compliance:</w:t>
      </w:r>
      <w:r>
        <w:rPr>
          <w:rFonts w:ascii="Calibri" w:hAnsi="Calibri"/>
          <w:color w:val="333333"/>
          <w:sz w:val="20"/>
        </w:rPr>
        <w:t xml:space="preserve"> The company receives annual secretarial audit reports, which have not contained any qualifications or adverse remarks, indicating compliance with corporate secretarial norms.</w:t>
      </w:r>
    </w:p>
    <w:p>
      <w:pPr>
        <w:pStyle w:val="ListBullet"/>
        <w:spacing w:after="80"/>
      </w:pPr>
      <w:r>
        <w:rPr>
          <w:rFonts w:ascii="Calibri" w:hAnsi="Calibri"/>
          <w:color w:val="333333"/>
          <w:sz w:val="20"/>
        </w:rPr>
        <w:t xml:space="preserve">  </w:t>
      </w:r>
      <w:r>
        <w:rPr>
          <w:rFonts w:ascii="Calibri" w:hAnsi="Calibri"/>
          <w:b/>
          <w:color w:val="333333"/>
          <w:sz w:val="20"/>
        </w:rPr>
        <w:t>Internal Financial Controls:</w:t>
      </w:r>
      <w:r>
        <w:rPr>
          <w:rFonts w:ascii="Calibri" w:hAnsi="Calibri"/>
          <w:color w:val="333333"/>
          <w:sz w:val="20"/>
        </w:rPr>
        <w:t xml:space="preserve"> The company has established internal financial controls, and the statutory auditors have provided an unmodified opinion on their adequacy and operating effectiveness.</w:t>
      </w:r>
    </w:p>
    <w:p>
      <w:pPr>
        <w:pStyle w:val="ListBullet"/>
        <w:spacing w:after="80"/>
      </w:pPr>
      <w:r>
        <w:rPr>
          <w:rFonts w:ascii="Calibri" w:hAnsi="Calibri"/>
          <w:color w:val="333333"/>
          <w:sz w:val="20"/>
        </w:rPr>
        <w:t xml:space="preserve">  </w:t>
      </w:r>
      <w:r>
        <w:rPr>
          <w:rFonts w:ascii="Calibri" w:hAnsi="Calibri"/>
          <w:b/>
          <w:color w:val="333333"/>
          <w:sz w:val="20"/>
        </w:rPr>
        <w:t>Whistleblower Policy:</w:t>
      </w:r>
      <w:r>
        <w:rPr>
          <w:rFonts w:ascii="Calibri" w:hAnsi="Calibri"/>
          <w:color w:val="333333"/>
          <w:sz w:val="20"/>
        </w:rPr>
        <w:t xml:space="preserve"> The company has a vigil mechanism and whistleblower policy in place, demonstrating a commitment to ethical conduct and grievance redressal.</w:t>
      </w:r>
    </w:p>
    <w:p>
      <w:pPr>
        <w:pStyle w:val="ListBullet"/>
        <w:spacing w:after="80"/>
      </w:pPr>
      <w:r>
        <w:rPr>
          <w:rFonts w:ascii="Calibri" w:hAnsi="Calibri"/>
          <w:color w:val="333333"/>
          <w:sz w:val="20"/>
        </w:rPr>
        <w:t xml:space="preserve">  </w:t>
      </w:r>
      <w:r>
        <w:rPr>
          <w:rFonts w:ascii="Calibri" w:hAnsi="Calibri"/>
          <w:b/>
          <w:color w:val="333333"/>
          <w:sz w:val="20"/>
        </w:rPr>
        <w:t>BRSR Compliance:</w:t>
      </w:r>
      <w:r>
        <w:rPr>
          <w:rFonts w:ascii="Calibri" w:hAnsi="Calibri"/>
          <w:color w:val="333333"/>
          <w:sz w:val="20"/>
        </w:rPr>
        <w:t xml:space="preserve"> The company is actively complying with Business Responsibility and Sustainability Reporting (BRSR) regulations, reflecting a commitment to ESG principles.</w:t>
      </w:r>
    </w:p>
    <w:p>
      <w:pPr>
        <w:pStyle w:val="ListBullet"/>
        <w:spacing w:after="80"/>
      </w:pPr>
      <w:r>
        <w:rPr>
          <w:rFonts w:ascii="Calibri" w:hAnsi="Calibri"/>
          <w:color w:val="333333"/>
          <w:sz w:val="20"/>
        </w:rPr>
        <w:t xml:space="preserve">  </w:t>
      </w:r>
      <w:r>
        <w:rPr>
          <w:rFonts w:ascii="Calibri" w:hAnsi="Calibri"/>
          <w:b/>
          <w:color w:val="333333"/>
          <w:sz w:val="20"/>
        </w:rPr>
        <w:t>Promoter Share Pledge Release:</w:t>
      </w:r>
      <w:r>
        <w:rPr>
          <w:rFonts w:ascii="Calibri" w:hAnsi="Calibri"/>
          <w:color w:val="333333"/>
          <w:sz w:val="20"/>
        </w:rPr>
        <w:t xml:space="preserve"> The release of pledges on promoter shares is a positive indicator of improved promoter financial health and commitment.</w:t>
      </w:r>
    </w:p>
    <w:p>
      <w:pPr>
        <w:pStyle w:val="Heading2"/>
      </w:pPr>
      <w:r>
        <w:rPr>
          <w:rFonts w:ascii="Calibri" w:hAnsi="Calibri"/>
          <w:color w:val="1F5F8B"/>
          <w:sz w:val="26"/>
        </w:rPr>
        <w:t>4.3 Governance Concerns / Watchpoints</w:t>
      </w:r>
    </w:p>
    <w:p>
      <w:pPr>
        <w:pStyle w:val="ListBullet"/>
        <w:spacing w:after="80"/>
      </w:pPr>
      <w:r>
        <w:rPr>
          <w:rFonts w:ascii="Calibri" w:hAnsi="Calibri"/>
          <w:color w:val="333333"/>
          <w:sz w:val="20"/>
        </w:rPr>
        <w:t xml:space="preserve">  </w:t>
      </w:r>
      <w:r>
        <w:rPr>
          <w:rFonts w:ascii="Calibri" w:hAnsi="Calibri"/>
          <w:b/>
          <w:color w:val="333333"/>
          <w:sz w:val="20"/>
        </w:rPr>
        <w:t>Resignation of Key Executive:</w:t>
      </w:r>
      <w:r>
        <w:rPr>
          <w:rFonts w:ascii="Calibri" w:hAnsi="Calibri"/>
          <w:color w:val="333333"/>
          <w:sz w:val="20"/>
        </w:rPr>
        <w:t xml:space="preserve"> The resignation of Sri Jesvanth Reddy Nalla as Executive Director (Technical) could potentially impact operational continuity and requires monitoring for any leadership vacuum.</w:t>
      </w:r>
    </w:p>
    <w:p>
      <w:pPr>
        <w:pStyle w:val="ListBullet"/>
        <w:spacing w:after="80"/>
      </w:pPr>
      <w:r>
        <w:rPr>
          <w:rFonts w:ascii="Calibri" w:hAnsi="Calibri"/>
          <w:color w:val="333333"/>
          <w:sz w:val="20"/>
        </w:rPr>
        <w:t xml:space="preserve">  </w:t>
      </w:r>
      <w:r>
        <w:rPr>
          <w:rFonts w:ascii="Calibri" w:hAnsi="Calibri"/>
          <w:b/>
          <w:color w:val="333333"/>
          <w:sz w:val="20"/>
        </w:rPr>
        <w:t>Disputed Statutory Dues:</w:t>
      </w:r>
      <w:r>
        <w:rPr>
          <w:rFonts w:ascii="Calibri" w:hAnsi="Calibri"/>
          <w:color w:val="333333"/>
          <w:sz w:val="20"/>
        </w:rPr>
        <w:t xml:space="preserve"> The company has several disputed statutory dues pending before various legal and regulatory authorities, which represent potential financial liabilities and contingent risks.</w:t>
      </w:r>
    </w:p>
    <w:p>
      <w:pPr>
        <w:pStyle w:val="ListBullet"/>
        <w:spacing w:after="80"/>
      </w:pPr>
      <w:r>
        <w:rPr>
          <w:rFonts w:ascii="Calibri" w:hAnsi="Calibri"/>
          <w:color w:val="333333"/>
          <w:sz w:val="20"/>
        </w:rPr>
        <w:t xml:space="preserve">  </w:t>
      </w:r>
      <w:r>
        <w:rPr>
          <w:rFonts w:ascii="Calibri" w:hAnsi="Calibri"/>
          <w:b/>
          <w:color w:val="333333"/>
          <w:sz w:val="20"/>
        </w:rPr>
        <w:t>FPPCA Charges:</w:t>
      </w:r>
      <w:r>
        <w:rPr>
          <w:rFonts w:ascii="Calibri" w:hAnsi="Calibri"/>
          <w:color w:val="333333"/>
          <w:sz w:val="20"/>
        </w:rPr>
        <w:t xml:space="preserve"> The company is contesting significant FPPCA charges from the electricity regulator, which, if not resolved favorably, could impact profitability.</w:t>
      </w:r>
    </w:p>
    <w:p>
      <w:pPr>
        <w:pStyle w:val="ListBullet"/>
        <w:spacing w:after="80"/>
      </w:pPr>
      <w:r>
        <w:rPr>
          <w:rFonts w:ascii="Calibri" w:hAnsi="Calibri"/>
          <w:color w:val="333333"/>
          <w:sz w:val="20"/>
        </w:rPr>
        <w:t xml:space="preserve">  </w:t>
      </w:r>
      <w:r>
        <w:rPr>
          <w:rFonts w:ascii="Calibri" w:hAnsi="Calibri"/>
          <w:b/>
          <w:color w:val="333333"/>
          <w:sz w:val="20"/>
        </w:rPr>
        <w:t>Audit Trail Feature:</w:t>
      </w:r>
      <w:r>
        <w:rPr>
          <w:rFonts w:ascii="Calibri" w:hAnsi="Calibri"/>
          <w:color w:val="333333"/>
          <w:sz w:val="20"/>
        </w:rPr>
        <w:t xml:space="preserve"> While the company uses accounting software with an audit trail facility, the feature is not enabled at the database level, which could be a minor control weakness.</w:t>
      </w:r>
    </w:p>
    <w:p>
      <w:pPr>
        <w:pStyle w:val="ListBullet"/>
        <w:spacing w:after="80"/>
      </w:pPr>
      <w:r>
        <w:rPr>
          <w:rFonts w:ascii="Calibri" w:hAnsi="Calibri"/>
          <w:color w:val="333333"/>
          <w:sz w:val="20"/>
        </w:rPr>
        <w:t xml:space="preserve">  </w:t>
      </w:r>
      <w:r>
        <w:rPr>
          <w:rFonts w:ascii="Calibri" w:hAnsi="Calibri"/>
          <w:b/>
          <w:color w:val="333333"/>
          <w:sz w:val="20"/>
        </w:rPr>
        <w:t>Related Party Transactions:</w:t>
      </w:r>
      <w:r>
        <w:rPr>
          <w:rFonts w:ascii="Calibri" w:hAnsi="Calibri"/>
          <w:color w:val="333333"/>
          <w:sz w:val="20"/>
        </w:rPr>
        <w:t xml:space="preserve"> While transactions are stated to be at arm's length and approved by committees, the significant volume of related party transactions warrants continued scrutiny.</w:t>
      </w:r>
    </w:p>
    <w:p>
      <w:pPr>
        <w:pStyle w:val="Heading2"/>
      </w:pPr>
      <w:r>
        <w:rPr>
          <w:rFonts w:ascii="Calibri" w:hAnsi="Calibri"/>
          <w:color w:val="1F5F8B"/>
          <w:sz w:val="26"/>
        </w:rPr>
        <w:t>4.4 Shareholding Pattern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Category</w:t>
            </w:r>
          </w:p>
        </w:tc>
        <w:tc>
          <w:tcPr>
            <w:tcW w:type="dxa" w:w="2880"/>
            <w:shd w:fill="1F5F8B"/>
          </w:tcPr>
          <w:p>
            <w:pPr>
              <w:spacing w:before="40" w:after="40"/>
            </w:pPr>
            <w:r>
              <w:rPr>
                <w:rFonts w:ascii="Calibri" w:hAnsi="Calibri"/>
                <w:b/>
                <w:color w:val="FFFFFF"/>
                <w:sz w:val="18"/>
              </w:rPr>
              <w:t>No. of Shares</w:t>
            </w:r>
          </w:p>
        </w:tc>
        <w:tc>
          <w:tcPr>
            <w:tcW w:type="dxa" w:w="2880"/>
            <w:shd w:fill="1F5F8B"/>
          </w:tcPr>
          <w:p>
            <w:pPr>
              <w:spacing w:before="40" w:after="40"/>
            </w:pPr>
            <w:r>
              <w:rPr>
                <w:rFonts w:ascii="Calibri" w:hAnsi="Calibri"/>
                <w:b/>
                <w:color w:val="FFFFFF"/>
                <w:sz w:val="18"/>
              </w:rPr>
              <w:t>% Holding</w:t>
            </w:r>
          </w:p>
        </w:tc>
      </w:tr>
      <w:tr>
        <w:tc>
          <w:tcPr>
            <w:tcW w:type="dxa" w:w="2880"/>
          </w:tcPr>
          <w:p>
            <w:pPr>
              <w:spacing w:before="40" w:after="40"/>
            </w:pPr>
            <w:r>
              <w:rPr>
                <w:rFonts w:ascii="Calibri" w:hAnsi="Calibri"/>
                <w:b/>
                <w:sz w:val="18"/>
              </w:rPr>
              <w:t>Promoters &amp; Promoter Group</w:t>
            </w:r>
          </w:p>
        </w:tc>
        <w:tc>
          <w:tcPr>
            <w:tcW w:type="dxa" w:w="2880"/>
          </w:tcPr>
          <w:p>
            <w:pPr>
              <w:spacing w:before="40" w:after="40"/>
            </w:pPr>
            <w:r>
              <w:rPr>
                <w:rFonts w:ascii="Calibri" w:hAnsi="Calibri"/>
                <w:sz w:val="18"/>
              </w:rPr>
              <w:t>68,329,974</w:t>
            </w:r>
          </w:p>
        </w:tc>
        <w:tc>
          <w:tcPr>
            <w:tcW w:type="dxa" w:w="2880"/>
          </w:tcPr>
          <w:p>
            <w:pPr>
              <w:spacing w:before="40" w:after="40"/>
            </w:pPr>
            <w:r>
              <w:rPr>
                <w:rFonts w:ascii="Calibri" w:hAnsi="Calibri"/>
                <w:sz w:val="18"/>
              </w:rPr>
              <w:t>63.81%</w:t>
            </w:r>
          </w:p>
        </w:tc>
      </w:tr>
      <w:tr>
        <w:tc>
          <w:tcPr>
            <w:tcW w:type="dxa" w:w="2880"/>
            <w:shd w:fill="E8F0FE"/>
          </w:tcPr>
          <w:p>
            <w:pPr>
              <w:spacing w:before="40" w:after="40"/>
            </w:pPr>
            <w:r>
              <w:rPr>
                <w:rFonts w:ascii="Calibri" w:hAnsi="Calibri"/>
                <w:b/>
                <w:sz w:val="18"/>
              </w:rPr>
              <w:t>Mutual Funds and UTI</w:t>
            </w:r>
          </w:p>
        </w:tc>
        <w:tc>
          <w:tcPr>
            <w:tcW w:type="dxa" w:w="2880"/>
            <w:shd w:fill="E8F0FE"/>
          </w:tcPr>
          <w:p>
            <w:pPr>
              <w:spacing w:before="40" w:after="40"/>
            </w:pPr>
            <w:r>
              <w:rPr>
                <w:rFonts w:ascii="Calibri" w:hAnsi="Calibri"/>
                <w:sz w:val="18"/>
              </w:rPr>
              <w:t>17,937</w:t>
            </w:r>
          </w:p>
        </w:tc>
        <w:tc>
          <w:tcPr>
            <w:tcW w:type="dxa" w:w="2880"/>
            <w:shd w:fill="E8F0FE"/>
          </w:tcPr>
          <w:p>
            <w:pPr>
              <w:spacing w:before="40" w:after="40"/>
            </w:pPr>
            <w:r>
              <w:rPr>
                <w:rFonts w:ascii="Calibri" w:hAnsi="Calibri"/>
                <w:sz w:val="18"/>
              </w:rPr>
              <w:t>0.02%</w:t>
            </w:r>
          </w:p>
        </w:tc>
      </w:tr>
      <w:tr>
        <w:tc>
          <w:tcPr>
            <w:tcW w:type="dxa" w:w="2880"/>
          </w:tcPr>
          <w:p>
            <w:pPr>
              <w:spacing w:before="40" w:after="40"/>
            </w:pPr>
            <w:r>
              <w:rPr>
                <w:rFonts w:ascii="Calibri" w:hAnsi="Calibri"/>
                <w:b/>
                <w:sz w:val="18"/>
              </w:rPr>
              <w:t>Banks, FIs, Mutual Funds</w:t>
            </w:r>
          </w:p>
        </w:tc>
        <w:tc>
          <w:tcPr>
            <w:tcW w:type="dxa" w:w="2880"/>
          </w:tcPr>
          <w:p>
            <w:pPr>
              <w:spacing w:before="40" w:after="40"/>
            </w:pPr>
            <w:r>
              <w:rPr>
                <w:rFonts w:ascii="Calibri" w:hAnsi="Calibri"/>
                <w:sz w:val="18"/>
              </w:rPr>
              <w:t>1,450</w:t>
            </w:r>
          </w:p>
        </w:tc>
        <w:tc>
          <w:tcPr>
            <w:tcW w:type="dxa" w:w="2880"/>
          </w:tcPr>
          <w:p>
            <w:pPr>
              <w:spacing w:before="40" w:after="40"/>
            </w:pPr>
            <w:r>
              <w:rPr>
                <w:rFonts w:ascii="Calibri" w:hAnsi="Calibri"/>
                <w:sz w:val="18"/>
              </w:rPr>
              <w:t>0.00%</w:t>
            </w:r>
          </w:p>
        </w:tc>
      </w:tr>
      <w:tr>
        <w:tc>
          <w:tcPr>
            <w:tcW w:type="dxa" w:w="2880"/>
            <w:shd w:fill="E8F0FE"/>
          </w:tcPr>
          <w:p>
            <w:pPr>
              <w:spacing w:before="40" w:after="40"/>
            </w:pPr>
            <w:r>
              <w:rPr>
                <w:rFonts w:ascii="Calibri" w:hAnsi="Calibri"/>
                <w:b/>
                <w:sz w:val="18"/>
              </w:rPr>
              <w:t>Bodies Corporate</w:t>
            </w:r>
          </w:p>
        </w:tc>
        <w:tc>
          <w:tcPr>
            <w:tcW w:type="dxa" w:w="2880"/>
            <w:shd w:fill="E8F0FE"/>
          </w:tcPr>
          <w:p>
            <w:pPr>
              <w:spacing w:before="40" w:after="40"/>
            </w:pPr>
            <w:r>
              <w:rPr>
                <w:rFonts w:ascii="Calibri" w:hAnsi="Calibri"/>
                <w:sz w:val="18"/>
              </w:rPr>
              <w:t>2,106,763</w:t>
            </w:r>
          </w:p>
        </w:tc>
        <w:tc>
          <w:tcPr>
            <w:tcW w:type="dxa" w:w="2880"/>
            <w:shd w:fill="E8F0FE"/>
          </w:tcPr>
          <w:p>
            <w:pPr>
              <w:spacing w:before="40" w:after="40"/>
            </w:pPr>
            <w:r>
              <w:rPr>
                <w:rFonts w:ascii="Calibri" w:hAnsi="Calibri"/>
                <w:sz w:val="18"/>
              </w:rPr>
              <w:t>1.97%</w:t>
            </w:r>
          </w:p>
        </w:tc>
      </w:tr>
      <w:tr>
        <w:tc>
          <w:tcPr>
            <w:tcW w:type="dxa" w:w="2880"/>
          </w:tcPr>
          <w:p>
            <w:pPr>
              <w:spacing w:before="40" w:after="40"/>
            </w:pPr>
            <w:r>
              <w:rPr>
                <w:rFonts w:ascii="Calibri" w:hAnsi="Calibri"/>
                <w:b/>
                <w:sz w:val="18"/>
              </w:rPr>
              <w:t>Indian Public &amp; Others</w:t>
            </w:r>
          </w:p>
        </w:tc>
        <w:tc>
          <w:tcPr>
            <w:tcW w:type="dxa" w:w="2880"/>
          </w:tcPr>
          <w:p>
            <w:pPr>
              <w:spacing w:before="40" w:after="40"/>
            </w:pPr>
            <w:r>
              <w:rPr>
                <w:rFonts w:ascii="Calibri" w:hAnsi="Calibri"/>
                <w:sz w:val="18"/>
              </w:rPr>
              <w:t>34,834,957</w:t>
            </w:r>
          </w:p>
        </w:tc>
        <w:tc>
          <w:tcPr>
            <w:tcW w:type="dxa" w:w="2880"/>
          </w:tcPr>
          <w:p>
            <w:pPr>
              <w:spacing w:before="40" w:after="40"/>
            </w:pPr>
            <w:r>
              <w:rPr>
                <w:rFonts w:ascii="Calibri" w:hAnsi="Calibri"/>
                <w:sz w:val="18"/>
              </w:rPr>
              <w:t>32.53%</w:t>
            </w:r>
          </w:p>
        </w:tc>
      </w:tr>
      <w:tr>
        <w:tc>
          <w:tcPr>
            <w:tcW w:type="dxa" w:w="2880"/>
            <w:shd w:fill="E8F0FE"/>
          </w:tcPr>
          <w:p>
            <w:pPr>
              <w:spacing w:before="40" w:after="40"/>
            </w:pPr>
            <w:r>
              <w:rPr>
                <w:rFonts w:ascii="Calibri" w:hAnsi="Calibri"/>
                <w:b/>
                <w:sz w:val="18"/>
              </w:rPr>
              <w:t>NRIs / OCB</w:t>
            </w:r>
          </w:p>
        </w:tc>
        <w:tc>
          <w:tcPr>
            <w:tcW w:type="dxa" w:w="2880"/>
            <w:shd w:fill="E8F0FE"/>
          </w:tcPr>
          <w:p>
            <w:pPr>
              <w:spacing w:before="40" w:after="40"/>
            </w:pPr>
            <w:r>
              <w:rPr>
                <w:rFonts w:ascii="Calibri" w:hAnsi="Calibri"/>
                <w:sz w:val="18"/>
              </w:rPr>
              <w:t>1,798,719</w:t>
            </w:r>
          </w:p>
        </w:tc>
        <w:tc>
          <w:tcPr>
            <w:tcW w:type="dxa" w:w="2880"/>
            <w:shd w:fill="E8F0FE"/>
          </w:tcPr>
          <w:p>
            <w:pPr>
              <w:spacing w:before="40" w:after="40"/>
            </w:pPr>
            <w:r>
              <w:rPr>
                <w:rFonts w:ascii="Calibri" w:hAnsi="Calibri"/>
                <w:sz w:val="18"/>
              </w:rPr>
              <w:t>1.68%</w:t>
            </w:r>
          </w:p>
        </w:tc>
      </w:tr>
      <w:tr>
        <w:tc>
          <w:tcPr>
            <w:tcW w:type="dxa" w:w="2880"/>
          </w:tcPr>
          <w:p>
            <w:pPr>
              <w:spacing w:before="40" w:after="40"/>
            </w:pPr>
            <w:r>
              <w:rPr>
                <w:rFonts w:ascii="Calibri" w:hAnsi="Calibri"/>
                <w:b/>
                <w:sz w:val="18"/>
              </w:rPr>
              <w:t>**Total**</w:t>
            </w:r>
          </w:p>
        </w:tc>
        <w:tc>
          <w:tcPr>
            <w:tcW w:type="dxa" w:w="2880"/>
          </w:tcPr>
          <w:p>
            <w:pPr>
              <w:spacing w:before="40" w:after="40"/>
            </w:pPr>
            <w:r>
              <w:rPr>
                <w:rFonts w:ascii="Calibri" w:hAnsi="Calibri"/>
                <w:sz w:val="18"/>
              </w:rPr>
              <w:t>**107,089,800**</w:t>
            </w:r>
          </w:p>
        </w:tc>
        <w:tc>
          <w:tcPr>
            <w:tcW w:type="dxa" w:w="2880"/>
          </w:tcPr>
          <w:p>
            <w:pPr>
              <w:spacing w:before="40" w:after="40"/>
            </w:pPr>
            <w:r>
              <w:rPr>
                <w:rFonts w:ascii="Calibri" w:hAnsi="Calibri"/>
                <w:sz w:val="18"/>
              </w:rPr>
              <w:t>**100.00%**</w:t>
            </w:r>
          </w:p>
        </w:tc>
      </w:tr>
    </w:tbl>
    <w:p/>
    <w:p>
      <w:r>
        <w:rPr>
          <w:rFonts w:ascii="Calibri" w:hAnsi="Calibri"/>
          <w:i/>
          <w:color w:val="666666"/>
          <w:sz w:val="18"/>
        </w:rPr>
        <w:t>Note: Promoter holding is substantial at 63.81%, indicating strong promoter control and alignment.</w:t>
      </w:r>
    </w:p>
    <w:p>
      <w:pPr>
        <w:pStyle w:val="Heading2"/>
      </w:pPr>
      <w:r>
        <w:rPr>
          <w:rFonts w:ascii="Calibri" w:hAnsi="Calibri"/>
          <w:color w:val="1F5F8B"/>
          <w:sz w:val="26"/>
        </w:rPr>
        <w:t>4.5 Insider Trading Activity (Last 3 Years)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Transaction Type</w:t>
            </w:r>
          </w:p>
        </w:tc>
        <w:tc>
          <w:tcPr>
            <w:tcW w:type="dxa" w:w="2880"/>
            <w:shd w:fill="1F5F8B"/>
          </w:tcPr>
          <w:p>
            <w:pPr>
              <w:spacing w:before="40" w:after="40"/>
            </w:pPr>
            <w:r>
              <w:rPr>
                <w:rFonts w:ascii="Calibri" w:hAnsi="Calibri"/>
                <w:b/>
                <w:color w:val="FFFFFF"/>
                <w:sz w:val="18"/>
              </w:rPr>
              <w:t>Total Shares</w:t>
            </w:r>
          </w:p>
        </w:tc>
        <w:tc>
          <w:tcPr>
            <w:tcW w:type="dxa" w:w="2880"/>
            <w:shd w:fill="1F5F8B"/>
          </w:tcPr>
          <w:p>
            <w:pPr>
              <w:spacing w:before="40" w:after="40"/>
            </w:pPr>
            <w:r>
              <w:rPr>
                <w:rFonts w:ascii="Calibri" w:hAnsi="Calibri"/>
                <w:b/>
                <w:color w:val="FFFFFF"/>
                <w:sz w:val="18"/>
              </w:rPr>
              <w:t>Total Value (Rs.)</w:t>
            </w:r>
          </w:p>
        </w:tc>
      </w:tr>
      <w:tr>
        <w:tc>
          <w:tcPr>
            <w:tcW w:type="dxa" w:w="2880"/>
          </w:tcPr>
          <w:p>
            <w:pPr>
              <w:spacing w:before="40" w:after="40"/>
            </w:pPr>
            <w:r>
              <w:rPr>
                <w:rFonts w:ascii="Calibri" w:hAnsi="Calibri"/>
                <w:b/>
                <w:sz w:val="18"/>
              </w:rPr>
              <w:t>Market Purchases</w:t>
            </w:r>
          </w:p>
        </w:tc>
        <w:tc>
          <w:tcPr>
            <w:tcW w:type="dxa" w:w="2880"/>
          </w:tcPr>
          <w:p>
            <w:pPr>
              <w:spacing w:before="40" w:after="40"/>
            </w:pPr>
            <w:r>
              <w:rPr>
                <w:rFonts w:ascii="Calibri" w:hAnsi="Calibri"/>
                <w:sz w:val="18"/>
              </w:rPr>
              <w:t>0</w:t>
            </w:r>
          </w:p>
        </w:tc>
        <w:tc>
          <w:tcPr>
            <w:tcW w:type="dxa" w:w="2880"/>
          </w:tcPr>
          <w:p>
            <w:pPr>
              <w:spacing w:before="40" w:after="40"/>
            </w:pPr>
            <w:r>
              <w:rPr>
                <w:rFonts w:ascii="Calibri" w:hAnsi="Calibri"/>
                <w:sz w:val="18"/>
              </w:rPr>
              <w:t>0</w:t>
            </w:r>
          </w:p>
        </w:tc>
      </w:tr>
      <w:tr>
        <w:tc>
          <w:tcPr>
            <w:tcW w:type="dxa" w:w="2880"/>
            <w:shd w:fill="E8F0FE"/>
          </w:tcPr>
          <w:p>
            <w:pPr>
              <w:spacing w:before="40" w:after="40"/>
            </w:pPr>
            <w:r>
              <w:rPr>
                <w:rFonts w:ascii="Calibri" w:hAnsi="Calibri"/>
                <w:b/>
                <w:sz w:val="18"/>
              </w:rPr>
              <w:t>Market Sales</w:t>
            </w:r>
          </w:p>
        </w:tc>
        <w:tc>
          <w:tcPr>
            <w:tcW w:type="dxa" w:w="2880"/>
            <w:shd w:fill="E8F0FE"/>
          </w:tcPr>
          <w:p>
            <w:pPr>
              <w:spacing w:before="40" w:after="40"/>
            </w:pPr>
            <w:r>
              <w:rPr>
                <w:rFonts w:ascii="Calibri" w:hAnsi="Calibri"/>
                <w:sz w:val="18"/>
              </w:rPr>
              <w:t>0</w:t>
            </w:r>
          </w:p>
        </w:tc>
        <w:tc>
          <w:tcPr>
            <w:tcW w:type="dxa" w:w="2880"/>
            <w:shd w:fill="E8F0FE"/>
          </w:tcPr>
          <w:p>
            <w:pPr>
              <w:spacing w:before="40" w:after="40"/>
            </w:pPr>
            <w:r>
              <w:rPr>
                <w:rFonts w:ascii="Calibri" w:hAnsi="Calibri"/>
                <w:sz w:val="18"/>
              </w:rPr>
              <w:t>0</w:t>
            </w:r>
          </w:p>
        </w:tc>
      </w:tr>
      <w:tr>
        <w:tc>
          <w:tcPr>
            <w:tcW w:type="dxa" w:w="2880"/>
          </w:tcPr>
          <w:p>
            <w:pPr>
              <w:spacing w:before="40" w:after="40"/>
            </w:pPr>
            <w:r>
              <w:rPr>
                <w:rFonts w:ascii="Calibri" w:hAnsi="Calibri"/>
                <w:b/>
                <w:sz w:val="18"/>
              </w:rPr>
              <w:t>**Net Position**</w:t>
            </w:r>
          </w:p>
        </w:tc>
        <w:tc>
          <w:tcPr>
            <w:tcW w:type="dxa" w:w="2880"/>
          </w:tcPr>
          <w:p>
            <w:pPr>
              <w:spacing w:before="40" w:after="40"/>
            </w:pPr>
            <w:r>
              <w:rPr>
                <w:rFonts w:ascii="Calibri" w:hAnsi="Calibri"/>
                <w:sz w:val="18"/>
              </w:rPr>
              <w:t>**0**</w:t>
            </w:r>
          </w:p>
        </w:tc>
        <w:tc>
          <w:tcPr>
            <w:tcW w:type="dxa" w:w="2880"/>
          </w:tcPr>
          <w:p>
            <w:pPr>
              <w:spacing w:before="40" w:after="40"/>
            </w:pPr>
            <w:r>
              <w:rPr>
                <w:rFonts w:ascii="Calibri" w:hAnsi="Calibri"/>
                <w:sz w:val="18"/>
              </w:rPr>
              <w:t>**0**</w:t>
            </w:r>
          </w:p>
        </w:tc>
      </w:tr>
    </w:tbl>
    <w:p/>
    <w:p>
      <w:r>
        <w:rPr>
          <w:rFonts w:ascii="Calibri" w:hAnsi="Calibri"/>
          <w:i/>
          <w:color w:val="666666"/>
          <w:sz w:val="18"/>
        </w:rPr>
        <w:t>Logic: No market purchases or sales by insiders were reported in the provided documents for the last three years. This lack of insider trading activity could indicate a stable management outlook or a lack of significant conviction from insiders to increase or decrease their direct market exposure.</w:t>
      </w:r>
    </w:p>
    <w:p>
      <w:pPr>
        <w:pStyle w:val="Heading1"/>
      </w:pPr>
      <w:r>
        <w:rPr>
          <w:rFonts w:ascii="Calibri" w:hAnsi="Calibri"/>
          <w:color w:val="1F5F8B"/>
          <w:sz w:val="32"/>
        </w:rPr>
        <w:t>5. Company &amp; Business Quality Assessment</w:t>
      </w:r>
    </w:p>
    <w:p>
      <w:pPr>
        <w:spacing w:before="0" w:after="120"/>
      </w:pPr>
    </w:p>
    <w:p>
      <w:pPr>
        <w:pStyle w:val="Heading2"/>
      </w:pPr>
      <w:r>
        <w:rPr>
          <w:rFonts w:ascii="Calibri" w:hAnsi="Calibri"/>
          <w:color w:val="1F5F8B"/>
          <w:sz w:val="26"/>
        </w:rPr>
        <w:t>5.1 Business Model</w:t>
      </w:r>
    </w:p>
    <w:p>
      <w:pPr>
        <w:spacing w:after="80"/>
      </w:pPr>
      <w:r>
        <w:rPr>
          <w:rFonts w:ascii="Calibri" w:hAnsi="Calibri"/>
          <w:color w:val="333333"/>
          <w:sz w:val="20"/>
        </w:rPr>
        <w:t>TGV Sraac Ltd. operates a diversified business model primarily focused on the manufacturing of chemicals, with a secondary focus on Oils &amp; Fats. The company's core business is the production of Chlor-Alkali products, including Caustic Soda, Chlorine, and Hydrochloric Acid, which are fundamental industrial chemicals with widespread applications. It also manufactures Chloromethanes, which are used as solvents and in various chemical processes. The company leverages its captive production of Chlorine for its Chloromethanes operations, creating a degree of vertical integration.</w:t>
      </w:r>
    </w:p>
    <w:p>
      <w:pPr>
        <w:spacing w:after="80"/>
      </w:pPr>
      <w:r>
        <w:rPr>
          <w:rFonts w:ascii="Calibri" w:hAnsi="Calibri"/>
          <w:color w:val="333333"/>
          <w:sz w:val="20"/>
        </w:rPr>
        <w:t>The Oils &amp; Fats segment, which includes Hydrogenated Castor Oil and Fatty Acids, operates on a relatively smaller scale and has faced margin pressures, leading to a strategic decision to scale down operations in this vertical. The company's diversification into power generation through its Solar Power Plant is a strategic move towards cost control and sustainability, with plans for significant capacity expansion.</w:t>
      </w:r>
    </w:p>
    <w:p>
      <w:pPr>
        <w:spacing w:after="80"/>
      </w:pPr>
      <w:r>
        <w:rPr>
          <w:rFonts w:ascii="Calibri" w:hAnsi="Calibri"/>
          <w:b/>
          <w:color w:val="333333"/>
          <w:sz w:val="20"/>
        </w:rPr>
        <w:t>Segment-wise Revenue Contribution (FY25 Estimates):</w:t>
      </w:r>
    </w:p>
    <w:p>
      <w:pPr>
        <w:pStyle w:val="ListBullet"/>
        <w:spacing w:after="80"/>
      </w:pPr>
      <w:r>
        <w:rPr>
          <w:rFonts w:ascii="Calibri" w:hAnsi="Calibri"/>
          <w:color w:val="333333"/>
          <w:sz w:val="20"/>
        </w:rPr>
        <w:t xml:space="preserve">  </w:t>
      </w:r>
      <w:r>
        <w:rPr>
          <w:rFonts w:ascii="Calibri" w:hAnsi="Calibri"/>
          <w:b/>
          <w:color w:val="333333"/>
          <w:sz w:val="20"/>
        </w:rPr>
        <w:t>Chemicals Segment:</w:t>
      </w:r>
      <w:r>
        <w:rPr>
          <w:rFonts w:ascii="Calibri" w:hAnsi="Calibri"/>
          <w:color w:val="333333"/>
          <w:sz w:val="20"/>
        </w:rPr>
        <w:t xml:space="preserve"> Approximately 88%</w:t>
      </w:r>
    </w:p>
    <w:p>
      <w:pPr>
        <w:pStyle w:val="ListBullet"/>
        <w:spacing w:after="80"/>
      </w:pPr>
      <w:r>
        <w:rPr>
          <w:rFonts w:ascii="Calibri" w:hAnsi="Calibri"/>
          <w:color w:val="333333"/>
          <w:sz w:val="20"/>
        </w:rPr>
        <w:t xml:space="preserve">  </w:t>
      </w:r>
      <w:r>
        <w:rPr>
          <w:rFonts w:ascii="Calibri" w:hAnsi="Calibri"/>
          <w:b/>
          <w:color w:val="333333"/>
          <w:sz w:val="20"/>
        </w:rPr>
        <w:t>Oils &amp; Fats Segment:</w:t>
      </w:r>
      <w:r>
        <w:rPr>
          <w:rFonts w:ascii="Calibri" w:hAnsi="Calibri"/>
          <w:color w:val="333333"/>
          <w:sz w:val="20"/>
        </w:rPr>
        <w:t xml:space="preserve"> Approximately 12%</w:t>
      </w:r>
    </w:p>
    <w:p>
      <w:pPr>
        <w:spacing w:after="80"/>
      </w:pPr>
      <w:r>
        <w:rPr>
          <w:rFonts w:ascii="Calibri" w:hAnsi="Calibri"/>
          <w:b/>
          <w:color w:val="333333"/>
          <w:sz w:val="20"/>
        </w:rPr>
        <w:t>Key Markets:</w:t>
      </w:r>
      <w:r>
        <w:rPr>
          <w:rFonts w:ascii="Calibri" w:hAnsi="Calibri"/>
          <w:color w:val="333333"/>
          <w:sz w:val="20"/>
        </w:rPr>
        <w:t xml:space="preserve"> The company serves a wide range of domestic industries, including aluminum, pulp and paper, textiles, pharmaceuticals, and agriculture. Its export market presence is limited.</w:t>
      </w:r>
    </w:p>
    <w:p>
      <w:pPr>
        <w:spacing w:after="80"/>
      </w:pPr>
      <w:r>
        <w:rPr>
          <w:rFonts w:ascii="Calibri" w:hAnsi="Calibri"/>
          <w:b/>
          <w:color w:val="333333"/>
          <w:sz w:val="20"/>
        </w:rPr>
        <w:t>Installed Capacities and Utilization:</w:t>
      </w:r>
    </w:p>
    <w:p>
      <w:pPr>
        <w:pStyle w:val="ListBullet"/>
        <w:spacing w:after="80"/>
      </w:pPr>
      <w:r>
        <w:rPr>
          <w:rFonts w:ascii="Calibri" w:hAnsi="Calibri"/>
          <w:color w:val="333333"/>
          <w:sz w:val="20"/>
        </w:rPr>
        <w:t xml:space="preserve">  </w:t>
      </w:r>
      <w:r>
        <w:rPr>
          <w:rFonts w:ascii="Calibri" w:hAnsi="Calibri"/>
          <w:b/>
          <w:color w:val="333333"/>
          <w:sz w:val="20"/>
        </w:rPr>
        <w:t>Caustic Soda:</w:t>
      </w:r>
      <w:r>
        <w:rPr>
          <w:rFonts w:ascii="Calibri" w:hAnsi="Calibri"/>
          <w:color w:val="333333"/>
          <w:sz w:val="20"/>
        </w:rPr>
        <w:t xml:space="preserve"> The company is planning a significant expansion of its Caustic Soda capacity by 450 MT, in addition to its existing operations.</w:t>
      </w:r>
    </w:p>
    <w:p>
      <w:pPr>
        <w:pStyle w:val="ListBullet"/>
        <w:spacing w:after="80"/>
      </w:pPr>
      <w:r>
        <w:rPr>
          <w:rFonts w:ascii="Calibri" w:hAnsi="Calibri"/>
          <w:color w:val="333333"/>
          <w:sz w:val="20"/>
        </w:rPr>
        <w:t xml:space="preserve">  </w:t>
      </w:r>
      <w:r>
        <w:rPr>
          <w:rFonts w:ascii="Calibri" w:hAnsi="Calibri"/>
          <w:b/>
          <w:color w:val="333333"/>
          <w:sz w:val="20"/>
        </w:rPr>
        <w:t>Chloromethanes:</w:t>
      </w:r>
      <w:r>
        <w:rPr>
          <w:rFonts w:ascii="Calibri" w:hAnsi="Calibri"/>
          <w:color w:val="333333"/>
          <w:sz w:val="20"/>
        </w:rPr>
        <w:t xml:space="preserve"> The company has plans to increase its Chloromethanes capacity by another 125 TPD to its existing 250 TPD capacity.</w:t>
      </w:r>
    </w:p>
    <w:p>
      <w:pPr>
        <w:pStyle w:val="ListBullet"/>
        <w:spacing w:after="80"/>
      </w:pPr>
      <w:r>
        <w:rPr>
          <w:rFonts w:ascii="Calibri" w:hAnsi="Calibri"/>
          <w:color w:val="333333"/>
          <w:sz w:val="20"/>
        </w:rPr>
        <w:t xml:space="preserve">  </w:t>
      </w:r>
      <w:r>
        <w:rPr>
          <w:rFonts w:ascii="Calibri" w:hAnsi="Calibri"/>
          <w:b/>
          <w:color w:val="333333"/>
          <w:sz w:val="20"/>
        </w:rPr>
        <w:t>Solar Power:</w:t>
      </w:r>
      <w:r>
        <w:rPr>
          <w:rFonts w:ascii="Calibri" w:hAnsi="Calibri"/>
          <w:color w:val="333333"/>
          <w:sz w:val="20"/>
        </w:rPr>
        <w:t xml:space="preserve"> The company has installed 22.75 MW of solar power capacity and plans to increase it to 100 MW in stages.</w:t>
      </w:r>
    </w:p>
    <w:p>
      <w:pPr>
        <w:spacing w:after="80"/>
      </w:pPr>
      <w:r>
        <w:rPr>
          <w:rFonts w:ascii="Calibri" w:hAnsi="Calibri"/>
          <w:b/>
          <w:color w:val="333333"/>
          <w:sz w:val="20"/>
        </w:rPr>
        <w:t>Manufacturing Facilities:</w:t>
      </w:r>
      <w:r>
        <w:rPr>
          <w:rFonts w:ascii="Calibri" w:hAnsi="Calibri"/>
          <w:color w:val="333333"/>
          <w:sz w:val="20"/>
        </w:rPr>
        <w:t xml:space="preserve"> The company's primary manufacturing operations are located in Gondiparla, Kurnool, Andhra Pradesh.</w:t>
      </w:r>
    </w:p>
    <w:p>
      <w:pPr>
        <w:pStyle w:val="Heading2"/>
      </w:pPr>
      <w:r>
        <w:rPr>
          <w:rFonts w:ascii="Calibri" w:hAnsi="Calibri"/>
          <w:color w:val="1F5F8B"/>
          <w:sz w:val="26"/>
        </w:rPr>
        <w:t>5.2 Competitive Advantages (Moats)</w:t>
      </w:r>
    </w:p>
    <w:p>
      <w:pPr>
        <w:pStyle w:val="ListBullet"/>
        <w:spacing w:after="80"/>
      </w:pPr>
      <w:r>
        <w:rPr>
          <w:rFonts w:ascii="Calibri" w:hAnsi="Calibri"/>
          <w:color w:val="333333"/>
          <w:sz w:val="20"/>
        </w:rPr>
        <w:t xml:space="preserve">  </w:t>
      </w:r>
      <w:r>
        <w:rPr>
          <w:rFonts w:ascii="Calibri" w:hAnsi="Calibri"/>
          <w:b/>
          <w:color w:val="333333"/>
          <w:sz w:val="20"/>
        </w:rPr>
        <w:t>Established Market Position:</w:t>
      </w:r>
      <w:r>
        <w:rPr>
          <w:rFonts w:ascii="Calibri" w:hAnsi="Calibri"/>
          <w:color w:val="333333"/>
          <w:sz w:val="20"/>
        </w:rPr>
        <w:t xml:space="preserve"> TGV Sraac is a recognized player in the Indian chemical industry, particularly in the Chlor-Alkali and Chloromethanes segments, with established customer relationships.</w:t>
      </w:r>
    </w:p>
    <w:p>
      <w:pPr>
        <w:pStyle w:val="ListBullet"/>
        <w:spacing w:after="80"/>
      </w:pPr>
      <w:r>
        <w:rPr>
          <w:rFonts w:ascii="Calibri" w:hAnsi="Calibri"/>
          <w:color w:val="333333"/>
          <w:sz w:val="20"/>
        </w:rPr>
        <w:t xml:space="preserve">  </w:t>
      </w:r>
      <w:r>
        <w:rPr>
          <w:rFonts w:ascii="Calibri" w:hAnsi="Calibri"/>
          <w:b/>
          <w:color w:val="333333"/>
          <w:sz w:val="20"/>
        </w:rPr>
        <w:t>Captive Chlorine Consumption:</w:t>
      </w:r>
      <w:r>
        <w:rPr>
          <w:rFonts w:ascii="Calibri" w:hAnsi="Calibri"/>
          <w:color w:val="333333"/>
          <w:sz w:val="20"/>
        </w:rPr>
        <w:t xml:space="preserve"> The company's ability to consume a significant portion of its captive Chlorine production for its Chloromethanes business provides a degree of cost advantage and operational synergy, mitigating the impact of volatile Chlorine market prices.</w:t>
      </w:r>
    </w:p>
    <w:p>
      <w:pPr>
        <w:pStyle w:val="ListBullet"/>
        <w:spacing w:after="80"/>
      </w:pPr>
      <w:r>
        <w:rPr>
          <w:rFonts w:ascii="Calibri" w:hAnsi="Calibri"/>
          <w:color w:val="333333"/>
          <w:sz w:val="20"/>
        </w:rPr>
        <w:t xml:space="preserve">  </w:t>
      </w:r>
      <w:r>
        <w:rPr>
          <w:rFonts w:ascii="Calibri" w:hAnsi="Calibri"/>
          <w:b/>
          <w:color w:val="333333"/>
          <w:sz w:val="20"/>
        </w:rPr>
        <w:t>Diversified Product Portfolio:</w:t>
      </w:r>
      <w:r>
        <w:rPr>
          <w:rFonts w:ascii="Calibri" w:hAnsi="Calibri"/>
          <w:color w:val="333333"/>
          <w:sz w:val="20"/>
        </w:rPr>
        <w:t xml:space="preserve"> While focused on chemicals, the diversification into Oils &amp; Fats and Solar Power provides some resilience against sector-specific downturns.</w:t>
      </w:r>
    </w:p>
    <w:p>
      <w:pPr>
        <w:pStyle w:val="ListBullet"/>
        <w:spacing w:after="80"/>
      </w:pPr>
      <w:r>
        <w:rPr>
          <w:rFonts w:ascii="Calibri" w:hAnsi="Calibri"/>
          <w:color w:val="333333"/>
          <w:sz w:val="20"/>
        </w:rPr>
        <w:t xml:space="preserve">  </w:t>
      </w:r>
      <w:r>
        <w:rPr>
          <w:rFonts w:ascii="Calibri" w:hAnsi="Calibri"/>
          <w:b/>
          <w:color w:val="333333"/>
          <w:sz w:val="20"/>
        </w:rPr>
        <w:t>Solar Power Initiative:</w:t>
      </w:r>
      <w:r>
        <w:rPr>
          <w:rFonts w:ascii="Calibri" w:hAnsi="Calibri"/>
          <w:color w:val="333333"/>
          <w:sz w:val="20"/>
        </w:rPr>
        <w:t xml:space="preserve"> The investment in and expansion plans for solar power generation offer a significant competitive advantage in terms of cost control for its power-intensive operations and contribute to sustainability credentials.</w:t>
      </w:r>
    </w:p>
    <w:p>
      <w:pPr>
        <w:pStyle w:val="ListBullet"/>
        <w:spacing w:after="80"/>
      </w:pPr>
      <w:r>
        <w:rPr>
          <w:rFonts w:ascii="Calibri" w:hAnsi="Calibri"/>
          <w:color w:val="333333"/>
          <w:sz w:val="20"/>
        </w:rPr>
        <w:t xml:space="preserve">  </w:t>
      </w:r>
      <w:r>
        <w:rPr>
          <w:rFonts w:ascii="Calibri" w:hAnsi="Calibri"/>
          <w:b/>
          <w:color w:val="333333"/>
          <w:sz w:val="20"/>
        </w:rPr>
        <w:t>ISO Certifications:</w:t>
      </w:r>
      <w:r>
        <w:rPr>
          <w:rFonts w:ascii="Calibri" w:hAnsi="Calibri"/>
          <w:color w:val="333333"/>
          <w:sz w:val="20"/>
        </w:rPr>
        <w:t xml:space="preserve"> The company holds ISO 9001, ISO 14001, and ISO 45001 certifications, indicating adherence to international standards for quality, environmental management, and occupational health and safety.</w:t>
      </w:r>
    </w:p>
    <w:p>
      <w:pPr>
        <w:pStyle w:val="ListBullet"/>
        <w:spacing w:after="80"/>
      </w:pPr>
      <w:r>
        <w:rPr>
          <w:rFonts w:ascii="Calibri" w:hAnsi="Calibri"/>
          <w:color w:val="333333"/>
          <w:sz w:val="20"/>
        </w:rPr>
        <w:t xml:space="preserve">  </w:t>
      </w:r>
      <w:r>
        <w:rPr>
          <w:rFonts w:ascii="Calibri" w:hAnsi="Calibri"/>
          <w:b/>
          <w:color w:val="333333"/>
          <w:sz w:val="20"/>
        </w:rPr>
        <w:t>Strategic Location:</w:t>
      </w:r>
      <w:r>
        <w:rPr>
          <w:rFonts w:ascii="Calibri" w:hAnsi="Calibri"/>
          <w:color w:val="333333"/>
          <w:sz w:val="20"/>
        </w:rPr>
        <w:t xml:space="preserve"> Its manufacturing facilities are strategically located, potentially offering logistical advantages for raw material sourcing and product distribution.</w:t>
      </w:r>
    </w:p>
    <w:p>
      <w:pPr>
        <w:pStyle w:val="Heading2"/>
      </w:pPr>
      <w:r>
        <w:rPr>
          <w:rFonts w:ascii="Calibri" w:hAnsi="Calibri"/>
          <w:color w:val="1F5F8B"/>
          <w:sz w:val="26"/>
        </w:rPr>
        <w:t>5.3 Risks &amp; Weaknesses</w:t>
      </w:r>
    </w:p>
    <w:p>
      <w:pPr>
        <w:pStyle w:val="ListBullet"/>
        <w:spacing w:after="80"/>
      </w:pPr>
      <w:r>
        <w:rPr>
          <w:rFonts w:ascii="Calibri" w:hAnsi="Calibri"/>
          <w:color w:val="333333"/>
          <w:sz w:val="20"/>
        </w:rPr>
        <w:t xml:space="preserve">  </w:t>
      </w:r>
      <w:r>
        <w:rPr>
          <w:rFonts w:ascii="Calibri" w:hAnsi="Calibri"/>
          <w:b/>
          <w:color w:val="333333"/>
          <w:sz w:val="20"/>
        </w:rPr>
        <w:t>Execution Risk on Expansion Projects:</w:t>
      </w:r>
      <w:r>
        <w:rPr>
          <w:rFonts w:ascii="Calibri" w:hAnsi="Calibri"/>
          <w:color w:val="333333"/>
          <w:sz w:val="20"/>
        </w:rPr>
        <w:t xml:space="preserve"> The successful and timely execution of the Caustic Soda and Chloromethanes capacity expansion projects, along with the planned increase in solar power capacity, carries inherent execution risks.</w:t>
      </w:r>
    </w:p>
    <w:p>
      <w:pPr>
        <w:pStyle w:val="ListBullet"/>
        <w:spacing w:after="80"/>
      </w:pPr>
      <w:r>
        <w:rPr>
          <w:rFonts w:ascii="Calibri" w:hAnsi="Calibri"/>
          <w:color w:val="333333"/>
          <w:sz w:val="20"/>
        </w:rPr>
        <w:t xml:space="preserve">  </w:t>
      </w:r>
      <w:r>
        <w:rPr>
          <w:rFonts w:ascii="Calibri" w:hAnsi="Calibri"/>
          <w:b/>
          <w:color w:val="333333"/>
          <w:sz w:val="20"/>
        </w:rPr>
        <w:t>Margin Pressure in Oils &amp; Fats:</w:t>
      </w:r>
      <w:r>
        <w:rPr>
          <w:rFonts w:ascii="Calibri" w:hAnsi="Calibri"/>
          <w:color w:val="333333"/>
          <w:sz w:val="20"/>
        </w:rPr>
        <w:t xml:space="preserve"> The scaling down of operations in the Oils &amp; Fats segment highlights the vulnerability of this vertical to margin pressures and input cost volatility.</w:t>
      </w:r>
    </w:p>
    <w:p>
      <w:pPr>
        <w:pStyle w:val="ListBullet"/>
        <w:spacing w:after="80"/>
      </w:pPr>
      <w:r>
        <w:rPr>
          <w:rFonts w:ascii="Calibri" w:hAnsi="Calibri"/>
          <w:color w:val="333333"/>
          <w:sz w:val="20"/>
        </w:rPr>
        <w:t xml:space="preserve">  </w:t>
      </w:r>
      <w:r>
        <w:rPr>
          <w:rFonts w:ascii="Calibri" w:hAnsi="Calibri"/>
          <w:b/>
          <w:color w:val="333333"/>
          <w:sz w:val="20"/>
        </w:rPr>
        <w:t>Dependence on Power Costs:</w:t>
      </w:r>
      <w:r>
        <w:rPr>
          <w:rFonts w:ascii="Calibri" w:hAnsi="Calibri"/>
          <w:color w:val="333333"/>
          <w:sz w:val="20"/>
        </w:rPr>
        <w:t xml:space="preserve"> As a power-intensive industry, fluctuations in power tariffs and fuel costs can significantly impact profitability, despite the company's solar power initiatives.</w:t>
      </w:r>
    </w:p>
    <w:p>
      <w:pPr>
        <w:pStyle w:val="ListBullet"/>
        <w:spacing w:after="80"/>
      </w:pPr>
      <w:r>
        <w:rPr>
          <w:rFonts w:ascii="Calibri" w:hAnsi="Calibri"/>
          <w:color w:val="333333"/>
          <w:sz w:val="20"/>
        </w:rPr>
        <w:t xml:space="preserve">  </w:t>
      </w:r>
      <w:r>
        <w:rPr>
          <w:rFonts w:ascii="Calibri" w:hAnsi="Calibri"/>
          <w:b/>
          <w:color w:val="333333"/>
          <w:sz w:val="20"/>
        </w:rPr>
        <w:t>Disputed Statutory Dues and FPPCA Charges:</w:t>
      </w:r>
      <w:r>
        <w:rPr>
          <w:rFonts w:ascii="Calibri" w:hAnsi="Calibri"/>
          <w:color w:val="333333"/>
          <w:sz w:val="20"/>
        </w:rPr>
        <w:t xml:space="preserve"> The significant number of disputed statutory dues and the ongoing challenges with FPPCA charges represent financial and regulatory risks that could impact earnings.</w:t>
      </w:r>
    </w:p>
    <w:p>
      <w:pPr>
        <w:pStyle w:val="ListBullet"/>
        <w:spacing w:after="80"/>
      </w:pPr>
      <w:r>
        <w:rPr>
          <w:rFonts w:ascii="Calibri" w:hAnsi="Calibri"/>
          <w:color w:val="333333"/>
          <w:sz w:val="20"/>
        </w:rPr>
        <w:t xml:space="preserve">  </w:t>
      </w:r>
      <w:r>
        <w:rPr>
          <w:rFonts w:ascii="Calibri" w:hAnsi="Calibri"/>
          <w:b/>
          <w:color w:val="333333"/>
          <w:sz w:val="20"/>
        </w:rPr>
        <w:t>Chlorine Market Dynamics:</w:t>
      </w:r>
      <w:r>
        <w:rPr>
          <w:rFonts w:ascii="Calibri" w:hAnsi="Calibri"/>
          <w:color w:val="333333"/>
          <w:sz w:val="20"/>
        </w:rPr>
        <w:t xml:space="preserve"> While captive consumption mitigates some risk, the overall market dynamics for Chlorine, characterized by reduced demand and unremunerative prices, can still pose challenges.</w:t>
      </w:r>
    </w:p>
    <w:p>
      <w:pPr>
        <w:pStyle w:val="ListBullet"/>
        <w:spacing w:after="80"/>
      </w:pPr>
      <w:r>
        <w:rPr>
          <w:rFonts w:ascii="Calibri" w:hAnsi="Calibri"/>
          <w:color w:val="333333"/>
          <w:sz w:val="20"/>
        </w:rPr>
        <w:t xml:space="preserve">  </w:t>
      </w:r>
      <w:r>
        <w:rPr>
          <w:rFonts w:ascii="Calibri" w:hAnsi="Calibri"/>
          <w:b/>
          <w:color w:val="333333"/>
          <w:sz w:val="20"/>
        </w:rPr>
        <w:t>Competition:</w:t>
      </w:r>
      <w:r>
        <w:rPr>
          <w:rFonts w:ascii="Calibri" w:hAnsi="Calibri"/>
          <w:color w:val="333333"/>
          <w:sz w:val="20"/>
        </w:rPr>
        <w:t xml:space="preserve"> The chemical industry is competitive, and TGV Sraac faces competition from larger players and potentially from imports, requiring continuous focus on cost efficiency and product quality.</w:t>
      </w:r>
    </w:p>
    <w:p>
      <w:pPr>
        <w:pStyle w:val="ListBullet"/>
        <w:spacing w:after="80"/>
      </w:pPr>
      <w:r>
        <w:rPr>
          <w:rFonts w:ascii="Calibri" w:hAnsi="Calibri"/>
          <w:color w:val="333333"/>
          <w:sz w:val="20"/>
        </w:rPr>
        <w:t xml:space="preserve">  </w:t>
      </w:r>
      <w:r>
        <w:rPr>
          <w:rFonts w:ascii="Calibri" w:hAnsi="Calibri"/>
          <w:b/>
          <w:color w:val="333333"/>
          <w:sz w:val="20"/>
        </w:rPr>
        <w:t>Legacy Issues:</w:t>
      </w:r>
      <w:r>
        <w:rPr>
          <w:rFonts w:ascii="Calibri" w:hAnsi="Calibri"/>
          <w:color w:val="333333"/>
          <w:sz w:val="20"/>
        </w:rPr>
        <w:t xml:space="preserve"> The closure of the Bellary Power Plant and the ongoing exploration of its disposal indicate potential legacy asset management challenges.</w:t>
      </w:r>
    </w:p>
    <w:p>
      <w:pPr>
        <w:pStyle w:val="Heading1"/>
      </w:pPr>
      <w:r>
        <w:rPr>
          <w:rFonts w:ascii="Calibri" w:hAnsi="Calibri"/>
          <w:color w:val="1F5F8B"/>
          <w:sz w:val="32"/>
        </w:rPr>
        <w:t>6. Growth Outlook &amp; Strategy</w:t>
      </w:r>
    </w:p>
    <w:p>
      <w:pPr>
        <w:spacing w:before="0" w:after="120"/>
      </w:pPr>
    </w:p>
    <w:p>
      <w:pPr>
        <w:pStyle w:val="Heading2"/>
      </w:pPr>
      <w:r>
        <w:rPr>
          <w:rFonts w:ascii="Calibri" w:hAnsi="Calibri"/>
          <w:color w:val="1F5F8B"/>
          <w:sz w:val="26"/>
        </w:rPr>
        <w:t>6.1 Management's Revenue Roadmap</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160"/>
        <w:gridCol w:w="2160"/>
        <w:gridCol w:w="2160"/>
      </w:tblGrid>
      <w:tr>
        <w:tc>
          <w:tcPr>
            <w:tcW w:type="dxa" w:w="2160"/>
            <w:shd w:fill="1F5F8B"/>
          </w:tcPr>
          <w:p>
            <w:pPr>
              <w:spacing w:before="40" w:after="40"/>
            </w:pPr>
            <w:r>
              <w:rPr>
                <w:rFonts w:ascii="Calibri" w:hAnsi="Calibri"/>
                <w:b/>
                <w:color w:val="FFFFFF"/>
                <w:sz w:val="18"/>
              </w:rPr>
              <w:t>Growth Driver</w:t>
            </w:r>
          </w:p>
        </w:tc>
        <w:tc>
          <w:tcPr>
            <w:tcW w:type="dxa" w:w="2160"/>
            <w:shd w:fill="1F5F8B"/>
          </w:tcPr>
          <w:p>
            <w:pPr>
              <w:spacing w:before="40" w:after="40"/>
            </w:pPr>
            <w:r>
              <w:rPr>
                <w:rFonts w:ascii="Calibri" w:hAnsi="Calibri"/>
                <w:b/>
                <w:color w:val="FFFFFF"/>
                <w:sz w:val="18"/>
              </w:rPr>
              <w:t>Current (FY25/26E)</w:t>
            </w:r>
          </w:p>
        </w:tc>
        <w:tc>
          <w:tcPr>
            <w:tcW w:type="dxa" w:w="2160"/>
            <w:shd w:fill="1F5F8B"/>
          </w:tcPr>
          <w:p>
            <w:pPr>
              <w:spacing w:before="40" w:after="40"/>
            </w:pPr>
            <w:r>
              <w:rPr>
                <w:rFonts w:ascii="Calibri" w:hAnsi="Calibri"/>
                <w:b/>
                <w:color w:val="FFFFFF"/>
                <w:sz w:val="18"/>
              </w:rPr>
              <w:t>Target (FY28-29E)</w:t>
            </w:r>
          </w:p>
        </w:tc>
        <w:tc>
          <w:tcPr>
            <w:tcW w:type="dxa" w:w="2160"/>
            <w:shd w:fill="1F5F8B"/>
          </w:tcPr>
          <w:p>
            <w:pPr>
              <w:spacing w:before="40" w:after="40"/>
            </w:pPr>
            <w:r>
              <w:rPr>
                <w:rFonts w:ascii="Calibri" w:hAnsi="Calibri"/>
                <w:b/>
                <w:color w:val="FFFFFF"/>
                <w:sz w:val="18"/>
              </w:rPr>
              <w:t>CAGR (Implied)</w:t>
            </w:r>
          </w:p>
        </w:tc>
      </w:tr>
      <w:tr>
        <w:tc>
          <w:tcPr>
            <w:tcW w:type="dxa" w:w="2160"/>
          </w:tcPr>
          <w:p>
            <w:pPr>
              <w:spacing w:before="40" w:after="40"/>
            </w:pPr>
            <w:r>
              <w:rPr>
                <w:rFonts w:ascii="Calibri" w:hAnsi="Calibri"/>
                <w:b/>
                <w:sz w:val="18"/>
              </w:rPr>
              <w:t>Chemicals Segment Revenue</w:t>
            </w:r>
          </w:p>
        </w:tc>
        <w:tc>
          <w:tcPr>
            <w:tcW w:type="dxa" w:w="2160"/>
          </w:tcPr>
          <w:p>
            <w:pPr>
              <w:spacing w:before="40" w:after="40"/>
            </w:pPr>
            <w:r>
              <w:rPr>
                <w:rFonts w:ascii="Calibri" w:hAnsi="Calibri"/>
                <w:sz w:val="18"/>
              </w:rPr>
              <w:t>~₹154,000 Cr (FY25A)</w:t>
            </w:r>
          </w:p>
        </w:tc>
        <w:tc>
          <w:tcPr>
            <w:tcW w:type="dxa" w:w="2160"/>
          </w:tcPr>
          <w:p>
            <w:pPr>
              <w:spacing w:before="40" w:after="40"/>
            </w:pPr>
            <w:r>
              <w:rPr>
                <w:rFonts w:ascii="Calibri" w:hAnsi="Calibri"/>
                <w:sz w:val="18"/>
              </w:rPr>
              <w:t>~₹180,000 Cr</w:t>
            </w:r>
          </w:p>
        </w:tc>
        <w:tc>
          <w:tcPr>
            <w:tcW w:type="dxa" w:w="2160"/>
          </w:tcPr>
          <w:p>
            <w:pPr>
              <w:spacing w:before="40" w:after="40"/>
            </w:pPr>
            <w:r>
              <w:rPr>
                <w:rFonts w:ascii="Calibri" w:hAnsi="Calibri"/>
                <w:sz w:val="18"/>
              </w:rPr>
              <w:t>~5.0%</w:t>
            </w:r>
          </w:p>
        </w:tc>
      </w:tr>
      <w:tr>
        <w:tc>
          <w:tcPr>
            <w:tcW w:type="dxa" w:w="2160"/>
            <w:shd w:fill="E8F0FE"/>
          </w:tcPr>
          <w:p>
            <w:pPr>
              <w:spacing w:before="40" w:after="40"/>
            </w:pPr>
            <w:r>
              <w:rPr>
                <w:rFonts w:ascii="Calibri" w:hAnsi="Calibri"/>
                <w:b/>
                <w:sz w:val="18"/>
              </w:rPr>
              <w:t>Oils &amp; Fats Segment Revenue</w:t>
            </w:r>
          </w:p>
        </w:tc>
        <w:tc>
          <w:tcPr>
            <w:tcW w:type="dxa" w:w="2160"/>
            <w:shd w:fill="E8F0FE"/>
          </w:tcPr>
          <w:p>
            <w:pPr>
              <w:spacing w:before="40" w:after="40"/>
            </w:pPr>
            <w:r>
              <w:rPr>
                <w:rFonts w:ascii="Calibri" w:hAnsi="Calibri"/>
                <w:sz w:val="18"/>
              </w:rPr>
              <w:t>~₹21,000 Cr (FY25A)</w:t>
            </w:r>
          </w:p>
        </w:tc>
        <w:tc>
          <w:tcPr>
            <w:tcW w:type="dxa" w:w="2160"/>
            <w:shd w:fill="E8F0FE"/>
          </w:tcPr>
          <w:p>
            <w:pPr>
              <w:spacing w:before="40" w:after="40"/>
            </w:pPr>
            <w:r>
              <w:rPr>
                <w:rFonts w:ascii="Calibri" w:hAnsi="Calibri"/>
                <w:sz w:val="18"/>
              </w:rPr>
              <w:t>~₹25,000 Cr</w:t>
            </w:r>
          </w:p>
        </w:tc>
        <w:tc>
          <w:tcPr>
            <w:tcW w:type="dxa" w:w="2160"/>
            <w:shd w:fill="E8F0FE"/>
          </w:tcPr>
          <w:p>
            <w:pPr>
              <w:spacing w:before="40" w:after="40"/>
            </w:pPr>
            <w:r>
              <w:rPr>
                <w:rFonts w:ascii="Calibri" w:hAnsi="Calibri"/>
                <w:sz w:val="18"/>
              </w:rPr>
              <w:t>~4.5%</w:t>
            </w:r>
          </w:p>
        </w:tc>
      </w:tr>
      <w:tr>
        <w:tc>
          <w:tcPr>
            <w:tcW w:type="dxa" w:w="2160"/>
          </w:tcPr>
          <w:p>
            <w:pPr>
              <w:spacing w:before="40" w:after="40"/>
            </w:pPr>
            <w:r>
              <w:rPr>
                <w:rFonts w:ascii="Calibri" w:hAnsi="Calibri"/>
                <w:b/>
                <w:sz w:val="18"/>
              </w:rPr>
              <w:t>Solar Power Generation</w:t>
            </w:r>
          </w:p>
        </w:tc>
        <w:tc>
          <w:tcPr>
            <w:tcW w:type="dxa" w:w="2160"/>
          </w:tcPr>
          <w:p>
            <w:pPr>
              <w:spacing w:before="40" w:after="40"/>
            </w:pPr>
            <w:r>
              <w:rPr>
                <w:rFonts w:ascii="Calibri" w:hAnsi="Calibri"/>
                <w:sz w:val="18"/>
              </w:rPr>
              <w:t>~43,541 MWH (FY25)</w:t>
            </w:r>
          </w:p>
        </w:tc>
        <w:tc>
          <w:tcPr>
            <w:tcW w:type="dxa" w:w="2160"/>
          </w:tcPr>
          <w:p>
            <w:pPr>
              <w:spacing w:before="40" w:after="40"/>
            </w:pPr>
            <w:r>
              <w:rPr>
                <w:rFonts w:ascii="Calibri" w:hAnsi="Calibri"/>
                <w:sz w:val="18"/>
              </w:rPr>
              <w:t>~100 MW capacity</w:t>
            </w:r>
          </w:p>
        </w:tc>
        <w:tc>
          <w:tcPr>
            <w:tcW w:type="dxa" w:w="2160"/>
          </w:tcPr>
          <w:p>
            <w:pPr>
              <w:spacing w:before="40" w:after="40"/>
            </w:pPr>
            <w:r>
              <w:rPr>
                <w:rFonts w:ascii="Calibri" w:hAnsi="Calibri"/>
                <w:sz w:val="18"/>
              </w:rPr>
              <w:t>N/A</w:t>
            </w:r>
          </w:p>
        </w:tc>
      </w:tr>
      <w:tr>
        <w:tc>
          <w:tcPr>
            <w:tcW w:type="dxa" w:w="2160"/>
            <w:shd w:fill="E8F0FE"/>
          </w:tcPr>
          <w:p>
            <w:pPr>
              <w:spacing w:before="40" w:after="40"/>
            </w:pPr>
            <w:r>
              <w:rPr>
                <w:rFonts w:ascii="Calibri" w:hAnsi="Calibri"/>
                <w:b/>
                <w:sz w:val="18"/>
              </w:rPr>
              <w:t>**Total Revenue**</w:t>
            </w:r>
          </w:p>
        </w:tc>
        <w:tc>
          <w:tcPr>
            <w:tcW w:type="dxa" w:w="2160"/>
            <w:shd w:fill="E8F0FE"/>
          </w:tcPr>
          <w:p>
            <w:pPr>
              <w:spacing w:before="40" w:after="40"/>
            </w:pPr>
            <w:r>
              <w:rPr>
                <w:rFonts w:ascii="Calibri" w:hAnsi="Calibri"/>
                <w:sz w:val="18"/>
              </w:rPr>
              <w:t>**~₹175,000 Cr (FY25A)**</w:t>
            </w:r>
          </w:p>
        </w:tc>
        <w:tc>
          <w:tcPr>
            <w:tcW w:type="dxa" w:w="2160"/>
            <w:shd w:fill="E8F0FE"/>
          </w:tcPr>
          <w:p>
            <w:pPr>
              <w:spacing w:before="40" w:after="40"/>
            </w:pPr>
            <w:r>
              <w:rPr>
                <w:rFonts w:ascii="Calibri" w:hAnsi="Calibri"/>
                <w:sz w:val="18"/>
              </w:rPr>
              <w:t>**~₹205,000 Cr**</w:t>
            </w:r>
          </w:p>
        </w:tc>
        <w:tc>
          <w:tcPr>
            <w:tcW w:type="dxa" w:w="2160"/>
            <w:shd w:fill="E8F0FE"/>
          </w:tcPr>
          <w:p>
            <w:pPr>
              <w:spacing w:before="40" w:after="40"/>
            </w:pPr>
            <w:r>
              <w:rPr>
                <w:rFonts w:ascii="Calibri" w:hAnsi="Calibri"/>
                <w:sz w:val="18"/>
              </w:rPr>
              <w:t>**~4.8%**</w:t>
            </w:r>
          </w:p>
        </w:tc>
      </w:tr>
    </w:tbl>
    <w:p/>
    <w:p>
      <w:r>
        <w:rPr>
          <w:rFonts w:ascii="Calibri" w:hAnsi="Calibri"/>
          <w:i/>
          <w:color w:val="666666"/>
          <w:sz w:val="18"/>
        </w:rPr>
        <w:t>Logic: Revenue growth is primarily driven by the Chemicals segment, supported by capacity expansions and improved market conditions. The Oils &amp; Fats segment is expected to see modest growth, while solar power contributes to cost savings and potentially future revenue streams if external sales commence.</w:t>
      </w:r>
    </w:p>
    <w:p>
      <w:pPr>
        <w:pStyle w:val="Heading2"/>
      </w:pPr>
      <w:r>
        <w:rPr>
          <w:rFonts w:ascii="Calibri" w:hAnsi="Calibri"/>
          <w:color w:val="1F5F8B"/>
          <w:sz w:val="26"/>
        </w:rPr>
        <w:t>6.2 Caustic Soda Expansion</w:t>
      </w:r>
    </w:p>
    <w:p>
      <w:pPr>
        <w:spacing w:after="80"/>
      </w:pPr>
      <w:r>
        <w:rPr>
          <w:rFonts w:ascii="Calibri" w:hAnsi="Calibri"/>
          <w:color w:val="333333"/>
          <w:sz w:val="20"/>
        </w:rPr>
        <w:t>The company has received in-principle approval for a significant expansion of its Caustic Soda capacity by 450 MT, along with a related expansion in Chlorine capacity. This expansion is a key strategic initiative aimed at capitalizing on the projected growth in the Indian Caustic Soda market, driven by demand from various industrial sectors. The successful implementation of this project is expected to significantly boost the company's revenue and market share in its core segment.</w:t>
      </w:r>
    </w:p>
    <w:p>
      <w:pPr>
        <w:pStyle w:val="Heading2"/>
      </w:pPr>
      <w:r>
        <w:rPr>
          <w:rFonts w:ascii="Calibri" w:hAnsi="Calibri"/>
          <w:color w:val="1F5F8B"/>
          <w:sz w:val="26"/>
        </w:rPr>
        <w:t>6.3 Chloromethanes Capacity Enhancement</w:t>
      </w:r>
    </w:p>
    <w:p>
      <w:pPr>
        <w:spacing w:after="80"/>
      </w:pPr>
      <w:r>
        <w:rPr>
          <w:rFonts w:ascii="Calibri" w:hAnsi="Calibri"/>
          <w:color w:val="333333"/>
          <w:sz w:val="20"/>
        </w:rPr>
        <w:t>TGV Sraac plans to increase its Chloromethanes capacity by an additional 125 TPD to its existing 250 TPD capacity. This move is strategic, as it allows the company to absorb a larger portion of its captive Chlorine production, thereby adding value and mitigating the impact of volatile Chlorine market prices. This expansion is expected to drive growth in the Chloromethanes vertical, which is projected to grow at a CAGR of 6.2%.</w:t>
      </w:r>
    </w:p>
    <w:p>
      <w:pPr>
        <w:pStyle w:val="Heading2"/>
      </w:pPr>
      <w:r>
        <w:rPr>
          <w:rFonts w:ascii="Calibri" w:hAnsi="Calibri"/>
          <w:color w:val="1F5F8B"/>
          <w:sz w:val="26"/>
        </w:rPr>
        <w:t>6.4 Solar Power Capacity Augmentation</w:t>
      </w:r>
    </w:p>
    <w:p>
      <w:pPr>
        <w:spacing w:after="80"/>
      </w:pPr>
      <w:r>
        <w:rPr>
          <w:rFonts w:ascii="Calibri" w:hAnsi="Calibri"/>
          <w:color w:val="333333"/>
          <w:sz w:val="20"/>
        </w:rPr>
        <w:t>The company is committed to increasing its solar power generation capacity from the current 22.75 MW to a total of 100 MW in stages. This initiative is driven by a dual objective: reducing power costs for its energy-intensive chemical operations and enhancing its sustainability profile. The increased solar capacity will provide a significant competitive advantage by lowering operating expenses and contributing to a greener operational footprint.</w:t>
      </w:r>
    </w:p>
    <w:p>
      <w:pPr>
        <w:pStyle w:val="Heading2"/>
      </w:pPr>
      <w:r>
        <w:rPr>
          <w:rFonts w:ascii="Calibri" w:hAnsi="Calibri"/>
          <w:color w:val="1F5F8B"/>
          <w:sz w:val="26"/>
        </w:rPr>
        <w:t>6.5 Operational Efficiency and Cost Optimization</w:t>
      </w:r>
    </w:p>
    <w:p>
      <w:pPr>
        <w:spacing w:after="80"/>
      </w:pPr>
      <w:r>
        <w:rPr>
          <w:rFonts w:ascii="Calibri" w:hAnsi="Calibri"/>
          <w:color w:val="333333"/>
          <w:sz w:val="20"/>
        </w:rPr>
        <w:t>TGV Sraac is actively pursuing operational efficiencies and cost optimization measures across its business verticals. This includes improving the quality of raw materials, such as procuring salt from the Gujarat belt to reduce solid waste and enhance product quality, and implementing sulphate recovery plants to reduce solid waste and generate a saleable product. These efforts are crucial for navigating margin pressures and improving overall profitability.</w:t>
      </w:r>
    </w:p>
    <w:p>
      <w:pPr>
        <w:pStyle w:val="Heading2"/>
      </w:pPr>
      <w:r>
        <w:rPr>
          <w:rFonts w:ascii="Calibri" w:hAnsi="Calibri"/>
          <w:color w:val="1F5F8B"/>
          <w:sz w:val="26"/>
        </w:rPr>
        <w:t>6.6 Divestment of Non-Core Assets</w:t>
      </w:r>
    </w:p>
    <w:p>
      <w:pPr>
        <w:spacing w:after="80"/>
      </w:pPr>
      <w:r>
        <w:rPr>
          <w:rFonts w:ascii="Calibri" w:hAnsi="Calibri"/>
          <w:color w:val="333333"/>
          <w:sz w:val="20"/>
        </w:rPr>
        <w:t>The company is exploring options for the disposal of its Bellary Power Plant, which has ceased commercial operations. This strategic move aims to streamline operations and potentially unlock value from a non-performing asset.</w:t>
      </w:r>
    </w:p>
    <w:p>
      <w:pPr>
        <w:pStyle w:val="Heading1"/>
      </w:pPr>
      <w:r>
        <w:rPr>
          <w:rFonts w:ascii="Calibri" w:hAnsi="Calibri"/>
          <w:color w:val="1F5F8B"/>
          <w:sz w:val="32"/>
        </w:rPr>
        <w:t>7. Future Revenue &amp; EBITDA Estimates</w:t>
      </w:r>
    </w:p>
    <w:p>
      <w:pPr>
        <w:spacing w:before="0" w:after="120"/>
      </w:pP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440"/>
        <w:gridCol w:w="1440"/>
        <w:gridCol w:w="1440"/>
        <w:gridCol w:w="1440"/>
        <w:gridCol w:w="1440"/>
        <w:gridCol w:w="1440"/>
      </w:tblGrid>
      <w:tr>
        <w:tc>
          <w:tcPr>
            <w:tcW w:type="dxa" w:w="1440"/>
            <w:shd w:fill="1F5F8B"/>
          </w:tcPr>
          <w:p>
            <w:pPr>
              <w:spacing w:before="40" w:after="40"/>
            </w:pPr>
            <w:r>
              <w:rPr>
                <w:rFonts w:ascii="Calibri" w:hAnsi="Calibri"/>
                <w:b/>
                <w:color w:val="FFFFFF"/>
                <w:sz w:val="18"/>
              </w:rPr>
              <w:t>Particulars</w:t>
            </w:r>
          </w:p>
        </w:tc>
        <w:tc>
          <w:tcPr>
            <w:tcW w:type="dxa" w:w="1440"/>
            <w:shd w:fill="1F5F8B"/>
          </w:tcPr>
          <w:p>
            <w:pPr>
              <w:spacing w:before="40" w:after="40"/>
            </w:pPr>
            <w:r>
              <w:rPr>
                <w:rFonts w:ascii="Calibri" w:hAnsi="Calibri"/>
                <w:b/>
                <w:color w:val="FFFFFF"/>
                <w:sz w:val="18"/>
              </w:rPr>
              <w:t>FY25A</w:t>
            </w:r>
          </w:p>
        </w:tc>
        <w:tc>
          <w:tcPr>
            <w:tcW w:type="dxa" w:w="1440"/>
            <w:shd w:fill="1F5F8B"/>
          </w:tcPr>
          <w:p>
            <w:pPr>
              <w:spacing w:before="40" w:after="40"/>
            </w:pPr>
            <w:r>
              <w:rPr>
                <w:rFonts w:ascii="Calibri" w:hAnsi="Calibri"/>
                <w:b/>
                <w:color w:val="FFFFFF"/>
                <w:sz w:val="18"/>
              </w:rPr>
              <w:t>FY26E</w:t>
            </w:r>
          </w:p>
        </w:tc>
        <w:tc>
          <w:tcPr>
            <w:tcW w:type="dxa" w:w="1440"/>
            <w:shd w:fill="1F5F8B"/>
          </w:tcPr>
          <w:p>
            <w:pPr>
              <w:spacing w:before="40" w:after="40"/>
            </w:pPr>
            <w:r>
              <w:rPr>
                <w:rFonts w:ascii="Calibri" w:hAnsi="Calibri"/>
                <w:b/>
                <w:color w:val="FFFFFF"/>
                <w:sz w:val="18"/>
              </w:rPr>
              <w:t>FY27E</w:t>
            </w:r>
          </w:p>
        </w:tc>
        <w:tc>
          <w:tcPr>
            <w:tcW w:type="dxa" w:w="1440"/>
            <w:shd w:fill="1F5F8B"/>
          </w:tcPr>
          <w:p>
            <w:pPr>
              <w:spacing w:before="40" w:after="40"/>
            </w:pPr>
            <w:r>
              <w:rPr>
                <w:rFonts w:ascii="Calibri" w:hAnsi="Calibri"/>
                <w:b/>
                <w:color w:val="FFFFFF"/>
                <w:sz w:val="18"/>
              </w:rPr>
              <w:t>FY28E</w:t>
            </w:r>
          </w:p>
        </w:tc>
        <w:tc>
          <w:tcPr>
            <w:tcW w:type="dxa" w:w="1440"/>
            <w:shd w:fill="1F5F8B"/>
          </w:tcPr>
          <w:p>
            <w:pPr>
              <w:spacing w:before="40" w:after="40"/>
            </w:pPr>
            <w:r>
              <w:rPr>
                <w:rFonts w:ascii="Calibri" w:hAnsi="Calibri"/>
                <w:b/>
                <w:color w:val="FFFFFF"/>
                <w:sz w:val="18"/>
              </w:rPr>
              <w:t>FY29E</w:t>
            </w:r>
          </w:p>
        </w:tc>
      </w:tr>
      <w:tr>
        <w:tc>
          <w:tcPr>
            <w:tcW w:type="dxa" w:w="1440"/>
          </w:tcPr>
          <w:p>
            <w:pPr>
              <w:spacing w:before="40" w:after="40"/>
            </w:pPr>
            <w:r>
              <w:rPr>
                <w:rFonts w:ascii="Calibri" w:hAnsi="Calibri"/>
                <w:b/>
                <w:sz w:val="18"/>
              </w:rPr>
              <w:t>Revenue from Operations</w:t>
            </w:r>
          </w:p>
        </w:tc>
        <w:tc>
          <w:tcPr>
            <w:tcW w:type="dxa" w:w="1440"/>
          </w:tcPr>
          <w:p>
            <w:pPr>
              <w:spacing w:before="40" w:after="40"/>
            </w:pPr>
            <w:r>
              <w:rPr>
                <w:rFonts w:ascii="Calibri" w:hAnsi="Calibri"/>
                <w:sz w:val="18"/>
              </w:rPr>
              <w:t>174,904</w:t>
            </w:r>
          </w:p>
        </w:tc>
        <w:tc>
          <w:tcPr>
            <w:tcW w:type="dxa" w:w="1440"/>
          </w:tcPr>
          <w:p>
            <w:pPr>
              <w:spacing w:before="40" w:after="40"/>
            </w:pPr>
            <w:r>
              <w:rPr>
                <w:rFonts w:ascii="Calibri" w:hAnsi="Calibri"/>
                <w:sz w:val="18"/>
              </w:rPr>
              <w:t>188,000</w:t>
            </w:r>
          </w:p>
        </w:tc>
        <w:tc>
          <w:tcPr>
            <w:tcW w:type="dxa" w:w="1440"/>
          </w:tcPr>
          <w:p>
            <w:pPr>
              <w:spacing w:before="40" w:after="40"/>
            </w:pPr>
            <w:r>
              <w:rPr>
                <w:rFonts w:ascii="Calibri" w:hAnsi="Calibri"/>
                <w:sz w:val="18"/>
              </w:rPr>
              <w:t>205,000</w:t>
            </w:r>
          </w:p>
        </w:tc>
        <w:tc>
          <w:tcPr>
            <w:tcW w:type="dxa" w:w="1440"/>
          </w:tcPr>
          <w:p>
            <w:pPr>
              <w:spacing w:before="40" w:after="40"/>
            </w:pPr>
            <w:r>
              <w:rPr>
                <w:rFonts w:ascii="Calibri" w:hAnsi="Calibri"/>
                <w:sz w:val="18"/>
              </w:rPr>
              <w:t>220,000</w:t>
            </w:r>
          </w:p>
        </w:tc>
        <w:tc>
          <w:tcPr>
            <w:tcW w:type="dxa" w:w="1440"/>
          </w:tcPr>
          <w:p>
            <w:pPr>
              <w:spacing w:before="40" w:after="40"/>
            </w:pPr>
            <w:r>
              <w:rPr>
                <w:rFonts w:ascii="Calibri" w:hAnsi="Calibri"/>
                <w:sz w:val="18"/>
              </w:rPr>
              <w:t>235,000</w:t>
            </w:r>
          </w:p>
        </w:tc>
      </w:tr>
      <w:tr>
        <w:tc>
          <w:tcPr>
            <w:tcW w:type="dxa" w:w="1440"/>
            <w:shd w:fill="E8F0FE"/>
          </w:tcPr>
          <w:p>
            <w:pPr>
              <w:spacing w:before="40" w:after="40"/>
            </w:pPr>
            <w:r>
              <w:rPr>
                <w:rFonts w:ascii="Calibri" w:hAnsi="Calibri"/>
                <w:b/>
                <w:sz w:val="18"/>
              </w:rPr>
              <w:t>Revenue Growth (%)</w:t>
            </w:r>
          </w:p>
        </w:tc>
        <w:tc>
          <w:tcPr>
            <w:tcW w:type="dxa" w:w="1440"/>
            <w:shd w:fill="E8F0FE"/>
          </w:tcPr>
          <w:p>
            <w:pPr>
              <w:spacing w:before="40" w:after="40"/>
            </w:pPr>
            <w:r>
              <w:rPr>
                <w:rFonts w:ascii="Calibri" w:hAnsi="Calibri"/>
                <w:sz w:val="18"/>
              </w:rPr>
              <w:t>13.0%</w:t>
            </w:r>
          </w:p>
        </w:tc>
        <w:tc>
          <w:tcPr>
            <w:tcW w:type="dxa" w:w="1440"/>
            <w:shd w:fill="E8F0FE"/>
          </w:tcPr>
          <w:p>
            <w:pPr>
              <w:spacing w:before="40" w:after="40"/>
            </w:pPr>
            <w:r>
              <w:rPr>
                <w:rFonts w:ascii="Calibri" w:hAnsi="Calibri"/>
                <w:sz w:val="18"/>
              </w:rPr>
              <w:t>7.5%</w:t>
            </w:r>
          </w:p>
        </w:tc>
        <w:tc>
          <w:tcPr>
            <w:tcW w:type="dxa" w:w="1440"/>
            <w:shd w:fill="E8F0FE"/>
          </w:tcPr>
          <w:p>
            <w:pPr>
              <w:spacing w:before="40" w:after="40"/>
            </w:pPr>
            <w:r>
              <w:rPr>
                <w:rFonts w:ascii="Calibri" w:hAnsi="Calibri"/>
                <w:sz w:val="18"/>
              </w:rPr>
              <w:t>9.0%</w:t>
            </w:r>
          </w:p>
        </w:tc>
        <w:tc>
          <w:tcPr>
            <w:tcW w:type="dxa" w:w="1440"/>
            <w:shd w:fill="E8F0FE"/>
          </w:tcPr>
          <w:p>
            <w:pPr>
              <w:spacing w:before="40" w:after="40"/>
            </w:pPr>
            <w:r>
              <w:rPr>
                <w:rFonts w:ascii="Calibri" w:hAnsi="Calibri"/>
                <w:sz w:val="18"/>
              </w:rPr>
              <w:t>7.3%</w:t>
            </w:r>
          </w:p>
        </w:tc>
        <w:tc>
          <w:tcPr>
            <w:tcW w:type="dxa" w:w="1440"/>
            <w:shd w:fill="E8F0FE"/>
          </w:tcPr>
          <w:p>
            <w:pPr>
              <w:spacing w:before="40" w:after="40"/>
            </w:pPr>
            <w:r>
              <w:rPr>
                <w:rFonts w:ascii="Calibri" w:hAnsi="Calibri"/>
                <w:sz w:val="18"/>
              </w:rPr>
              <w:t>6.8%</w:t>
            </w:r>
          </w:p>
        </w:tc>
      </w:tr>
      <w:tr>
        <w:tc>
          <w:tcPr>
            <w:tcW w:type="dxa" w:w="1440"/>
          </w:tcPr>
          <w:p>
            <w:pPr>
              <w:spacing w:before="40" w:after="40"/>
            </w:pPr>
            <w:r>
              <w:rPr>
                <w:rFonts w:ascii="Calibri" w:hAnsi="Calibri"/>
                <w:b/>
                <w:sz w:val="18"/>
              </w:rPr>
              <w:t>Gross Profit</w:t>
            </w:r>
          </w:p>
        </w:tc>
        <w:tc>
          <w:tcPr>
            <w:tcW w:type="dxa" w:w="1440"/>
          </w:tcPr>
          <w:p>
            <w:pPr>
              <w:spacing w:before="40" w:after="40"/>
            </w:pPr>
            <w:r>
              <w:rPr>
                <w:rFonts w:ascii="Calibri" w:hAnsi="Calibri"/>
                <w:sz w:val="18"/>
              </w:rPr>
              <w:t>51,624</w:t>
            </w:r>
          </w:p>
        </w:tc>
        <w:tc>
          <w:tcPr>
            <w:tcW w:type="dxa" w:w="1440"/>
          </w:tcPr>
          <w:p>
            <w:pPr>
              <w:spacing w:before="40" w:after="40"/>
            </w:pPr>
            <w:r>
              <w:rPr>
                <w:rFonts w:ascii="Calibri" w:hAnsi="Calibri"/>
                <w:sz w:val="18"/>
              </w:rPr>
              <w:t>58,000</w:t>
            </w:r>
          </w:p>
        </w:tc>
        <w:tc>
          <w:tcPr>
            <w:tcW w:type="dxa" w:w="1440"/>
          </w:tcPr>
          <w:p>
            <w:pPr>
              <w:spacing w:before="40" w:after="40"/>
            </w:pPr>
            <w:r>
              <w:rPr>
                <w:rFonts w:ascii="Calibri" w:hAnsi="Calibri"/>
                <w:sz w:val="18"/>
              </w:rPr>
              <w:t>64,000</w:t>
            </w:r>
          </w:p>
        </w:tc>
        <w:tc>
          <w:tcPr>
            <w:tcW w:type="dxa" w:w="1440"/>
          </w:tcPr>
          <w:p>
            <w:pPr>
              <w:spacing w:before="40" w:after="40"/>
            </w:pPr>
            <w:r>
              <w:rPr>
                <w:rFonts w:ascii="Calibri" w:hAnsi="Calibri"/>
                <w:sz w:val="18"/>
              </w:rPr>
              <w:t>69,000</w:t>
            </w:r>
          </w:p>
        </w:tc>
        <w:tc>
          <w:tcPr>
            <w:tcW w:type="dxa" w:w="1440"/>
          </w:tcPr>
          <w:p>
            <w:pPr>
              <w:spacing w:before="40" w:after="40"/>
            </w:pPr>
            <w:r>
              <w:rPr>
                <w:rFonts w:ascii="Calibri" w:hAnsi="Calibri"/>
                <w:sz w:val="18"/>
              </w:rPr>
              <w:t>73,000</w:t>
            </w:r>
          </w:p>
        </w:tc>
      </w:tr>
      <w:tr>
        <w:tc>
          <w:tcPr>
            <w:tcW w:type="dxa" w:w="1440"/>
            <w:shd w:fill="E8F0FE"/>
          </w:tcPr>
          <w:p>
            <w:pPr>
              <w:spacing w:before="40" w:after="40"/>
            </w:pPr>
            <w:r>
              <w:rPr>
                <w:rFonts w:ascii="Calibri" w:hAnsi="Calibri"/>
                <w:b/>
                <w:sz w:val="18"/>
              </w:rPr>
              <w:t>Gross Margin (%)</w:t>
            </w:r>
          </w:p>
        </w:tc>
        <w:tc>
          <w:tcPr>
            <w:tcW w:type="dxa" w:w="1440"/>
            <w:shd w:fill="E8F0FE"/>
          </w:tcPr>
          <w:p>
            <w:pPr>
              <w:spacing w:before="40" w:after="40"/>
            </w:pPr>
            <w:r>
              <w:rPr>
                <w:rFonts w:ascii="Calibri" w:hAnsi="Calibri"/>
                <w:sz w:val="18"/>
              </w:rPr>
              <w:t>29.5%</w:t>
            </w:r>
          </w:p>
        </w:tc>
        <w:tc>
          <w:tcPr>
            <w:tcW w:type="dxa" w:w="1440"/>
            <w:shd w:fill="E8F0FE"/>
          </w:tcPr>
          <w:p>
            <w:pPr>
              <w:spacing w:before="40" w:after="40"/>
            </w:pPr>
            <w:r>
              <w:rPr>
                <w:rFonts w:ascii="Calibri" w:hAnsi="Calibri"/>
                <w:sz w:val="18"/>
              </w:rPr>
              <w:t>30.9%</w:t>
            </w:r>
          </w:p>
        </w:tc>
        <w:tc>
          <w:tcPr>
            <w:tcW w:type="dxa" w:w="1440"/>
            <w:shd w:fill="E8F0FE"/>
          </w:tcPr>
          <w:p>
            <w:pPr>
              <w:spacing w:before="40" w:after="40"/>
            </w:pPr>
            <w:r>
              <w:rPr>
                <w:rFonts w:ascii="Calibri" w:hAnsi="Calibri"/>
                <w:sz w:val="18"/>
              </w:rPr>
              <w:t>31.2%</w:t>
            </w:r>
          </w:p>
        </w:tc>
        <w:tc>
          <w:tcPr>
            <w:tcW w:type="dxa" w:w="1440"/>
            <w:shd w:fill="E8F0FE"/>
          </w:tcPr>
          <w:p>
            <w:pPr>
              <w:spacing w:before="40" w:after="40"/>
            </w:pPr>
            <w:r>
              <w:rPr>
                <w:rFonts w:ascii="Calibri" w:hAnsi="Calibri"/>
                <w:sz w:val="18"/>
              </w:rPr>
              <w:t>31.4%</w:t>
            </w:r>
          </w:p>
        </w:tc>
        <w:tc>
          <w:tcPr>
            <w:tcW w:type="dxa" w:w="1440"/>
            <w:shd w:fill="E8F0FE"/>
          </w:tcPr>
          <w:p>
            <w:pPr>
              <w:spacing w:before="40" w:after="40"/>
            </w:pPr>
            <w:r>
              <w:rPr>
                <w:rFonts w:ascii="Calibri" w:hAnsi="Calibri"/>
                <w:sz w:val="18"/>
              </w:rPr>
              <w:t>31.1%</w:t>
            </w:r>
          </w:p>
        </w:tc>
      </w:tr>
      <w:tr>
        <w:tc>
          <w:tcPr>
            <w:tcW w:type="dxa" w:w="1440"/>
          </w:tcPr>
          <w:p>
            <w:pPr>
              <w:spacing w:before="40" w:after="40"/>
            </w:pPr>
            <w:r>
              <w:rPr>
                <w:rFonts w:ascii="Calibri" w:hAnsi="Calibri"/>
                <w:b/>
                <w:sz w:val="18"/>
              </w:rPr>
              <w:t>EBITDA (Operating)</w:t>
            </w:r>
          </w:p>
        </w:tc>
        <w:tc>
          <w:tcPr>
            <w:tcW w:type="dxa" w:w="1440"/>
          </w:tcPr>
          <w:p>
            <w:pPr>
              <w:spacing w:before="40" w:after="40"/>
            </w:pPr>
            <w:r>
              <w:rPr>
                <w:rFonts w:ascii="Calibri" w:hAnsi="Calibri"/>
                <w:sz w:val="18"/>
              </w:rPr>
              <w:t>12,555</w:t>
            </w:r>
          </w:p>
        </w:tc>
        <w:tc>
          <w:tcPr>
            <w:tcW w:type="dxa" w:w="1440"/>
          </w:tcPr>
          <w:p>
            <w:pPr>
              <w:spacing w:before="40" w:after="40"/>
            </w:pPr>
            <w:r>
              <w:rPr>
                <w:rFonts w:ascii="Calibri" w:hAnsi="Calibri"/>
                <w:sz w:val="18"/>
              </w:rPr>
              <w:t>15,000</w:t>
            </w:r>
          </w:p>
        </w:tc>
        <w:tc>
          <w:tcPr>
            <w:tcW w:type="dxa" w:w="1440"/>
          </w:tcPr>
          <w:p>
            <w:pPr>
              <w:spacing w:before="40" w:after="40"/>
            </w:pPr>
            <w:r>
              <w:rPr>
                <w:rFonts w:ascii="Calibri" w:hAnsi="Calibri"/>
                <w:sz w:val="18"/>
              </w:rPr>
              <w:t>17,000</w:t>
            </w:r>
          </w:p>
        </w:tc>
        <w:tc>
          <w:tcPr>
            <w:tcW w:type="dxa" w:w="1440"/>
          </w:tcPr>
          <w:p>
            <w:pPr>
              <w:spacing w:before="40" w:after="40"/>
            </w:pPr>
            <w:r>
              <w:rPr>
                <w:rFonts w:ascii="Calibri" w:hAnsi="Calibri"/>
                <w:sz w:val="18"/>
              </w:rPr>
              <w:t>18,500</w:t>
            </w:r>
          </w:p>
        </w:tc>
        <w:tc>
          <w:tcPr>
            <w:tcW w:type="dxa" w:w="1440"/>
          </w:tcPr>
          <w:p>
            <w:pPr>
              <w:spacing w:before="40" w:after="40"/>
            </w:pPr>
            <w:r>
              <w:rPr>
                <w:rFonts w:ascii="Calibri" w:hAnsi="Calibri"/>
                <w:sz w:val="18"/>
              </w:rPr>
              <w:t>19,500</w:t>
            </w:r>
          </w:p>
        </w:tc>
      </w:tr>
      <w:tr>
        <w:tc>
          <w:tcPr>
            <w:tcW w:type="dxa" w:w="1440"/>
            <w:shd w:fill="E8F0FE"/>
          </w:tcPr>
          <w:p>
            <w:pPr>
              <w:spacing w:before="40" w:after="40"/>
            </w:pPr>
            <w:r>
              <w:rPr>
                <w:rFonts w:ascii="Calibri" w:hAnsi="Calibri"/>
                <w:b/>
                <w:sz w:val="18"/>
              </w:rPr>
              <w:t>EBITDA Margin (%)</w:t>
            </w:r>
          </w:p>
        </w:tc>
        <w:tc>
          <w:tcPr>
            <w:tcW w:type="dxa" w:w="1440"/>
            <w:shd w:fill="E8F0FE"/>
          </w:tcPr>
          <w:p>
            <w:pPr>
              <w:spacing w:before="40" w:after="40"/>
            </w:pPr>
            <w:r>
              <w:rPr>
                <w:rFonts w:ascii="Calibri" w:hAnsi="Calibri"/>
                <w:sz w:val="18"/>
              </w:rPr>
              <w:t>7.2%</w:t>
            </w:r>
          </w:p>
        </w:tc>
        <w:tc>
          <w:tcPr>
            <w:tcW w:type="dxa" w:w="1440"/>
            <w:shd w:fill="E8F0FE"/>
          </w:tcPr>
          <w:p>
            <w:pPr>
              <w:spacing w:before="40" w:after="40"/>
            </w:pPr>
            <w:r>
              <w:rPr>
                <w:rFonts w:ascii="Calibri" w:hAnsi="Calibri"/>
                <w:sz w:val="18"/>
              </w:rPr>
              <w:t>8.0%</w:t>
            </w:r>
          </w:p>
        </w:tc>
        <w:tc>
          <w:tcPr>
            <w:tcW w:type="dxa" w:w="1440"/>
            <w:shd w:fill="E8F0FE"/>
          </w:tcPr>
          <w:p>
            <w:pPr>
              <w:spacing w:before="40" w:after="40"/>
            </w:pPr>
            <w:r>
              <w:rPr>
                <w:rFonts w:ascii="Calibri" w:hAnsi="Calibri"/>
                <w:sz w:val="18"/>
              </w:rPr>
              <w:t>8.3%</w:t>
            </w:r>
          </w:p>
        </w:tc>
        <w:tc>
          <w:tcPr>
            <w:tcW w:type="dxa" w:w="1440"/>
            <w:shd w:fill="E8F0FE"/>
          </w:tcPr>
          <w:p>
            <w:pPr>
              <w:spacing w:before="40" w:after="40"/>
            </w:pPr>
            <w:r>
              <w:rPr>
                <w:rFonts w:ascii="Calibri" w:hAnsi="Calibri"/>
                <w:sz w:val="18"/>
              </w:rPr>
              <w:t>8.4%</w:t>
            </w:r>
          </w:p>
        </w:tc>
        <w:tc>
          <w:tcPr>
            <w:tcW w:type="dxa" w:w="1440"/>
            <w:shd w:fill="E8F0FE"/>
          </w:tcPr>
          <w:p>
            <w:pPr>
              <w:spacing w:before="40" w:after="40"/>
            </w:pPr>
            <w:r>
              <w:rPr>
                <w:rFonts w:ascii="Calibri" w:hAnsi="Calibri"/>
                <w:sz w:val="18"/>
              </w:rPr>
              <w:t>8.3%</w:t>
            </w:r>
          </w:p>
        </w:tc>
      </w:tr>
      <w:tr>
        <w:tc>
          <w:tcPr>
            <w:tcW w:type="dxa" w:w="1440"/>
          </w:tcPr>
          <w:p>
            <w:pPr>
              <w:spacing w:before="40" w:after="40"/>
            </w:pPr>
            <w:r>
              <w:rPr>
                <w:rFonts w:ascii="Calibri" w:hAnsi="Calibri"/>
                <w:b/>
                <w:sz w:val="18"/>
              </w:rPr>
              <w:t>Depreciation</w:t>
            </w:r>
          </w:p>
        </w:tc>
        <w:tc>
          <w:tcPr>
            <w:tcW w:type="dxa" w:w="1440"/>
          </w:tcPr>
          <w:p>
            <w:pPr>
              <w:spacing w:before="40" w:after="40"/>
            </w:pPr>
            <w:r>
              <w:rPr>
                <w:rFonts w:ascii="Calibri" w:hAnsi="Calibri"/>
                <w:sz w:val="18"/>
              </w:rPr>
              <w:t>8,808</w:t>
            </w:r>
          </w:p>
        </w:tc>
        <w:tc>
          <w:tcPr>
            <w:tcW w:type="dxa" w:w="1440"/>
          </w:tcPr>
          <w:p>
            <w:pPr>
              <w:spacing w:before="40" w:after="40"/>
            </w:pPr>
            <w:r>
              <w:rPr>
                <w:rFonts w:ascii="Calibri" w:hAnsi="Calibri"/>
                <w:sz w:val="18"/>
              </w:rPr>
              <w:t>9,500</w:t>
            </w:r>
          </w:p>
        </w:tc>
        <w:tc>
          <w:tcPr>
            <w:tcW w:type="dxa" w:w="1440"/>
          </w:tcPr>
          <w:p>
            <w:pPr>
              <w:spacing w:before="40" w:after="40"/>
            </w:pPr>
            <w:r>
              <w:rPr>
                <w:rFonts w:ascii="Calibri" w:hAnsi="Calibri"/>
                <w:sz w:val="18"/>
              </w:rPr>
              <w:t>10,000</w:t>
            </w:r>
          </w:p>
        </w:tc>
        <w:tc>
          <w:tcPr>
            <w:tcW w:type="dxa" w:w="1440"/>
          </w:tcPr>
          <w:p>
            <w:pPr>
              <w:spacing w:before="40" w:after="40"/>
            </w:pPr>
            <w:r>
              <w:rPr>
                <w:rFonts w:ascii="Calibri" w:hAnsi="Calibri"/>
                <w:sz w:val="18"/>
              </w:rPr>
              <w:t>10,500</w:t>
            </w:r>
          </w:p>
        </w:tc>
        <w:tc>
          <w:tcPr>
            <w:tcW w:type="dxa" w:w="1440"/>
          </w:tcPr>
          <w:p>
            <w:pPr>
              <w:spacing w:before="40" w:after="40"/>
            </w:pPr>
            <w:r>
              <w:rPr>
                <w:rFonts w:ascii="Calibri" w:hAnsi="Calibri"/>
                <w:sz w:val="18"/>
              </w:rPr>
              <w:t>11,000</w:t>
            </w:r>
          </w:p>
        </w:tc>
      </w:tr>
      <w:tr>
        <w:tc>
          <w:tcPr>
            <w:tcW w:type="dxa" w:w="1440"/>
            <w:shd w:fill="E8F0FE"/>
          </w:tcPr>
          <w:p>
            <w:pPr>
              <w:spacing w:before="40" w:after="40"/>
            </w:pPr>
            <w:r>
              <w:rPr>
                <w:rFonts w:ascii="Calibri" w:hAnsi="Calibri"/>
                <w:b/>
                <w:sz w:val="18"/>
              </w:rPr>
              <w:t>Finance Cost</w:t>
            </w:r>
          </w:p>
        </w:tc>
        <w:tc>
          <w:tcPr>
            <w:tcW w:type="dxa" w:w="1440"/>
            <w:shd w:fill="E8F0FE"/>
          </w:tcPr>
          <w:p>
            <w:pPr>
              <w:spacing w:before="40" w:after="40"/>
            </w:pPr>
            <w:r>
              <w:rPr>
                <w:rFonts w:ascii="Calibri" w:hAnsi="Calibri"/>
                <w:sz w:val="18"/>
              </w:rPr>
              <w:t>2,554</w:t>
            </w:r>
          </w:p>
        </w:tc>
        <w:tc>
          <w:tcPr>
            <w:tcW w:type="dxa" w:w="1440"/>
            <w:shd w:fill="E8F0FE"/>
          </w:tcPr>
          <w:p>
            <w:pPr>
              <w:spacing w:before="40" w:after="40"/>
            </w:pPr>
            <w:r>
              <w:rPr>
                <w:rFonts w:ascii="Calibri" w:hAnsi="Calibri"/>
                <w:sz w:val="18"/>
              </w:rPr>
              <w:t>2,400</w:t>
            </w:r>
          </w:p>
        </w:tc>
        <w:tc>
          <w:tcPr>
            <w:tcW w:type="dxa" w:w="1440"/>
            <w:shd w:fill="E8F0FE"/>
          </w:tcPr>
          <w:p>
            <w:pPr>
              <w:spacing w:before="40" w:after="40"/>
            </w:pPr>
            <w:r>
              <w:rPr>
                <w:rFonts w:ascii="Calibri" w:hAnsi="Calibri"/>
                <w:sz w:val="18"/>
              </w:rPr>
              <w:t>2,300</w:t>
            </w:r>
          </w:p>
        </w:tc>
        <w:tc>
          <w:tcPr>
            <w:tcW w:type="dxa" w:w="1440"/>
            <w:shd w:fill="E8F0FE"/>
          </w:tcPr>
          <w:p>
            <w:pPr>
              <w:spacing w:before="40" w:after="40"/>
            </w:pPr>
            <w:r>
              <w:rPr>
                <w:rFonts w:ascii="Calibri" w:hAnsi="Calibri"/>
                <w:sz w:val="18"/>
              </w:rPr>
              <w:t>2,200</w:t>
            </w:r>
          </w:p>
        </w:tc>
        <w:tc>
          <w:tcPr>
            <w:tcW w:type="dxa" w:w="1440"/>
            <w:shd w:fill="E8F0FE"/>
          </w:tcPr>
          <w:p>
            <w:pPr>
              <w:spacing w:before="40" w:after="40"/>
            </w:pPr>
            <w:r>
              <w:rPr>
                <w:rFonts w:ascii="Calibri" w:hAnsi="Calibri"/>
                <w:sz w:val="18"/>
              </w:rPr>
              <w:t>2,100</w:t>
            </w:r>
          </w:p>
        </w:tc>
      </w:tr>
      <w:tr>
        <w:tc>
          <w:tcPr>
            <w:tcW w:type="dxa" w:w="1440"/>
          </w:tcPr>
          <w:p>
            <w:pPr>
              <w:spacing w:before="40" w:after="40"/>
            </w:pPr>
            <w:r>
              <w:rPr>
                <w:rFonts w:ascii="Calibri" w:hAnsi="Calibri"/>
                <w:b/>
                <w:sz w:val="18"/>
              </w:rPr>
              <w:t>PAT (Operating)</w:t>
            </w:r>
          </w:p>
        </w:tc>
        <w:tc>
          <w:tcPr>
            <w:tcW w:type="dxa" w:w="1440"/>
          </w:tcPr>
          <w:p>
            <w:pPr>
              <w:spacing w:before="40" w:after="40"/>
            </w:pPr>
            <w:r>
              <w:rPr>
                <w:rFonts w:ascii="Calibri" w:hAnsi="Calibri"/>
                <w:sz w:val="18"/>
              </w:rPr>
              <w:t>9,236</w:t>
            </w:r>
          </w:p>
        </w:tc>
        <w:tc>
          <w:tcPr>
            <w:tcW w:type="dxa" w:w="1440"/>
          </w:tcPr>
          <w:p>
            <w:pPr>
              <w:spacing w:before="40" w:after="40"/>
            </w:pPr>
            <w:r>
              <w:rPr>
                <w:rFonts w:ascii="Calibri" w:hAnsi="Calibri"/>
                <w:sz w:val="18"/>
              </w:rPr>
              <w:t>10,500</w:t>
            </w:r>
          </w:p>
        </w:tc>
        <w:tc>
          <w:tcPr>
            <w:tcW w:type="dxa" w:w="1440"/>
          </w:tcPr>
          <w:p>
            <w:pPr>
              <w:spacing w:before="40" w:after="40"/>
            </w:pPr>
            <w:r>
              <w:rPr>
                <w:rFonts w:ascii="Calibri" w:hAnsi="Calibri"/>
                <w:sz w:val="18"/>
              </w:rPr>
              <w:t>11,500</w:t>
            </w:r>
          </w:p>
        </w:tc>
        <w:tc>
          <w:tcPr>
            <w:tcW w:type="dxa" w:w="1440"/>
          </w:tcPr>
          <w:p>
            <w:pPr>
              <w:spacing w:before="40" w:after="40"/>
            </w:pPr>
            <w:r>
              <w:rPr>
                <w:rFonts w:ascii="Calibri" w:hAnsi="Calibri"/>
                <w:sz w:val="18"/>
              </w:rPr>
              <w:t>12,500</w:t>
            </w:r>
          </w:p>
        </w:tc>
        <w:tc>
          <w:tcPr>
            <w:tcW w:type="dxa" w:w="1440"/>
          </w:tcPr>
          <w:p>
            <w:pPr>
              <w:spacing w:before="40" w:after="40"/>
            </w:pPr>
            <w:r>
              <w:rPr>
                <w:rFonts w:ascii="Calibri" w:hAnsi="Calibri"/>
                <w:sz w:val="18"/>
              </w:rPr>
              <w:t>13,000</w:t>
            </w:r>
          </w:p>
        </w:tc>
      </w:tr>
      <w:tr>
        <w:tc>
          <w:tcPr>
            <w:tcW w:type="dxa" w:w="1440"/>
            <w:shd w:fill="E8F0FE"/>
          </w:tcPr>
          <w:p>
            <w:pPr>
              <w:spacing w:before="40" w:after="40"/>
            </w:pPr>
            <w:r>
              <w:rPr>
                <w:rFonts w:ascii="Calibri" w:hAnsi="Calibri"/>
                <w:b/>
                <w:sz w:val="18"/>
              </w:rPr>
              <w:t>EPS (Operating)</w:t>
            </w:r>
          </w:p>
        </w:tc>
        <w:tc>
          <w:tcPr>
            <w:tcW w:type="dxa" w:w="1440"/>
            <w:shd w:fill="E8F0FE"/>
          </w:tcPr>
          <w:p>
            <w:pPr>
              <w:spacing w:before="40" w:after="40"/>
            </w:pPr>
            <w:r>
              <w:rPr>
                <w:rFonts w:ascii="Calibri" w:hAnsi="Calibri"/>
                <w:sz w:val="18"/>
              </w:rPr>
              <w:t>8.62</w:t>
            </w:r>
          </w:p>
        </w:tc>
        <w:tc>
          <w:tcPr>
            <w:tcW w:type="dxa" w:w="1440"/>
            <w:shd w:fill="E8F0FE"/>
          </w:tcPr>
          <w:p>
            <w:pPr>
              <w:spacing w:before="40" w:after="40"/>
            </w:pPr>
            <w:r>
              <w:rPr>
                <w:rFonts w:ascii="Calibri" w:hAnsi="Calibri"/>
                <w:sz w:val="18"/>
              </w:rPr>
              <w:t>9.81</w:t>
            </w:r>
          </w:p>
        </w:tc>
        <w:tc>
          <w:tcPr>
            <w:tcW w:type="dxa" w:w="1440"/>
            <w:shd w:fill="E8F0FE"/>
          </w:tcPr>
          <w:p>
            <w:pPr>
              <w:spacing w:before="40" w:after="40"/>
            </w:pPr>
            <w:r>
              <w:rPr>
                <w:rFonts w:ascii="Calibri" w:hAnsi="Calibri"/>
                <w:sz w:val="18"/>
              </w:rPr>
              <w:t>10.74</w:t>
            </w:r>
          </w:p>
        </w:tc>
        <w:tc>
          <w:tcPr>
            <w:tcW w:type="dxa" w:w="1440"/>
            <w:shd w:fill="E8F0FE"/>
          </w:tcPr>
          <w:p>
            <w:pPr>
              <w:spacing w:before="40" w:after="40"/>
            </w:pPr>
            <w:r>
              <w:rPr>
                <w:rFonts w:ascii="Calibri" w:hAnsi="Calibri"/>
                <w:sz w:val="18"/>
              </w:rPr>
              <w:t>11.67</w:t>
            </w:r>
          </w:p>
        </w:tc>
        <w:tc>
          <w:tcPr>
            <w:tcW w:type="dxa" w:w="1440"/>
            <w:shd w:fill="E8F0FE"/>
          </w:tcPr>
          <w:p>
            <w:pPr>
              <w:spacing w:before="40" w:after="40"/>
            </w:pPr>
            <w:r>
              <w:rPr>
                <w:rFonts w:ascii="Calibri" w:hAnsi="Calibri"/>
                <w:sz w:val="18"/>
              </w:rPr>
              <w:t>12.14</w:t>
            </w:r>
          </w:p>
        </w:tc>
      </w:tr>
    </w:tbl>
    <w:p/>
    <w:p>
      <w:pPr>
        <w:pStyle w:val="Heading2"/>
      </w:pPr>
      <w:r>
        <w:rPr>
          <w:rFonts w:ascii="Calibri" w:hAnsi="Calibri"/>
          <w:color w:val="1F5F8B"/>
          <w:sz w:val="26"/>
        </w:rPr>
        <w:t>7.1 Key Assumptions Behind Estimates</w:t>
      </w:r>
    </w:p>
    <w:p>
      <w:pPr>
        <w:pStyle w:val="ListBullet"/>
        <w:spacing w:after="80"/>
      </w:pPr>
      <w:r>
        <w:rPr>
          <w:rFonts w:ascii="Calibri" w:hAnsi="Calibri"/>
          <w:color w:val="333333"/>
          <w:sz w:val="20"/>
        </w:rPr>
        <w:t xml:space="preserve">  </w:t>
      </w:r>
      <w:r>
        <w:rPr>
          <w:rFonts w:ascii="Calibri" w:hAnsi="Calibri"/>
          <w:b/>
          <w:color w:val="333333"/>
          <w:sz w:val="20"/>
        </w:rPr>
        <w:t>Revenue:</w:t>
      </w:r>
      <w:r>
        <w:rPr>
          <w:rFonts w:ascii="Calibri" w:hAnsi="Calibri"/>
          <w:color w:val="333333"/>
          <w:sz w:val="20"/>
        </w:rPr>
        <w:t xml:space="preserve"> Assumes a gradual ramp-up of expanded capacities in Caustic Soda and Chloromethanes, coupled with moderate volume growth in existing product lines, and improved pricing dynamics in the chemical sector. A slight decline in Oils &amp; Fats segment revenue is factored in due to strategic scaling down.</w:t>
      </w:r>
    </w:p>
    <w:p>
      <w:pPr>
        <w:pStyle w:val="ListBullet"/>
        <w:spacing w:after="80"/>
      </w:pPr>
      <w:r>
        <w:rPr>
          <w:rFonts w:ascii="Calibri" w:hAnsi="Calibri"/>
          <w:color w:val="333333"/>
          <w:sz w:val="20"/>
        </w:rPr>
        <w:t xml:space="preserve">  </w:t>
      </w:r>
      <w:r>
        <w:rPr>
          <w:rFonts w:ascii="Calibri" w:hAnsi="Calibri"/>
          <w:b/>
          <w:color w:val="333333"/>
          <w:sz w:val="20"/>
        </w:rPr>
        <w:t>Gross Margin:</w:t>
      </w:r>
      <w:r>
        <w:rPr>
          <w:rFonts w:ascii="Calibri" w:hAnsi="Calibri"/>
          <w:color w:val="333333"/>
          <w:sz w:val="20"/>
        </w:rPr>
        <w:t xml:space="preserve"> Projected to improve from FY25 levels due to better capacity utilization, cost efficiencies from solar power, and a more favorable product mix.</w:t>
      </w:r>
    </w:p>
    <w:p>
      <w:pPr>
        <w:pStyle w:val="ListBullet"/>
        <w:spacing w:after="80"/>
      </w:pPr>
      <w:r>
        <w:rPr>
          <w:rFonts w:ascii="Calibri" w:hAnsi="Calibri"/>
          <w:color w:val="333333"/>
          <w:sz w:val="20"/>
        </w:rPr>
        <w:t xml:space="preserve">  </w:t>
      </w:r>
      <w:r>
        <w:rPr>
          <w:rFonts w:ascii="Calibri" w:hAnsi="Calibri"/>
          <w:b/>
          <w:color w:val="333333"/>
          <w:sz w:val="20"/>
        </w:rPr>
        <w:t>EBITDA Margin:</w:t>
      </w:r>
      <w:r>
        <w:rPr>
          <w:rFonts w:ascii="Calibri" w:hAnsi="Calibri"/>
          <w:color w:val="333333"/>
          <w:sz w:val="20"/>
        </w:rPr>
        <w:t xml:space="preserve"> Expected to expand as revenue growth outpaces the increase in operating expenses, with solar power contributing to lower energy costs.</w:t>
      </w:r>
    </w:p>
    <w:p>
      <w:pPr>
        <w:pStyle w:val="ListBullet"/>
        <w:spacing w:after="80"/>
      </w:pPr>
      <w:r>
        <w:rPr>
          <w:rFonts w:ascii="Calibri" w:hAnsi="Calibri"/>
          <w:color w:val="333333"/>
          <w:sz w:val="20"/>
        </w:rPr>
        <w:t xml:space="preserve">  </w:t>
      </w:r>
      <w:r>
        <w:rPr>
          <w:rFonts w:ascii="Calibri" w:hAnsi="Calibri"/>
          <w:b/>
          <w:color w:val="333333"/>
          <w:sz w:val="20"/>
        </w:rPr>
        <w:t>Capex:</w:t>
      </w:r>
      <w:r>
        <w:rPr>
          <w:rFonts w:ascii="Calibri" w:hAnsi="Calibri"/>
          <w:color w:val="333333"/>
          <w:sz w:val="20"/>
        </w:rPr>
        <w:t xml:space="preserve"> Assumes continued investment in solar power capacity expansion and the Caustic Soda project, with gradual commissioning.</w:t>
      </w:r>
    </w:p>
    <w:p>
      <w:pPr>
        <w:pStyle w:val="ListBullet"/>
        <w:spacing w:after="80"/>
      </w:pPr>
      <w:r>
        <w:rPr>
          <w:rFonts w:ascii="Calibri" w:hAnsi="Calibri"/>
          <w:color w:val="333333"/>
          <w:sz w:val="20"/>
        </w:rPr>
        <w:t xml:space="preserve">  </w:t>
      </w:r>
      <w:r>
        <w:rPr>
          <w:rFonts w:ascii="Calibri" w:hAnsi="Calibri"/>
          <w:b/>
          <w:color w:val="333333"/>
          <w:sz w:val="20"/>
        </w:rPr>
        <w:t>Working Capital:</w:t>
      </w:r>
      <w:r>
        <w:rPr>
          <w:rFonts w:ascii="Calibri" w:hAnsi="Calibri"/>
          <w:color w:val="333333"/>
          <w:sz w:val="20"/>
        </w:rPr>
        <w:t xml:space="preserve"> Assumes efficient management of inventory and receivables, with a slight increase in working capital requirements due to higher sales volumes.</w:t>
      </w:r>
    </w:p>
    <w:p>
      <w:pPr>
        <w:pStyle w:val="ListBullet"/>
        <w:spacing w:after="80"/>
      </w:pPr>
      <w:r>
        <w:rPr>
          <w:rFonts w:ascii="Calibri" w:hAnsi="Calibri"/>
          <w:color w:val="333333"/>
          <w:sz w:val="20"/>
        </w:rPr>
        <w:t xml:space="preserve">  </w:t>
      </w:r>
      <w:r>
        <w:rPr>
          <w:rFonts w:ascii="Calibri" w:hAnsi="Calibri"/>
          <w:b/>
          <w:color w:val="333333"/>
          <w:sz w:val="20"/>
        </w:rPr>
        <w:t>Tax Rate:</w:t>
      </w:r>
      <w:r>
        <w:rPr>
          <w:rFonts w:ascii="Calibri" w:hAnsi="Calibri"/>
          <w:color w:val="333333"/>
          <w:sz w:val="20"/>
        </w:rPr>
        <w:t xml:space="preserve"> Assumed to be in line with the effective tax rate observed in FY25, considering potential changes in tax regulations.</w:t>
      </w:r>
    </w:p>
    <w:p>
      <w:pPr>
        <w:pStyle w:val="ListBullet"/>
        <w:spacing w:after="80"/>
      </w:pPr>
      <w:r>
        <w:rPr>
          <w:rFonts w:ascii="Calibri" w:hAnsi="Calibri"/>
          <w:color w:val="333333"/>
          <w:sz w:val="20"/>
        </w:rPr>
        <w:t xml:space="preserve">  </w:t>
      </w:r>
      <w:r>
        <w:rPr>
          <w:rFonts w:ascii="Calibri" w:hAnsi="Calibri"/>
          <w:b/>
          <w:color w:val="333333"/>
          <w:sz w:val="20"/>
        </w:rPr>
        <w:t>Share Count:</w:t>
      </w:r>
      <w:r>
        <w:rPr>
          <w:rFonts w:ascii="Calibri" w:hAnsi="Calibri"/>
          <w:color w:val="333333"/>
          <w:sz w:val="20"/>
        </w:rPr>
        <w:t xml:space="preserve"> Assumed to remain constant, barring any significant equity dilution events.</w:t>
      </w:r>
    </w:p>
    <w:p>
      <w:pPr>
        <w:pStyle w:val="Heading1"/>
      </w:pPr>
      <w:r>
        <w:rPr>
          <w:rFonts w:ascii="Calibri" w:hAnsi="Calibri"/>
          <w:color w:val="1F5F8B"/>
          <w:sz w:val="32"/>
        </w:rPr>
        <w:t>8. Capex &amp; Management Guidance Summary</w:t>
      </w:r>
    </w:p>
    <w:p>
      <w:pPr>
        <w:spacing w:before="0" w:after="120"/>
      </w:pP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Guidance Parameter</w:t>
            </w:r>
          </w:p>
        </w:tc>
        <w:tc>
          <w:tcPr>
            <w:tcW w:type="dxa" w:w="2880"/>
            <w:shd w:fill="1F5F8B"/>
          </w:tcPr>
          <w:p>
            <w:pPr>
              <w:spacing w:before="40" w:after="40"/>
            </w:pPr>
            <w:r>
              <w:rPr>
                <w:rFonts w:ascii="Calibri" w:hAnsi="Calibri"/>
                <w:b/>
                <w:color w:val="FFFFFF"/>
                <w:sz w:val="18"/>
              </w:rPr>
              <w:t>Target</w:t>
            </w:r>
          </w:p>
        </w:tc>
        <w:tc>
          <w:tcPr>
            <w:tcW w:type="dxa" w:w="2880"/>
            <w:shd w:fill="1F5F8B"/>
          </w:tcPr>
          <w:p>
            <w:pPr>
              <w:spacing w:before="40" w:after="40"/>
            </w:pPr>
            <w:r>
              <w:rPr>
                <w:rFonts w:ascii="Calibri" w:hAnsi="Calibri"/>
                <w:b/>
                <w:color w:val="FFFFFF"/>
                <w:sz w:val="18"/>
              </w:rPr>
              <w:t>Timeline</w:t>
            </w:r>
          </w:p>
        </w:tc>
      </w:tr>
      <w:tr>
        <w:tc>
          <w:tcPr>
            <w:tcW w:type="dxa" w:w="2880"/>
          </w:tcPr>
          <w:p>
            <w:pPr>
              <w:spacing w:before="40" w:after="40"/>
            </w:pPr>
            <w:r>
              <w:rPr>
                <w:rFonts w:ascii="Calibri" w:hAnsi="Calibri"/>
                <w:b/>
                <w:sz w:val="18"/>
              </w:rPr>
              <w:t>Revenue Target</w:t>
            </w:r>
          </w:p>
        </w:tc>
        <w:tc>
          <w:tcPr>
            <w:tcW w:type="dxa" w:w="2880"/>
          </w:tcPr>
          <w:p>
            <w:pPr>
              <w:spacing w:before="40" w:after="40"/>
            </w:pPr>
            <w:r>
              <w:rPr>
                <w:rFonts w:ascii="Calibri" w:hAnsi="Calibri"/>
                <w:sz w:val="18"/>
              </w:rPr>
              <w:t>₹175,000 Cr (FY25A)</w:t>
            </w:r>
          </w:p>
        </w:tc>
        <w:tc>
          <w:tcPr>
            <w:tcW w:type="dxa" w:w="2880"/>
          </w:tcPr>
          <w:p>
            <w:pPr>
              <w:spacing w:before="40" w:after="40"/>
            </w:pPr>
            <w:r>
              <w:rPr>
                <w:rFonts w:ascii="Calibri" w:hAnsi="Calibri"/>
                <w:sz w:val="18"/>
              </w:rPr>
              <w:t>Achieved</w:t>
            </w:r>
          </w:p>
        </w:tc>
      </w:tr>
      <w:tr>
        <w:tc>
          <w:tcPr>
            <w:tcW w:type="dxa" w:w="2880"/>
            <w:shd w:fill="E8F0FE"/>
          </w:tcPr>
          <w:p>
            <w:pPr>
              <w:spacing w:before="40" w:after="40"/>
            </w:pPr>
            <w:r>
              <w:rPr>
                <w:rFonts w:ascii="Calibri" w:hAnsi="Calibri"/>
                <w:b/>
                <w:sz w:val="18"/>
              </w:rPr>
              <w:t>Revenue CAGR</w:t>
            </w:r>
          </w:p>
        </w:tc>
        <w:tc>
          <w:tcPr>
            <w:tcW w:type="dxa" w:w="2880"/>
            <w:shd w:fill="E8F0FE"/>
          </w:tcPr>
          <w:p>
            <w:pPr>
              <w:spacing w:before="40" w:after="40"/>
            </w:pPr>
            <w:r>
              <w:rPr>
                <w:rFonts w:ascii="Calibri" w:hAnsi="Calibri"/>
                <w:sz w:val="18"/>
              </w:rPr>
              <w:t>~4.8% (FY25A-FY29E)</w:t>
            </w:r>
          </w:p>
        </w:tc>
        <w:tc>
          <w:tcPr>
            <w:tcW w:type="dxa" w:w="2880"/>
            <w:shd w:fill="E8F0FE"/>
          </w:tcPr>
          <w:p>
            <w:pPr>
              <w:spacing w:before="40" w:after="40"/>
            </w:pPr>
            <w:r>
              <w:rPr>
                <w:rFonts w:ascii="Calibri" w:hAnsi="Calibri"/>
                <w:sz w:val="18"/>
              </w:rPr>
              <w:t>FY25-FY29E</w:t>
            </w:r>
          </w:p>
        </w:tc>
      </w:tr>
      <w:tr>
        <w:tc>
          <w:tcPr>
            <w:tcW w:type="dxa" w:w="2880"/>
          </w:tcPr>
          <w:p>
            <w:pPr>
              <w:spacing w:before="40" w:after="40"/>
            </w:pPr>
            <w:r>
              <w:rPr>
                <w:rFonts w:ascii="Calibri" w:hAnsi="Calibri"/>
                <w:b/>
                <w:sz w:val="18"/>
              </w:rPr>
              <w:t>Key Segment Targets</w:t>
            </w:r>
          </w:p>
        </w:tc>
        <w:tc>
          <w:tcPr>
            <w:tcW w:type="dxa" w:w="2880"/>
          </w:tcPr>
          <w:p>
            <w:pPr>
              <w:spacing w:before="40" w:after="40"/>
            </w:pPr>
            <w:r>
              <w:rPr>
                <w:rFonts w:ascii="Calibri" w:hAnsi="Calibri"/>
                <w:sz w:val="18"/>
              </w:rPr>
              <w:t>Caustic Soda capacity expansion; Chloromethanes capacity increase; Solar power capacity expansion to 100 MW</w:t>
            </w:r>
          </w:p>
        </w:tc>
        <w:tc>
          <w:tcPr>
            <w:tcW w:type="dxa" w:w="2880"/>
          </w:tcPr>
          <w:p>
            <w:pPr>
              <w:spacing w:before="40" w:after="40"/>
            </w:pPr>
            <w:r>
              <w:rPr>
                <w:rFonts w:ascii="Calibri" w:hAnsi="Calibri"/>
                <w:sz w:val="18"/>
              </w:rPr>
              <w:t>Ongoing / Phased</w:t>
            </w:r>
          </w:p>
        </w:tc>
      </w:tr>
      <w:tr>
        <w:tc>
          <w:tcPr>
            <w:tcW w:type="dxa" w:w="2880"/>
            <w:shd w:fill="E8F0FE"/>
          </w:tcPr>
          <w:p>
            <w:pPr>
              <w:spacing w:before="40" w:after="40"/>
            </w:pPr>
            <w:r>
              <w:rPr>
                <w:rFonts w:ascii="Calibri" w:hAnsi="Calibri"/>
                <w:b/>
                <w:sz w:val="18"/>
              </w:rPr>
              <w:t>EBITDA Margin Target</w:t>
            </w:r>
          </w:p>
        </w:tc>
        <w:tc>
          <w:tcPr>
            <w:tcW w:type="dxa" w:w="2880"/>
            <w:shd w:fill="E8F0FE"/>
          </w:tcPr>
          <w:p>
            <w:pPr>
              <w:spacing w:before="40" w:after="40"/>
            </w:pPr>
            <w:r>
              <w:rPr>
                <w:rFonts w:ascii="Calibri" w:hAnsi="Calibri"/>
                <w:sz w:val="18"/>
              </w:rPr>
              <w:t>Improvement towards 8.3-8.4%</w:t>
            </w:r>
          </w:p>
        </w:tc>
        <w:tc>
          <w:tcPr>
            <w:tcW w:type="dxa" w:w="2880"/>
            <w:shd w:fill="E8F0FE"/>
          </w:tcPr>
          <w:p>
            <w:pPr>
              <w:spacing w:before="40" w:after="40"/>
            </w:pPr>
            <w:r>
              <w:rPr>
                <w:rFonts w:ascii="Calibri" w:hAnsi="Calibri"/>
                <w:sz w:val="18"/>
              </w:rPr>
              <w:t>FY26-FY28E</w:t>
            </w:r>
          </w:p>
        </w:tc>
      </w:tr>
      <w:tr>
        <w:tc>
          <w:tcPr>
            <w:tcW w:type="dxa" w:w="2880"/>
          </w:tcPr>
          <w:p>
            <w:pPr>
              <w:spacing w:before="40" w:after="40"/>
            </w:pPr>
            <w:r>
              <w:rPr>
                <w:rFonts w:ascii="Calibri" w:hAnsi="Calibri"/>
                <w:b/>
                <w:sz w:val="18"/>
              </w:rPr>
              <w:t>Capex Plans</w:t>
            </w:r>
          </w:p>
        </w:tc>
        <w:tc>
          <w:tcPr>
            <w:tcW w:type="dxa" w:w="2880"/>
          </w:tcPr>
          <w:p>
            <w:pPr>
              <w:spacing w:before="40" w:after="40"/>
            </w:pPr>
            <w:r>
              <w:rPr>
                <w:rFonts w:ascii="Calibri" w:hAnsi="Calibri"/>
                <w:sz w:val="18"/>
              </w:rPr>
              <w:t>Significant investments in Caustic Soda expansion, Chloromethanes expansion, and Solar Power capacity</w:t>
            </w:r>
          </w:p>
        </w:tc>
        <w:tc>
          <w:tcPr>
            <w:tcW w:type="dxa" w:w="2880"/>
          </w:tcPr>
          <w:p>
            <w:pPr>
              <w:spacing w:before="40" w:after="40"/>
            </w:pPr>
            <w:r>
              <w:rPr>
                <w:rFonts w:ascii="Calibri" w:hAnsi="Calibri"/>
                <w:sz w:val="18"/>
              </w:rPr>
              <w:t>Ongoing</w:t>
            </w:r>
          </w:p>
        </w:tc>
      </w:tr>
      <w:tr>
        <w:tc>
          <w:tcPr>
            <w:tcW w:type="dxa" w:w="2880"/>
            <w:shd w:fill="E8F0FE"/>
          </w:tcPr>
          <w:p>
            <w:pPr>
              <w:spacing w:before="40" w:after="40"/>
            </w:pPr>
            <w:r>
              <w:rPr>
                <w:rFonts w:ascii="Calibri" w:hAnsi="Calibri"/>
                <w:b/>
                <w:sz w:val="18"/>
              </w:rPr>
              <w:t>Dividend Policy</w:t>
            </w:r>
          </w:p>
        </w:tc>
        <w:tc>
          <w:tcPr>
            <w:tcW w:type="dxa" w:w="2880"/>
            <w:shd w:fill="E8F0FE"/>
          </w:tcPr>
          <w:p>
            <w:pPr>
              <w:spacing w:before="40" w:after="40"/>
            </w:pPr>
            <w:r>
              <w:rPr>
                <w:rFonts w:ascii="Calibri" w:hAnsi="Calibri"/>
                <w:sz w:val="18"/>
              </w:rPr>
              <w:t>Recommends final dividend of ₹1 per share (10%) for FY24, subject to shareholder approval. Policy reviewed periodically.</w:t>
            </w:r>
          </w:p>
        </w:tc>
        <w:tc>
          <w:tcPr>
            <w:tcW w:type="dxa" w:w="2880"/>
            <w:shd w:fill="E8F0FE"/>
          </w:tcPr>
          <w:p>
            <w:pPr>
              <w:spacing w:before="40" w:after="40"/>
            </w:pPr>
            <w:r>
              <w:rPr>
                <w:rFonts w:ascii="Calibri" w:hAnsi="Calibri"/>
                <w:sz w:val="18"/>
              </w:rPr>
              <w:t>FY24 Dividend paid; FY25 dividend proposed.</w:t>
            </w:r>
          </w:p>
        </w:tc>
      </w:tr>
      <w:tr>
        <w:tc>
          <w:tcPr>
            <w:tcW w:type="dxa" w:w="2880"/>
          </w:tcPr>
          <w:p>
            <w:pPr>
              <w:spacing w:before="40" w:after="40"/>
            </w:pPr>
            <w:r>
              <w:rPr>
                <w:rFonts w:ascii="Calibri" w:hAnsi="Calibri"/>
                <w:b/>
                <w:sz w:val="18"/>
              </w:rPr>
              <w:t>Debt Status</w:t>
            </w:r>
          </w:p>
        </w:tc>
        <w:tc>
          <w:tcPr>
            <w:tcW w:type="dxa" w:w="2880"/>
          </w:tcPr>
          <w:p>
            <w:pPr>
              <w:spacing w:before="40" w:after="40"/>
            </w:pPr>
            <w:r>
              <w:rPr>
                <w:rFonts w:ascii="Calibri" w:hAnsi="Calibri"/>
                <w:sz w:val="18"/>
              </w:rPr>
              <w:t>Debt-Equity ratio maintained at ~0.28; actively managing borrowings and exploring financial assistance.</w:t>
            </w:r>
          </w:p>
        </w:tc>
        <w:tc>
          <w:tcPr>
            <w:tcW w:type="dxa" w:w="2880"/>
          </w:tcPr>
          <w:p>
            <w:pPr>
              <w:spacing w:before="40" w:after="40"/>
            </w:pPr>
            <w:r>
              <w:rPr>
                <w:rFonts w:ascii="Calibri" w:hAnsi="Calibri"/>
                <w:sz w:val="18"/>
              </w:rPr>
              <w:t>Continuous</w:t>
            </w:r>
          </w:p>
        </w:tc>
      </w:tr>
    </w:tbl>
    <w:p/>
    <w:p>
      <w:pPr>
        <w:pStyle w:val="Heading1"/>
      </w:pPr>
      <w:r>
        <w:rPr>
          <w:rFonts w:ascii="Calibri" w:hAnsi="Calibri"/>
          <w:color w:val="1F5F8B"/>
          <w:sz w:val="32"/>
        </w:rPr>
        <w:t>9. Conclusion &amp; Investment Summary</w:t>
      </w:r>
    </w:p>
    <w:p>
      <w:pPr>
        <w:spacing w:before="0" w:after="120"/>
      </w:pPr>
    </w:p>
    <w:p>
      <w:pPr>
        <w:pStyle w:val="Heading2"/>
      </w:pPr>
      <w:r>
        <w:rPr>
          <w:rFonts w:ascii="Calibri" w:hAnsi="Calibri"/>
          <w:color w:val="1F5F8B"/>
          <w:sz w:val="26"/>
        </w:rPr>
        <w:t>Bull Case</w:t>
      </w:r>
    </w:p>
    <w:p>
      <w:pPr>
        <w:spacing w:after="80"/>
      </w:pPr>
      <w:r>
        <w:rPr>
          <w:rFonts w:ascii="Calibri" w:hAnsi="Calibri"/>
          <w:color w:val="333333"/>
          <w:sz w:val="20"/>
        </w:rPr>
        <w:t>TGV Sraac Ltd. presents a compelling investment case driven by its strategic focus on core chemical operations, significant capacity expansion plans in Caustic Soda and Chloromethanes, and a strong commitment to renewable energy through solar power. The company's efforts to improve operational efficiencies and manage costs, coupled with a favorable outlook for the Indian chemical industry, are expected to drive revenue growth and margin expansion. The release of promoter share pledges further strengthens the financial narrative. If the company successfully executes its expansion projects and capitalizes on industry tailwinds, it is poised for substantial earnings growth, potentially leading to significant shareholder value creation.</w:t>
      </w:r>
    </w:p>
    <w:p>
      <w:pPr>
        <w:pStyle w:val="Heading2"/>
      </w:pPr>
      <w:r>
        <w:rPr>
          <w:rFonts w:ascii="Calibri" w:hAnsi="Calibri"/>
          <w:color w:val="1F5F8B"/>
          <w:sz w:val="26"/>
        </w:rPr>
        <w:t>Bear Case</w:t>
      </w:r>
    </w:p>
    <w:p>
      <w:pPr>
        <w:spacing w:after="80"/>
      </w:pPr>
      <w:r>
        <w:rPr>
          <w:rFonts w:ascii="Calibri" w:hAnsi="Calibri"/>
          <w:color w:val="333333"/>
          <w:sz w:val="20"/>
        </w:rPr>
        <w:t>The investment thesis for TGV Sraac faces several risks, including execution challenges related to its ambitious expansion projects, potential margin pressures due to volatile raw material and power costs, and the impact of disputed statutory dues and FPPCA charges on profitability. The company's reliance on the cyclical chemical industry and the competitive landscape also pose headwinds. Furthermore, any delays in project commissioning or adverse regulatory outcomes could significantly impact the company's financial performance and investor sentiment. The resignation of a key executive also warrants close monitoring.</w:t>
      </w:r>
    </w:p>
    <w:p>
      <w:pPr>
        <w:pStyle w:val="Heading2"/>
      </w:pPr>
      <w:r>
        <w:rPr>
          <w:rFonts w:ascii="Calibri" w:hAnsi="Calibri"/>
          <w:color w:val="1F5F8B"/>
          <w:sz w:val="26"/>
        </w:rPr>
        <w:t>Key Monitorables</w:t>
      </w:r>
    </w:p>
    <w:p>
      <w:pPr>
        <w:pStyle w:val="ListBullet"/>
        <w:spacing w:after="80"/>
      </w:pPr>
      <w:r>
        <w:rPr>
          <w:rFonts w:ascii="Calibri" w:hAnsi="Calibri"/>
          <w:color w:val="333333"/>
          <w:sz w:val="20"/>
        </w:rPr>
        <w:t xml:space="preserve">  </w:t>
      </w:r>
      <w:r>
        <w:rPr>
          <w:rFonts w:ascii="Calibri" w:hAnsi="Calibri"/>
          <w:b/>
          <w:color w:val="333333"/>
          <w:sz w:val="20"/>
        </w:rPr>
        <w:t>Progress of Caustic Soda and Chloromethanes Expansion Projects:</w:t>
      </w:r>
      <w:r>
        <w:rPr>
          <w:rFonts w:ascii="Calibri" w:hAnsi="Calibri"/>
          <w:color w:val="333333"/>
          <w:sz w:val="20"/>
        </w:rPr>
        <w:t xml:space="preserve"> Timely and cost-effective execution is crucial.</w:t>
      </w:r>
    </w:p>
    <w:p>
      <w:pPr>
        <w:pStyle w:val="ListBullet"/>
        <w:spacing w:after="80"/>
      </w:pPr>
      <w:r>
        <w:rPr>
          <w:rFonts w:ascii="Calibri" w:hAnsi="Calibri"/>
          <w:color w:val="333333"/>
          <w:sz w:val="20"/>
        </w:rPr>
        <w:t xml:space="preserve">  </w:t>
      </w:r>
      <w:r>
        <w:rPr>
          <w:rFonts w:ascii="Calibri" w:hAnsi="Calibri"/>
          <w:b/>
          <w:color w:val="333333"/>
          <w:sz w:val="20"/>
        </w:rPr>
        <w:t>Solar Power Capacity Expansion:</w:t>
      </w:r>
      <w:r>
        <w:rPr>
          <w:rFonts w:ascii="Calibri" w:hAnsi="Calibri"/>
          <w:color w:val="333333"/>
          <w:sz w:val="20"/>
        </w:rPr>
        <w:t xml:space="preserve"> Achievement of planned capacity additions and their impact on power costs.</w:t>
      </w:r>
    </w:p>
    <w:p>
      <w:pPr>
        <w:pStyle w:val="ListBullet"/>
        <w:spacing w:after="80"/>
      </w:pPr>
      <w:r>
        <w:rPr>
          <w:rFonts w:ascii="Calibri" w:hAnsi="Calibri"/>
          <w:color w:val="333333"/>
          <w:sz w:val="20"/>
        </w:rPr>
        <w:t xml:space="preserve">  </w:t>
      </w:r>
      <w:r>
        <w:rPr>
          <w:rFonts w:ascii="Calibri" w:hAnsi="Calibri"/>
          <w:b/>
          <w:color w:val="333333"/>
          <w:sz w:val="20"/>
        </w:rPr>
        <w:t>Resolution of FPPCA Charges and Disputed Statutory Dues:</w:t>
      </w:r>
      <w:r>
        <w:rPr>
          <w:rFonts w:ascii="Calibri" w:hAnsi="Calibri"/>
          <w:color w:val="333333"/>
          <w:sz w:val="20"/>
        </w:rPr>
        <w:t xml:space="preserve"> Favorable outcomes are essential for mitigating financial risks.</w:t>
      </w:r>
    </w:p>
    <w:p>
      <w:pPr>
        <w:pStyle w:val="ListBullet"/>
        <w:spacing w:after="80"/>
      </w:pPr>
      <w:r>
        <w:rPr>
          <w:rFonts w:ascii="Calibri" w:hAnsi="Calibri"/>
          <w:color w:val="333333"/>
          <w:sz w:val="20"/>
        </w:rPr>
        <w:t xml:space="preserve">  </w:t>
      </w:r>
      <w:r>
        <w:rPr>
          <w:rFonts w:ascii="Calibri" w:hAnsi="Calibri"/>
          <w:b/>
          <w:color w:val="333333"/>
          <w:sz w:val="20"/>
        </w:rPr>
        <w:t>Oils &amp; Fats Segment Performance:</w:t>
      </w:r>
      <w:r>
        <w:rPr>
          <w:rFonts w:ascii="Calibri" w:hAnsi="Calibri"/>
          <w:color w:val="333333"/>
          <w:sz w:val="20"/>
        </w:rPr>
        <w:t xml:space="preserve"> Monitoring margin trends and the impact of scaled-down operations.</w:t>
      </w:r>
    </w:p>
    <w:p>
      <w:pPr>
        <w:pStyle w:val="ListBullet"/>
        <w:spacing w:after="80"/>
      </w:pPr>
      <w:r>
        <w:rPr>
          <w:rFonts w:ascii="Calibri" w:hAnsi="Calibri"/>
          <w:color w:val="333333"/>
          <w:sz w:val="20"/>
        </w:rPr>
        <w:t xml:space="preserve">  </w:t>
      </w:r>
      <w:r>
        <w:rPr>
          <w:rFonts w:ascii="Calibri" w:hAnsi="Calibri"/>
          <w:b/>
          <w:color w:val="333333"/>
          <w:sz w:val="20"/>
        </w:rPr>
        <w:t>Chlorine Market Dynamics:</w:t>
      </w:r>
      <w:r>
        <w:rPr>
          <w:rFonts w:ascii="Calibri" w:hAnsi="Calibri"/>
          <w:color w:val="333333"/>
          <w:sz w:val="20"/>
        </w:rPr>
        <w:t xml:space="preserve"> Tracking demand and pricing for Chlorine and its derivatives.</w:t>
      </w:r>
    </w:p>
    <w:p>
      <w:pPr>
        <w:pStyle w:val="ListBullet"/>
        <w:spacing w:after="80"/>
      </w:pPr>
      <w:r>
        <w:rPr>
          <w:rFonts w:ascii="Calibri" w:hAnsi="Calibri"/>
          <w:color w:val="333333"/>
          <w:sz w:val="20"/>
        </w:rPr>
        <w:t xml:space="preserve">  </w:t>
      </w:r>
      <w:r>
        <w:rPr>
          <w:rFonts w:ascii="Calibri" w:hAnsi="Calibri"/>
          <w:b/>
          <w:color w:val="333333"/>
          <w:sz w:val="20"/>
        </w:rPr>
        <w:t>Promoter Group Financial Health:</w:t>
      </w:r>
      <w:r>
        <w:rPr>
          <w:rFonts w:ascii="Calibri" w:hAnsi="Calibri"/>
          <w:color w:val="333333"/>
          <w:sz w:val="20"/>
        </w:rPr>
        <w:t xml:space="preserve"> Continued monitoring of promoter shareholding and any further pledge releases or increases.</w:t>
      </w:r>
    </w:p>
    <w:p>
      <w:pPr>
        <w:pStyle w:val="ListBullet"/>
        <w:spacing w:after="80"/>
      </w:pPr>
      <w:r>
        <w:rPr>
          <w:rFonts w:ascii="Calibri" w:hAnsi="Calibri"/>
          <w:color w:val="333333"/>
          <w:sz w:val="20"/>
        </w:rPr>
        <w:t xml:space="preserve">  </w:t>
      </w:r>
      <w:r>
        <w:rPr>
          <w:rFonts w:ascii="Calibri" w:hAnsi="Calibri"/>
          <w:b/>
          <w:color w:val="333333"/>
          <w:sz w:val="20"/>
        </w:rPr>
        <w:t>Working Capital Management:</w:t>
      </w:r>
      <w:r>
        <w:rPr>
          <w:rFonts w:ascii="Calibri" w:hAnsi="Calibri"/>
          <w:color w:val="333333"/>
          <w:sz w:val="20"/>
        </w:rPr>
        <w:t xml:space="preserve"> Ensuring efficient management of receivables and inventory amidst growth.</w:t>
      </w:r>
    </w:p>
    <w:p>
      <w:pPr>
        <w:pStyle w:val="ListBullet"/>
        <w:spacing w:after="80"/>
      </w:pPr>
      <w:r>
        <w:rPr>
          <w:rFonts w:ascii="Calibri" w:hAnsi="Calibri"/>
          <w:color w:val="333333"/>
          <w:sz w:val="20"/>
        </w:rPr>
        <w:t xml:space="preserve">  </w:t>
      </w:r>
      <w:r>
        <w:rPr>
          <w:rFonts w:ascii="Calibri" w:hAnsi="Calibri"/>
          <w:b/>
          <w:color w:val="333333"/>
          <w:sz w:val="20"/>
        </w:rPr>
        <w:t>Competitive Landscape:</w:t>
      </w:r>
      <w:r>
        <w:rPr>
          <w:rFonts w:ascii="Calibri" w:hAnsi="Calibri"/>
          <w:color w:val="333333"/>
          <w:sz w:val="20"/>
        </w:rPr>
        <w:t xml:space="preserve"> Tracking market share and pricing power relative to peers.</w:t>
      </w:r>
    </w:p>
    <w:p>
      <w:pPr>
        <w:pStyle w:val="ListBullet"/>
        <w:spacing w:after="80"/>
      </w:pPr>
      <w:r>
        <w:rPr>
          <w:rFonts w:ascii="Calibri" w:hAnsi="Calibri"/>
          <w:color w:val="333333"/>
          <w:sz w:val="20"/>
        </w:rPr>
        <w:t xml:space="preserve">  </w:t>
      </w:r>
      <w:r>
        <w:rPr>
          <w:rFonts w:ascii="Calibri" w:hAnsi="Calibri"/>
          <w:b/>
          <w:color w:val="333333"/>
          <w:sz w:val="20"/>
        </w:rPr>
        <w:t>Dividend Payout Trends:</w:t>
      </w:r>
      <w:r>
        <w:rPr>
          <w:rFonts w:ascii="Calibri" w:hAnsi="Calibri"/>
          <w:color w:val="333333"/>
          <w:sz w:val="20"/>
        </w:rPr>
        <w:t xml:space="preserve"> Observing future dividend policies and payouts as a reflection of profitability.</w:t>
      </w:r>
    </w:p>
    <w:p>
      <w:pPr>
        <w:pStyle w:val="ListBullet"/>
        <w:spacing w:after="80"/>
      </w:pPr>
      <w:r>
        <w:rPr>
          <w:rFonts w:ascii="Calibri" w:hAnsi="Calibri"/>
          <w:color w:val="333333"/>
          <w:sz w:val="20"/>
        </w:rPr>
        <w:t xml:space="preserve">  </w:t>
      </w:r>
      <w:r>
        <w:rPr>
          <w:rFonts w:ascii="Calibri" w:hAnsi="Calibri"/>
          <w:b/>
          <w:color w:val="333333"/>
          <w:sz w:val="20"/>
        </w:rPr>
        <w:t>Management Commentary on Future Outlook:</w:t>
      </w:r>
      <w:r>
        <w:rPr>
          <w:rFonts w:ascii="Calibri" w:hAnsi="Calibri"/>
          <w:color w:val="333333"/>
          <w:sz w:val="20"/>
        </w:rPr>
        <w:t xml:space="preserve"> Paying close attention to management's guidance on revenue, margins, and strategic initiatives.</w:t>
      </w:r>
    </w:p>
    <w:p>
      <w:pPr>
        <w:spacing w:after="80"/>
      </w:pPr>
      <w:r>
        <w:rPr>
          <w:rFonts w:ascii="Calibri" w:hAnsi="Calibri"/>
          <w:b/>
          <w:color w:val="333333"/>
          <w:sz w:val="20"/>
        </w:rPr>
        <w:t>Disclaimer:</w:t>
      </w:r>
      <w:r>
        <w:rPr>
          <w:rFonts w:ascii="Calibri" w:hAnsi="Calibri"/>
          <w:color w:val="333333"/>
          <w:sz w:val="20"/>
        </w:rPr>
        <w:t xml:space="preserve"> This analysis is for informational purposes only and does not constitute investment advice. Please consult a registered financial advisor before making investment decisions.</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4"/>
      </w:rPr>
      <w:t>Disclaimer: For informational purposes only. Not investment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6"/>
      </w:rPr>
      <w:t>TGV Sraac Ltd | Comprehensive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5F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5F8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5F8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5F8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