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jc w:val="center"/>
      </w:pPr>
      <w:r>
        <w:rPr>
          <w:rFonts w:ascii="Calibri" w:hAnsi="Calibri"/>
          <w:b/>
          <w:color w:val="1F5F8B"/>
          <w:sz w:val="64"/>
        </w:rPr>
        <w:t>SANGHVI MOVERS LTD</w:t>
      </w:r>
    </w:p>
    <w:p>
      <w:pPr>
        <w:jc w:val="center"/>
      </w:pPr>
      <w:r>
        <w:rPr>
          <w:color w:val="1F5F8B"/>
          <w:sz w:val="16"/>
        </w:rPr>
        <w:t>____________________________________________________________</w:t>
      </w:r>
    </w:p>
    <w:p>
      <w:pPr>
        <w:spacing w:before="480"/>
        <w:jc w:val="center"/>
      </w:pPr>
      <w:r>
        <w:rPr>
          <w:rFonts w:ascii="Calibri" w:hAnsi="Calibri"/>
          <w:color w:val="1F5F8B"/>
          <w:sz w:val="44"/>
        </w:rPr>
        <w:t>Comprehensive Company Analysis</w:t>
      </w:r>
    </w:p>
    <w:p>
      <w:pPr>
        <w:spacing w:before="160"/>
        <w:jc w:val="center"/>
      </w:pPr>
      <w:r>
        <w:rPr>
          <w:rFonts w:ascii="Calibri" w:hAnsi="Calibri"/>
          <w:color w:val="666666"/>
          <w:sz w:val="28"/>
        </w:rPr>
        <w:t>Investment Research Note</w:t>
      </w:r>
    </w:p>
    <w:p>
      <w:pPr>
        <w:spacing w:before="960"/>
        <w:jc w:val="center"/>
      </w:pPr>
      <w:r>
        <w:rPr>
          <w:rFonts w:ascii="Calibri" w:hAnsi="Calibri"/>
          <w:color w:val="666666"/>
          <w:sz w:val="24"/>
        </w:rPr>
        <w:t>Date: April 20, 2026</w:t>
      </w:r>
    </w:p>
    <w:p>
      <w:r>
        <w:br w:type="page"/>
      </w:r>
    </w:p>
    <w:p>
      <w:pPr>
        <w:pStyle w:val="Heading1"/>
      </w:pPr>
      <w:r>
        <w:rPr>
          <w:rFonts w:ascii="Calibri" w:hAnsi="Calibri"/>
          <w:color w:val="1F5F8B"/>
          <w:sz w:val="32"/>
        </w:rPr>
        <w:t>1. Executive Summary</w:t>
      </w:r>
    </w:p>
    <w:p>
      <w:pPr>
        <w:spacing w:before="0" w:after="120"/>
      </w:pPr>
    </w:p>
    <w:p>
      <w:pPr>
        <w:spacing w:after="80"/>
      </w:pPr>
      <w:r>
        <w:rPr>
          <w:rFonts w:ascii="Calibri" w:hAnsi="Calibri"/>
          <w:color w:val="333333"/>
          <w:sz w:val="20"/>
        </w:rPr>
        <w:t>Sanghvi Movers Limited (SML) is a leading integrated heavy-lift and infrastructure services provider, recognized as Asia's largest and the world's fifth-largest crane rental company. With a 36-year legacy, SML offers a comprehensive suite of services including crane rentals, heavy lift solutions, and turnkey EPC services for the wind energy sector. The company has undergone a significant transformation in recent years, moving from a domestic-centric crane rental business to a diversified, multi-country infrastructure services platform. This strategic shift has involved establishing international operations in Saudi Arabia (SMME), expanding its renewable energy EPC capabilities through Sangreen Future Renewables Private Limited (SFRPL), and strengthening its logistics arm with Sangreen Logistics Private Limited (SLPL).</w:t>
      </w:r>
    </w:p>
    <w:p>
      <w:pPr>
        <w:spacing w:after="80"/>
      </w:pPr>
      <w:r>
        <w:rPr>
          <w:rFonts w:ascii="Calibri" w:hAnsi="Calibri"/>
          <w:color w:val="333333"/>
          <w:sz w:val="20"/>
        </w:rPr>
        <w:t>Post-transformation, SML has demonstrated robust revenue growth, with its consolidated revenue reaching ₹719 Cr for the nine months ended December 2025 (9M FY26). The company has also focused on improving its financial health, maintaining a healthy Debt-to-Equity ratio of 0.48x as of December 2025, down from higher levels in previous years. SML has a clear strategic roadmap, "Elevate 2030," which focuses on geographical expansion, product portfolio diversification, customer-centricity, and digital scalability. The company has ambitious targets, aiming for ₹1,800 Cr in revenue by FY28 and targeting EBITDA margins of 50-55% for its core crane rental business and 10-12% for renewables.</w:t>
      </w:r>
    </w:p>
    <w:p>
      <w:pPr>
        <w:spacing w:after="80"/>
      </w:pPr>
      <w:r>
        <w:rPr>
          <w:rFonts w:ascii="Calibri" w:hAnsi="Calibri"/>
          <w:color w:val="333333"/>
          <w:sz w:val="20"/>
        </w:rPr>
        <w:t>Key growth catalysts for SML include the sustained infrastructure development in India, driven by government initiatives like the National Infrastructure Pipeline and a record capital expenditure budget. The burgeoning renewable energy sector, particularly wind power, presents significant opportunities for its EPC business. Furthermore, the aggressive expansion into Saudi Arabia, a market with substantial infrastructure development under Vision 2030, is expected to be a major growth engine, offering higher yields and a large addressable market. The company's focus on operational efficiency, fleet modernization, and a strong order book provides visibility for future performance.</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320"/>
        <w:gridCol w:w="4320"/>
      </w:tblGrid>
      <w:tr>
        <w:tc>
          <w:tcPr>
            <w:tcW w:type="dxa" w:w="4320"/>
            <w:shd w:fill="1F5F8B"/>
          </w:tcPr>
          <w:p>
            <w:pPr>
              <w:spacing w:before="40" w:after="40"/>
            </w:pPr>
            <w:r>
              <w:rPr>
                <w:rFonts w:ascii="Calibri" w:hAnsi="Calibri"/>
                <w:b/>
                <w:color w:val="FFFFFF"/>
                <w:sz w:val="18"/>
              </w:rPr>
              <w:t>Metric</w:t>
            </w:r>
          </w:p>
        </w:tc>
        <w:tc>
          <w:tcPr>
            <w:tcW w:type="dxa" w:w="4320"/>
            <w:shd w:fill="1F5F8B"/>
          </w:tcPr>
          <w:p>
            <w:pPr>
              <w:spacing w:before="40" w:after="40"/>
            </w:pPr>
            <w:r>
              <w:rPr>
                <w:rFonts w:ascii="Calibri" w:hAnsi="Calibri"/>
                <w:b/>
                <w:color w:val="FFFFFF"/>
                <w:sz w:val="18"/>
              </w:rPr>
              <w:t>Value</w:t>
            </w:r>
          </w:p>
        </w:tc>
      </w:tr>
      <w:tr>
        <w:tc>
          <w:tcPr>
            <w:tcW w:type="dxa" w:w="4320"/>
          </w:tcPr>
          <w:p>
            <w:pPr>
              <w:spacing w:before="40" w:after="40"/>
            </w:pPr>
            <w:r>
              <w:rPr>
                <w:rFonts w:ascii="Calibri" w:hAnsi="Calibri"/>
                <w:b/>
                <w:sz w:val="18"/>
              </w:rPr>
              <w:t>CMP</w:t>
            </w:r>
          </w:p>
        </w:tc>
        <w:tc>
          <w:tcPr>
            <w:tcW w:type="dxa" w:w="4320"/>
          </w:tcPr>
          <w:p>
            <w:pPr>
              <w:spacing w:before="40" w:after="40"/>
            </w:pPr>
            <w:r>
              <w:rPr>
                <w:rFonts w:ascii="Calibri" w:hAnsi="Calibri"/>
                <w:sz w:val="18"/>
              </w:rPr>
              <w:t>₹327.10</w:t>
            </w:r>
          </w:p>
        </w:tc>
      </w:tr>
      <w:tr>
        <w:tc>
          <w:tcPr>
            <w:tcW w:type="dxa" w:w="4320"/>
            <w:shd w:fill="E8F0FE"/>
          </w:tcPr>
          <w:p>
            <w:pPr>
              <w:spacing w:before="40" w:after="40"/>
            </w:pPr>
            <w:r>
              <w:rPr>
                <w:rFonts w:ascii="Calibri" w:hAnsi="Calibri"/>
                <w:b/>
                <w:sz w:val="18"/>
              </w:rPr>
              <w:t>Market Cap</w:t>
            </w:r>
          </w:p>
        </w:tc>
        <w:tc>
          <w:tcPr>
            <w:tcW w:type="dxa" w:w="4320"/>
            <w:shd w:fill="E8F0FE"/>
          </w:tcPr>
          <w:p>
            <w:pPr>
              <w:spacing w:before="40" w:after="40"/>
            </w:pPr>
            <w:r>
              <w:rPr>
                <w:rFonts w:ascii="Calibri" w:hAnsi="Calibri"/>
                <w:sz w:val="18"/>
              </w:rPr>
              <w:t>₹3,067 Cr</w:t>
            </w:r>
          </w:p>
        </w:tc>
      </w:tr>
      <w:tr>
        <w:tc>
          <w:tcPr>
            <w:tcW w:type="dxa" w:w="4320"/>
          </w:tcPr>
          <w:p>
            <w:pPr>
              <w:spacing w:before="40" w:after="40"/>
            </w:pPr>
            <w:r>
              <w:rPr>
                <w:rFonts w:ascii="Calibri" w:hAnsi="Calibri"/>
                <w:b/>
                <w:sz w:val="18"/>
              </w:rPr>
              <w:t>P/E (TTM)</w:t>
            </w:r>
          </w:p>
        </w:tc>
        <w:tc>
          <w:tcPr>
            <w:tcW w:type="dxa" w:w="4320"/>
          </w:tcPr>
          <w:p>
            <w:pPr>
              <w:spacing w:before="40" w:after="40"/>
            </w:pPr>
            <w:r>
              <w:rPr>
                <w:rFonts w:ascii="Calibri" w:hAnsi="Calibri"/>
                <w:sz w:val="18"/>
              </w:rPr>
              <w:t>21.52</w:t>
            </w:r>
          </w:p>
        </w:tc>
      </w:tr>
      <w:tr>
        <w:tc>
          <w:tcPr>
            <w:tcW w:type="dxa" w:w="4320"/>
            <w:shd w:fill="E8F0FE"/>
          </w:tcPr>
          <w:p>
            <w:pPr>
              <w:spacing w:before="40" w:after="40"/>
            </w:pPr>
            <w:r>
              <w:rPr>
                <w:rFonts w:ascii="Calibri" w:hAnsi="Calibri"/>
                <w:b/>
                <w:sz w:val="18"/>
              </w:rPr>
              <w:t>P/B</w:t>
            </w:r>
          </w:p>
        </w:tc>
        <w:tc>
          <w:tcPr>
            <w:tcW w:type="dxa" w:w="4320"/>
            <w:shd w:fill="E8F0FE"/>
          </w:tcPr>
          <w:p>
            <w:pPr>
              <w:spacing w:before="40" w:after="40"/>
            </w:pPr>
            <w:r>
              <w:rPr>
                <w:rFonts w:ascii="Calibri" w:hAnsi="Calibri"/>
                <w:sz w:val="18"/>
              </w:rPr>
              <w:t>0.33</w:t>
            </w:r>
          </w:p>
        </w:tc>
      </w:tr>
      <w:tr>
        <w:tc>
          <w:tcPr>
            <w:tcW w:type="dxa" w:w="4320"/>
          </w:tcPr>
          <w:p>
            <w:pPr>
              <w:spacing w:before="40" w:after="40"/>
            </w:pPr>
            <w:r>
              <w:rPr>
                <w:rFonts w:ascii="Calibri" w:hAnsi="Calibri"/>
                <w:b/>
                <w:sz w:val="18"/>
              </w:rPr>
              <w:t>P/S (TTM)</w:t>
            </w:r>
          </w:p>
        </w:tc>
        <w:tc>
          <w:tcPr>
            <w:tcW w:type="dxa" w:w="4320"/>
          </w:tcPr>
          <w:p>
            <w:pPr>
              <w:spacing w:before="40" w:after="40"/>
            </w:pPr>
            <w:r>
              <w:rPr>
                <w:rFonts w:ascii="Calibri" w:hAnsi="Calibri"/>
                <w:sz w:val="18"/>
              </w:rPr>
              <w:t>3.73</w:t>
            </w:r>
          </w:p>
        </w:tc>
      </w:tr>
      <w:tr>
        <w:tc>
          <w:tcPr>
            <w:tcW w:type="dxa" w:w="4320"/>
            <w:shd w:fill="E8F0FE"/>
          </w:tcPr>
          <w:p>
            <w:pPr>
              <w:spacing w:before="40" w:after="40"/>
            </w:pPr>
            <w:r>
              <w:rPr>
                <w:rFonts w:ascii="Calibri" w:hAnsi="Calibri"/>
                <w:b/>
                <w:sz w:val="18"/>
              </w:rPr>
              <w:t>52-Week High/Low</w:t>
            </w:r>
          </w:p>
        </w:tc>
        <w:tc>
          <w:tcPr>
            <w:tcW w:type="dxa" w:w="4320"/>
            <w:shd w:fill="E8F0FE"/>
          </w:tcPr>
          <w:p>
            <w:pPr>
              <w:spacing w:before="40" w:after="40"/>
            </w:pPr>
            <w:r>
              <w:rPr>
                <w:rFonts w:ascii="Calibri" w:hAnsi="Calibri"/>
                <w:sz w:val="18"/>
              </w:rPr>
              <w:t>₹716.48 / ₹208.00</w:t>
            </w:r>
          </w:p>
        </w:tc>
      </w:tr>
      <w:tr>
        <w:tc>
          <w:tcPr>
            <w:tcW w:type="dxa" w:w="4320"/>
          </w:tcPr>
          <w:p>
            <w:pPr>
              <w:spacing w:before="40" w:after="40"/>
            </w:pPr>
            <w:r>
              <w:rPr>
                <w:rFonts w:ascii="Calibri" w:hAnsi="Calibri"/>
                <w:b/>
                <w:sz w:val="18"/>
              </w:rPr>
              <w:t>Debt-Equity Ratio</w:t>
            </w:r>
          </w:p>
        </w:tc>
        <w:tc>
          <w:tcPr>
            <w:tcW w:type="dxa" w:w="4320"/>
          </w:tcPr>
          <w:p>
            <w:pPr>
              <w:spacing w:before="40" w:after="40"/>
            </w:pPr>
            <w:r>
              <w:rPr>
                <w:rFonts w:ascii="Calibri" w:hAnsi="Calibri"/>
                <w:sz w:val="18"/>
              </w:rPr>
              <w:t>0.48</w:t>
            </w:r>
          </w:p>
        </w:tc>
      </w:tr>
      <w:tr>
        <w:tc>
          <w:tcPr>
            <w:tcW w:type="dxa" w:w="4320"/>
            <w:shd w:fill="E8F0FE"/>
          </w:tcPr>
          <w:p>
            <w:pPr>
              <w:spacing w:before="40" w:after="40"/>
            </w:pPr>
            <w:r>
              <w:rPr>
                <w:rFonts w:ascii="Calibri" w:hAnsi="Calibri"/>
                <w:b/>
                <w:sz w:val="18"/>
              </w:rPr>
              <w:t>ROE</w:t>
            </w:r>
          </w:p>
        </w:tc>
        <w:tc>
          <w:tcPr>
            <w:tcW w:type="dxa" w:w="4320"/>
            <w:shd w:fill="E8F0FE"/>
          </w:tcPr>
          <w:p>
            <w:pPr>
              <w:spacing w:before="40" w:after="40"/>
            </w:pPr>
            <w:r>
              <w:rPr>
                <w:rFonts w:ascii="Calibri" w:hAnsi="Calibri"/>
                <w:sz w:val="18"/>
              </w:rPr>
              <w:t>15.22%</w:t>
            </w:r>
          </w:p>
        </w:tc>
      </w:tr>
      <w:tr>
        <w:tc>
          <w:tcPr>
            <w:tcW w:type="dxa" w:w="4320"/>
          </w:tcPr>
          <w:p>
            <w:pPr>
              <w:spacing w:before="40" w:after="40"/>
            </w:pPr>
            <w:r>
              <w:rPr>
                <w:rFonts w:ascii="Calibri" w:hAnsi="Calibri"/>
                <w:b/>
                <w:sz w:val="18"/>
              </w:rPr>
              <w:t>ROCE</w:t>
            </w:r>
          </w:p>
        </w:tc>
        <w:tc>
          <w:tcPr>
            <w:tcW w:type="dxa" w:w="4320"/>
          </w:tcPr>
          <w:p>
            <w:pPr>
              <w:spacing w:before="40" w:after="40"/>
            </w:pPr>
            <w:r>
              <w:rPr>
                <w:rFonts w:ascii="Calibri" w:hAnsi="Calibri"/>
                <w:sz w:val="18"/>
              </w:rPr>
              <w:t>16.00%</w:t>
            </w:r>
          </w:p>
        </w:tc>
      </w:tr>
      <w:tr>
        <w:tc>
          <w:tcPr>
            <w:tcW w:type="dxa" w:w="4320"/>
            <w:shd w:fill="E8F0FE"/>
          </w:tcPr>
          <w:p>
            <w:pPr>
              <w:spacing w:before="40" w:after="40"/>
            </w:pPr>
            <w:r>
              <w:rPr>
                <w:rFonts w:ascii="Calibri" w:hAnsi="Calibri"/>
                <w:b/>
                <w:sz w:val="18"/>
              </w:rPr>
              <w:t>Promoter Holding</w:t>
            </w:r>
          </w:p>
        </w:tc>
        <w:tc>
          <w:tcPr>
            <w:tcW w:type="dxa" w:w="4320"/>
            <w:shd w:fill="E8F0FE"/>
          </w:tcPr>
          <w:p>
            <w:pPr>
              <w:spacing w:before="40" w:after="40"/>
            </w:pPr>
            <w:r>
              <w:rPr>
                <w:rFonts w:ascii="Calibri" w:hAnsi="Calibri"/>
                <w:sz w:val="18"/>
              </w:rPr>
              <w:t>47.24%</w:t>
            </w:r>
          </w:p>
        </w:tc>
      </w:tr>
      <w:tr>
        <w:tc>
          <w:tcPr>
            <w:tcW w:type="dxa" w:w="4320"/>
          </w:tcPr>
          <w:p>
            <w:pPr>
              <w:spacing w:before="40" w:after="40"/>
            </w:pPr>
            <w:r>
              <w:rPr>
                <w:rFonts w:ascii="Calibri" w:hAnsi="Calibri"/>
                <w:b/>
                <w:sz w:val="18"/>
              </w:rPr>
              <w:t>Dividend Yield</w:t>
            </w:r>
          </w:p>
        </w:tc>
        <w:tc>
          <w:tcPr>
            <w:tcW w:type="dxa" w:w="4320"/>
          </w:tcPr>
          <w:p>
            <w:pPr>
              <w:spacing w:before="40" w:after="40"/>
            </w:pPr>
            <w:r>
              <w:rPr>
                <w:rFonts w:ascii="Calibri" w:hAnsi="Calibri"/>
                <w:sz w:val="18"/>
              </w:rPr>
              <w:t>N/A</w:t>
            </w:r>
          </w:p>
        </w:tc>
      </w:tr>
    </w:tbl>
    <w:p/>
    <w:p>
      <w:pPr>
        <w:pStyle w:val="Heading1"/>
      </w:pPr>
      <w:r>
        <w:rPr>
          <w:rFonts w:ascii="Calibri" w:hAnsi="Calibri"/>
          <w:color w:val="1F5F8B"/>
          <w:sz w:val="32"/>
        </w:rPr>
        <w:t>1A. Company Brief</w:t>
      </w:r>
    </w:p>
    <w:p>
      <w:pPr>
        <w:spacing w:before="0" w:after="120"/>
      </w:pPr>
    </w:p>
    <w:p>
      <w:pPr>
        <w:spacing w:after="80"/>
      </w:pPr>
      <w:r>
        <w:rPr>
          <w:rFonts w:ascii="Calibri" w:hAnsi="Calibri"/>
          <w:color w:val="333333"/>
          <w:sz w:val="20"/>
        </w:rPr>
        <w:t>Sanghvi Movers Limited (SML) is a leading integrated heavy-lift and infrastructure services provider. The company's core business revolves around providing specialized crane rental services, offering a diverse fleet of hydraulic and crawler cranes with capacities ranging from 40 MT to 1,600 MT. These services are crucial for various industries including infrastructure development (metros, bridges, highways), power generation (thermal, nuclear, renewables), steel, cement, fertilizers, petrochemicals, and oil &amp; gas. SML also provides comprehensive turnkey EPC (Engineering, Procurement, and Construction) services, particularly for the renewable energy sector, focusing on wind energy projects from conceptualization to commissioning through its subsidiary, Sangreen Future Renewables Private Limited (SFRPL). Additionally, SML operates a logistics division, Sangreen Logistics Private Limited (SLPL), which handles the specialized transportation of heavy machinery, cranes, and wind turbine components. The company has also established an international presence with Sanghvi Movers Middle East Limited (SMME) in Saudi Arabia, catering to the growing demand for crane rental services in the GCC region.</w:t>
      </w:r>
    </w:p>
    <w:p>
      <w:pPr>
        <w:spacing w:after="80"/>
      </w:pPr>
      <w:r>
        <w:rPr>
          <w:rFonts w:ascii="Calibri" w:hAnsi="Calibri"/>
          <w:color w:val="333333"/>
          <w:sz w:val="20"/>
        </w:rPr>
        <w:t>SML's operations are supported by a robust fleet of over 370 cranes and a significant logistics infrastructure, including over 200 trailers and hydraulic axle lines. The company maintains 15 depots across India, ensuring nationwide reach and rapid mobilization. Its primary end-user industries are diverse, spanning infrastructure, power, steel, cement, oil &amp; gas, refineries, petrochemicals, and renewable energy. SML's commitment to quality and safety is underscored by its ISO 9001:2015, ISO 14001:2015, and ISO 45001:2018 certifications. The company's business model is characterized by its ability to offer customized heavy-lift solutions and integrated services, positioning it as a single-window solution provider for its clients.</w:t>
      </w:r>
    </w:p>
    <w:p>
      <w:pPr>
        <w:pStyle w:val="Heading1"/>
      </w:pPr>
      <w:r>
        <w:rPr>
          <w:rFonts w:ascii="Calibri" w:hAnsi="Calibri"/>
          <w:color w:val="1F5F8B"/>
          <w:sz w:val="32"/>
        </w:rPr>
        <w:t>1B. News &amp; Industry Overview</w:t>
      </w:r>
    </w:p>
    <w:p>
      <w:pPr>
        <w:spacing w:before="0" w:after="120"/>
      </w:pPr>
    </w:p>
    <w:p>
      <w:pPr>
        <w:spacing w:after="80"/>
      </w:pPr>
      <w:r>
        <w:rPr>
          <w:rFonts w:ascii="Calibri" w:hAnsi="Calibri"/>
          <w:color w:val="333333"/>
          <w:sz w:val="20"/>
        </w:rPr>
        <w:t>In the past year, Sanghvi Movers Limited has been actively engaged in expanding its global footprint and strengthening its service offerings. Key developments include the successful launch of operations in Saudi Arabia through its subsidiary, Sanghvi Movers Middle East Limited (SMME), and securing its first order outside KSA in Botswana, signaling expansion into African markets. The company has also been actively participating in investor calls and presenting its strategy, highlighting its "Elevate 2030" vision focused on sustainable, scalable, and diversified growth. Recent investor presentations and earnings calls have emphasized the company's robust order book, strong inquiry pipeline, and disciplined capital allocation strategy. Management has also highlighted the positive impact of India's infrastructure push, including the Union Budget's record capital expenditure, on the demand for crane rental and EPC services.</w:t>
      </w:r>
    </w:p>
    <w:p>
      <w:pPr>
        <w:spacing w:after="80"/>
      </w:pPr>
      <w:r>
        <w:rPr>
          <w:rFonts w:ascii="Calibri" w:hAnsi="Calibri"/>
          <w:color w:val="333333"/>
          <w:sz w:val="20"/>
        </w:rPr>
        <w:t>The crane rental and construction equipment sectors in India are experiencing significant tailwinds. The Indian construction industry is projected for robust expansion, driven by massive government investments in infrastructure, including roads, railways, metros, and renewable energy projects. The National Infrastructure Pipeline and the government's focus on sustainable and smart development are key demand drivers. The renewable energy sector, particularly wind energy, is also witnessing substantial growth, with India targeting significant capacity additions by 2030. This expansion necessitates specialized heavy-lift cranes and EPC services, playing directly into SML's core strengths.</w:t>
      </w:r>
    </w:p>
    <w:p>
      <w:pPr>
        <w:spacing w:after="80"/>
      </w:pPr>
      <w:r>
        <w:rPr>
          <w:rFonts w:ascii="Calibri" w:hAnsi="Calibri"/>
          <w:color w:val="333333"/>
          <w:sz w:val="20"/>
        </w:rPr>
        <w:t>The competitive landscape in the crane rental industry is dynamic, with SML holding a dominant position in India. However, the sector faces competition from both domestic and international players. Government policies, such as the potential anti-dumping duty on certain crane imports from China, could impact market dynamics and potentially benefit domestic players like SML by improving margins. The company's strategic focus on international expansion, particularly in Saudi Arabia, aims to tap into a market with significant infrastructure development under Vision 2030, where demand for heavy-lift solutions is high and the market is considered underserved, offering pricing premiums and higher yields.</w:t>
      </w:r>
    </w:p>
    <w:p>
      <w:pPr>
        <w:pStyle w:val="Heading1"/>
      </w:pPr>
      <w:r>
        <w:rPr>
          <w:rFonts w:ascii="Calibri" w:hAnsi="Calibri"/>
          <w:color w:val="1F5F8B"/>
          <w:sz w:val="32"/>
        </w:rPr>
        <w:t>2. Key Developments Over Past 1 Year</w:t>
      </w:r>
    </w:p>
    <w:p>
      <w:pPr>
        <w:spacing w:before="0" w:after="120"/>
      </w:pPr>
    </w:p>
    <w:p>
      <w:pPr>
        <w:pStyle w:val="Heading2"/>
      </w:pPr>
      <w:r>
        <w:rPr>
          <w:rFonts w:ascii="Calibri" w:hAnsi="Calibri"/>
          <w:color w:val="1F5F8B"/>
          <w:sz w:val="26"/>
        </w:rPr>
        <w:t>Major Divestitures, Acquisitions, Mergers</w:t>
      </w:r>
    </w:p>
    <w:p>
      <w:pPr>
        <w:pStyle w:val="ListBullet"/>
        <w:spacing w:after="80"/>
      </w:pPr>
      <w:r>
        <w:rPr>
          <w:rFonts w:ascii="Calibri" w:hAnsi="Calibri"/>
          <w:color w:val="333333"/>
          <w:sz w:val="20"/>
        </w:rPr>
        <w:t xml:space="preserve">  </w:t>
      </w:r>
      <w:r>
        <w:rPr>
          <w:rFonts w:ascii="Calibri" w:hAnsi="Calibri"/>
          <w:b/>
          <w:color w:val="333333"/>
          <w:sz w:val="20"/>
        </w:rPr>
        <w:t>Carving out of Renewable Business:</w:t>
      </w:r>
      <w:r>
        <w:rPr>
          <w:rFonts w:ascii="Calibri" w:hAnsi="Calibri"/>
          <w:color w:val="333333"/>
          <w:sz w:val="20"/>
        </w:rPr>
        <w:t xml:space="preserve"> In FY25, Sanghvi Movers Limited completed the carving out of its renewable energy business into a separate wholly-owned subsidiary, Sangreen Future Renewables Private Limited (SFRPL). This strategic move aims to provide sharper focus and operational autonomy for the renewable segment, allowing the parent company to concentrate on its core crane rental business.</w:t>
      </w:r>
    </w:p>
    <w:p>
      <w:pPr>
        <w:pStyle w:val="Heading2"/>
      </w:pPr>
      <w:r>
        <w:rPr>
          <w:rFonts w:ascii="Calibri" w:hAnsi="Calibri"/>
          <w:color w:val="1F5F8B"/>
          <w:sz w:val="26"/>
        </w:rPr>
        <w:t>Balance Sheet Transformation</w:t>
      </w:r>
    </w:p>
    <w:p>
      <w:pPr>
        <w:pStyle w:val="ListBullet"/>
        <w:spacing w:after="80"/>
      </w:pPr>
      <w:r>
        <w:rPr>
          <w:rFonts w:ascii="Calibri" w:hAnsi="Calibri"/>
          <w:color w:val="333333"/>
          <w:sz w:val="20"/>
        </w:rPr>
        <w:t xml:space="preserve">  </w:t>
      </w:r>
      <w:r>
        <w:rPr>
          <w:rFonts w:ascii="Calibri" w:hAnsi="Calibri"/>
          <w:b/>
          <w:color w:val="333333"/>
          <w:sz w:val="20"/>
        </w:rPr>
        <w:t>Fleet Reinvestment and Debt Management:</w:t>
      </w:r>
      <w:r>
        <w:rPr>
          <w:rFonts w:ascii="Calibri" w:hAnsi="Calibri"/>
          <w:color w:val="333333"/>
          <w:sz w:val="20"/>
        </w:rPr>
        <w:t xml:space="preserve"> The company has been actively reinvesting in its fleet, with significant capital expenditure planned and incurred in FY25 and FY26. Simultaneously, SML has demonstrated a commitment to prudent capital allocation and debt reduction. As of December 2025, the Net Debt to Equity ratio stood at a healthy 0.48x, indicating a significant improvement and a strengthened balance sheet. This transformation reflects a move towards a more efficient capital structure, balancing growth with financial discipline.</w:t>
      </w:r>
    </w:p>
    <w:p>
      <w:pPr>
        <w:pStyle w:val="Heading2"/>
      </w:pPr>
      <w:r>
        <w:rPr>
          <w:rFonts w:ascii="Calibri" w:hAnsi="Calibri"/>
          <w:color w:val="1F5F8B"/>
          <w:sz w:val="26"/>
        </w:rPr>
        <w:t>Leadership Changes</w:t>
      </w:r>
    </w:p>
    <w:p>
      <w:pPr>
        <w:pStyle w:val="ListBullet"/>
        <w:spacing w:after="80"/>
      </w:pPr>
      <w:r>
        <w:rPr>
          <w:rFonts w:ascii="Calibri" w:hAnsi="Calibri"/>
          <w:color w:val="333333"/>
          <w:sz w:val="20"/>
        </w:rPr>
        <w:t xml:space="preserve">  </w:t>
      </w:r>
      <w:r>
        <w:rPr>
          <w:rFonts w:ascii="Calibri" w:hAnsi="Calibri"/>
          <w:b/>
          <w:color w:val="333333"/>
          <w:sz w:val="20"/>
        </w:rPr>
        <w:t>Key Managerial Personnel Appointments:</w:t>
      </w:r>
      <w:r>
        <w:rPr>
          <w:rFonts w:ascii="Calibri" w:hAnsi="Calibri"/>
          <w:color w:val="333333"/>
          <w:sz w:val="20"/>
        </w:rPr>
        <w:t xml:space="preserve"> In FY25, the company saw significant appointments in its leadership team. Mr. Pradeep Mehta was appointed as the Chief Financial Officer (CFO) and Mr. Vinav Agarwal as the Company Secretary &amp; Chief Compliance Officer. Mr. Mohammed Almanaseer was appointed as the Managing Director of Sanghvi Movers Middle East Limited. Mr. Gaurang Desai was appointed as the Chief Executive Officer (CEO) of SML, bringing a new leadership dynamic to drive the company's strategic initiatives.</w:t>
      </w:r>
    </w:p>
    <w:p>
      <w:pPr>
        <w:pStyle w:val="Heading2"/>
      </w:pPr>
      <w:r>
        <w:rPr>
          <w:rFonts w:ascii="Calibri" w:hAnsi="Calibri"/>
          <w:color w:val="1F5F8B"/>
          <w:sz w:val="26"/>
        </w:rPr>
        <w:t>Capital Raises</w:t>
      </w:r>
    </w:p>
    <w:p>
      <w:pPr>
        <w:pStyle w:val="ListBullet"/>
        <w:spacing w:after="80"/>
      </w:pPr>
      <w:r>
        <w:rPr>
          <w:rFonts w:ascii="Calibri" w:hAnsi="Calibri"/>
          <w:color w:val="333333"/>
          <w:sz w:val="20"/>
        </w:rPr>
        <w:t xml:space="preserve">  </w:t>
      </w:r>
      <w:r>
        <w:rPr>
          <w:rFonts w:ascii="Calibri" w:hAnsi="Calibri"/>
          <w:b/>
          <w:color w:val="333333"/>
          <w:sz w:val="20"/>
        </w:rPr>
        <w:t>No Public Capital Raises:</w:t>
      </w:r>
      <w:r>
        <w:rPr>
          <w:rFonts w:ascii="Calibri" w:hAnsi="Calibri"/>
          <w:color w:val="333333"/>
          <w:sz w:val="20"/>
        </w:rPr>
        <w:t xml:space="preserve"> The provided documents do not indicate any public capital raises (like preferential issues or warrants) during the past year. The company's capex plans appear to be funded through a mix of internal accruals and debt.</w:t>
      </w:r>
    </w:p>
    <w:p>
      <w:pPr>
        <w:pStyle w:val="Heading2"/>
      </w:pPr>
      <w:r>
        <w:rPr>
          <w:rFonts w:ascii="Calibri" w:hAnsi="Calibri"/>
          <w:color w:val="1F5F8B"/>
          <w:sz w:val="26"/>
        </w:rPr>
        <w:t>Regulatory Actions or Penalties</w:t>
      </w:r>
    </w:p>
    <w:p>
      <w:pPr>
        <w:pStyle w:val="ListBullet"/>
        <w:spacing w:after="80"/>
      </w:pPr>
      <w:r>
        <w:rPr>
          <w:rFonts w:ascii="Calibri" w:hAnsi="Calibri"/>
          <w:color w:val="333333"/>
          <w:sz w:val="20"/>
        </w:rPr>
        <w:t xml:space="preserve">  </w:t>
      </w:r>
      <w:r>
        <w:rPr>
          <w:rFonts w:ascii="Calibri" w:hAnsi="Calibri"/>
          <w:b/>
          <w:color w:val="333333"/>
          <w:sz w:val="20"/>
        </w:rPr>
        <w:t>No Major Penalties Reported:</w:t>
      </w:r>
      <w:r>
        <w:rPr>
          <w:rFonts w:ascii="Calibri" w:hAnsi="Calibri"/>
          <w:color w:val="333333"/>
          <w:sz w:val="20"/>
        </w:rPr>
        <w:t xml:space="preserve"> The annual report and other disclosures do not highlight any significant regulatory actions, penalties, or fines imposed on the company during the period under review. The secretarial audit report did mention minor delays in filings and specific points regarding the noting of subsidiary minutes in board meetings, which are considered procedural.</w:t>
      </w:r>
    </w:p>
    <w:p>
      <w:pPr>
        <w:pStyle w:val="Heading1"/>
      </w:pPr>
      <w:r>
        <w:rPr>
          <w:rFonts w:ascii="Calibri" w:hAnsi="Calibri"/>
          <w:color w:val="1F5F8B"/>
          <w:sz w:val="32"/>
        </w:rPr>
        <w:t>3. Financial Analysis</w:t>
      </w:r>
    </w:p>
    <w:p>
      <w:pPr>
        <w:spacing w:before="0" w:after="120"/>
      </w:pPr>
    </w:p>
    <w:p>
      <w:pPr>
        <w:spacing w:after="80"/>
      </w:pPr>
      <w:r>
        <w:rPr>
          <w:rFonts w:ascii="Calibri" w:hAnsi="Calibri"/>
          <w:color w:val="333333"/>
          <w:sz w:val="20"/>
        </w:rPr>
        <w:t>Sanghvi Movers Limited has demonstrated a strong revenue growth trajectory in FY25 and the first nine months of FY26, driven by robust demand across its core segments and international expansion. The consolidated revenue for 9M FY26 stood at ₹719 Cr, a significant increase year-on-year. While EBITDA margins have seen some pressure due to investments in capability building and a shift in revenue mix towards lower-margin EPC projects, the company is confident in margin normalization and improvement in FY27 as new assets are deployed and operational leverage strengthens. The company's balance sheet has transformed positively, with a focus on deleveraging and maintaining a prudent debt-to-equity ratio, which stood at 0.48x as of December 2025. Cash flow from operations remains a key driver, supported by effective working capital management, although there was a noted improvement in DSO from 123 days to 100 days between September and December 2025. The company's overall financial health appears stable, with a clear strategy to enhance capital efficiency and profitability in the coming years.</w:t>
      </w:r>
    </w:p>
    <w:p>
      <w:pPr>
        <w:pStyle w:val="Heading2"/>
      </w:pPr>
      <w:r>
        <w:rPr>
          <w:rFonts w:ascii="Calibri" w:hAnsi="Calibri"/>
          <w:color w:val="1F5F8B"/>
          <w:sz w:val="26"/>
        </w:rPr>
        <w:t>3.1 Consolidated Profit &amp; Loss Statement (Rs. in Crores)</w:t>
      </w:r>
    </w:p>
    <w:p>
      <w:pPr>
        <w:spacing w:after="80"/>
      </w:pPr>
      <w:r>
        <w:rPr>
          <w:rFonts w:ascii="Calibri" w:hAnsi="Calibri"/>
          <w:color w:val="333333"/>
          <w:sz w:val="20"/>
        </w:rPr>
        <w:t>(Source: Screener.in)</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440"/>
        <w:gridCol w:w="1440"/>
        <w:gridCol w:w="1440"/>
        <w:gridCol w:w="1440"/>
        <w:gridCol w:w="1440"/>
        <w:gridCol w:w="1440"/>
      </w:tblGrid>
      <w:tr>
        <w:tc>
          <w:tcPr>
            <w:tcW w:type="dxa" w:w="1440"/>
            <w:shd w:fill="1F5F8B"/>
          </w:tcPr>
          <w:p>
            <w:pPr>
              <w:spacing w:before="40" w:after="40"/>
            </w:pPr>
            <w:r>
              <w:rPr>
                <w:rFonts w:ascii="Calibri" w:hAnsi="Calibri"/>
                <w:b/>
                <w:color w:val="FFFFFF"/>
                <w:sz w:val="18"/>
              </w:rPr>
            </w:r>
          </w:p>
        </w:tc>
        <w:tc>
          <w:tcPr>
            <w:tcW w:type="dxa" w:w="1440"/>
            <w:shd w:fill="1F5F8B"/>
          </w:tcPr>
          <w:p>
            <w:pPr>
              <w:spacing w:before="40" w:after="40"/>
            </w:pPr>
            <w:r>
              <w:rPr>
                <w:rFonts w:ascii="Calibri" w:hAnsi="Calibri"/>
                <w:b/>
                <w:color w:val="FFFFFF"/>
                <w:sz w:val="18"/>
              </w:rPr>
              <w:t>Mar 2021</w:t>
            </w:r>
          </w:p>
        </w:tc>
        <w:tc>
          <w:tcPr>
            <w:tcW w:type="dxa" w:w="1440"/>
            <w:shd w:fill="1F5F8B"/>
          </w:tcPr>
          <w:p>
            <w:pPr>
              <w:spacing w:before="40" w:after="40"/>
            </w:pPr>
            <w:r>
              <w:rPr>
                <w:rFonts w:ascii="Calibri" w:hAnsi="Calibri"/>
                <w:b/>
                <w:color w:val="FFFFFF"/>
                <w:sz w:val="18"/>
              </w:rPr>
              <w:t>Mar 2022</w:t>
            </w:r>
          </w:p>
        </w:tc>
        <w:tc>
          <w:tcPr>
            <w:tcW w:type="dxa" w:w="1440"/>
            <w:shd w:fill="1F5F8B"/>
          </w:tcPr>
          <w:p>
            <w:pPr>
              <w:spacing w:before="40" w:after="40"/>
            </w:pPr>
            <w:r>
              <w:rPr>
                <w:rFonts w:ascii="Calibri" w:hAnsi="Calibri"/>
                <w:b/>
                <w:color w:val="FFFFFF"/>
                <w:sz w:val="18"/>
              </w:rPr>
              <w:t>Mar 2023</w:t>
            </w:r>
          </w:p>
        </w:tc>
        <w:tc>
          <w:tcPr>
            <w:tcW w:type="dxa" w:w="1440"/>
            <w:shd w:fill="1F5F8B"/>
          </w:tcPr>
          <w:p>
            <w:pPr>
              <w:spacing w:before="40" w:after="40"/>
            </w:pPr>
            <w:r>
              <w:rPr>
                <w:rFonts w:ascii="Calibri" w:hAnsi="Calibri"/>
                <w:b/>
                <w:color w:val="FFFFFF"/>
                <w:sz w:val="18"/>
              </w:rPr>
              <w:t>Mar 2025</w:t>
            </w:r>
          </w:p>
        </w:tc>
        <w:tc>
          <w:tcPr>
            <w:tcW w:type="dxa" w:w="1440"/>
            <w:shd w:fill="1F5F8B"/>
          </w:tcPr>
          <w:p>
            <w:pPr>
              <w:spacing w:before="40" w:after="40"/>
            </w:pPr>
            <w:r>
              <w:rPr>
                <w:rFonts w:ascii="Calibri" w:hAnsi="Calibri"/>
                <w:b/>
                <w:color w:val="FFFFFF"/>
                <w:sz w:val="18"/>
              </w:rPr>
              <w:t>TTM</w:t>
            </w:r>
          </w:p>
        </w:tc>
      </w:tr>
      <w:tr>
        <w:tc>
          <w:tcPr>
            <w:tcW w:type="dxa" w:w="1440"/>
          </w:tcPr>
          <w:p>
            <w:pPr>
              <w:spacing w:before="40" w:after="40"/>
            </w:pPr>
            <w:r>
              <w:rPr>
                <w:rFonts w:ascii="Calibri" w:hAnsi="Calibri"/>
                <w:b/>
                <w:sz w:val="18"/>
              </w:rPr>
              <w:t>Sales+</w:t>
            </w:r>
          </w:p>
        </w:tc>
        <w:tc>
          <w:tcPr>
            <w:tcW w:type="dxa" w:w="1440"/>
          </w:tcPr>
          <w:p>
            <w:pPr>
              <w:spacing w:before="40" w:after="40"/>
            </w:pPr>
            <w:r>
              <w:rPr>
                <w:rFonts w:ascii="Calibri" w:hAnsi="Calibri"/>
                <w:sz w:val="18"/>
              </w:rPr>
              <w:t>224</w:t>
            </w:r>
          </w:p>
        </w:tc>
        <w:tc>
          <w:tcPr>
            <w:tcW w:type="dxa" w:w="1440"/>
          </w:tcPr>
          <w:p>
            <w:pPr>
              <w:spacing w:before="40" w:after="40"/>
            </w:pPr>
            <w:r>
              <w:rPr>
                <w:rFonts w:ascii="Calibri" w:hAnsi="Calibri"/>
                <w:sz w:val="18"/>
              </w:rPr>
              <w:t>335</w:t>
            </w:r>
          </w:p>
        </w:tc>
        <w:tc>
          <w:tcPr>
            <w:tcW w:type="dxa" w:w="1440"/>
          </w:tcPr>
          <w:p>
            <w:pPr>
              <w:spacing w:before="40" w:after="40"/>
            </w:pPr>
            <w:r>
              <w:rPr>
                <w:rFonts w:ascii="Calibri" w:hAnsi="Calibri"/>
                <w:sz w:val="18"/>
              </w:rPr>
              <w:t>456</w:t>
            </w:r>
          </w:p>
        </w:tc>
        <w:tc>
          <w:tcPr>
            <w:tcW w:type="dxa" w:w="1440"/>
          </w:tcPr>
          <w:p>
            <w:pPr>
              <w:spacing w:before="40" w:after="40"/>
            </w:pPr>
            <w:r>
              <w:rPr>
                <w:rFonts w:ascii="Calibri" w:hAnsi="Calibri"/>
                <w:sz w:val="18"/>
              </w:rPr>
              <w:t>782</w:t>
            </w:r>
          </w:p>
        </w:tc>
        <w:tc>
          <w:tcPr>
            <w:tcW w:type="dxa" w:w="1440"/>
          </w:tcPr>
          <w:p>
            <w:pPr>
              <w:spacing w:before="40" w:after="40"/>
            </w:pPr>
            <w:r>
              <w:rPr>
                <w:rFonts w:ascii="Calibri" w:hAnsi="Calibri"/>
                <w:sz w:val="18"/>
              </w:rPr>
              <w:t>986</w:t>
            </w:r>
          </w:p>
        </w:tc>
      </w:tr>
      <w:tr>
        <w:tc>
          <w:tcPr>
            <w:tcW w:type="dxa" w:w="1440"/>
            <w:shd w:fill="E8F0FE"/>
          </w:tcPr>
          <w:p>
            <w:pPr>
              <w:spacing w:before="40" w:after="40"/>
            </w:pPr>
            <w:r>
              <w:rPr>
                <w:rFonts w:ascii="Calibri" w:hAnsi="Calibri"/>
                <w:b/>
                <w:sz w:val="18"/>
              </w:rPr>
              <w:t>Expenses+</w:t>
            </w:r>
          </w:p>
        </w:tc>
        <w:tc>
          <w:tcPr>
            <w:tcW w:type="dxa" w:w="1440"/>
            <w:shd w:fill="E8F0FE"/>
          </w:tcPr>
          <w:p>
            <w:pPr>
              <w:spacing w:before="40" w:after="40"/>
            </w:pPr>
            <w:r>
              <w:rPr>
                <w:rFonts w:ascii="Calibri" w:hAnsi="Calibri"/>
                <w:sz w:val="18"/>
              </w:rPr>
              <w:t>137</w:t>
            </w:r>
          </w:p>
        </w:tc>
        <w:tc>
          <w:tcPr>
            <w:tcW w:type="dxa" w:w="1440"/>
            <w:shd w:fill="E8F0FE"/>
          </w:tcPr>
          <w:p>
            <w:pPr>
              <w:spacing w:before="40" w:after="40"/>
            </w:pPr>
            <w:r>
              <w:rPr>
                <w:rFonts w:ascii="Calibri" w:hAnsi="Calibri"/>
                <w:sz w:val="18"/>
              </w:rPr>
              <w:t>197</w:t>
            </w:r>
          </w:p>
        </w:tc>
        <w:tc>
          <w:tcPr>
            <w:tcW w:type="dxa" w:w="1440"/>
            <w:shd w:fill="E8F0FE"/>
          </w:tcPr>
          <w:p>
            <w:pPr>
              <w:spacing w:before="40" w:after="40"/>
            </w:pPr>
            <w:r>
              <w:rPr>
                <w:rFonts w:ascii="Calibri" w:hAnsi="Calibri"/>
                <w:sz w:val="18"/>
              </w:rPr>
              <w:t>199</w:t>
            </w:r>
          </w:p>
        </w:tc>
        <w:tc>
          <w:tcPr>
            <w:tcW w:type="dxa" w:w="1440"/>
            <w:shd w:fill="E8F0FE"/>
          </w:tcPr>
          <w:p>
            <w:pPr>
              <w:spacing w:before="40" w:after="40"/>
            </w:pPr>
            <w:r>
              <w:rPr>
                <w:rFonts w:ascii="Calibri" w:hAnsi="Calibri"/>
                <w:sz w:val="18"/>
              </w:rPr>
              <w:t>452</w:t>
            </w:r>
          </w:p>
        </w:tc>
        <w:tc>
          <w:tcPr>
            <w:tcW w:type="dxa" w:w="1440"/>
            <w:shd w:fill="E8F0FE"/>
          </w:tcPr>
          <w:p>
            <w:pPr>
              <w:spacing w:before="40" w:after="40"/>
            </w:pPr>
            <w:r>
              <w:rPr>
                <w:rFonts w:ascii="Calibri" w:hAnsi="Calibri"/>
                <w:sz w:val="18"/>
              </w:rPr>
              <w:t>614</w:t>
            </w:r>
          </w:p>
        </w:tc>
      </w:tr>
      <w:tr>
        <w:tc>
          <w:tcPr>
            <w:tcW w:type="dxa" w:w="1440"/>
          </w:tcPr>
          <w:p>
            <w:pPr>
              <w:spacing w:before="40" w:after="40"/>
            </w:pPr>
            <w:r>
              <w:rPr>
                <w:rFonts w:ascii="Calibri" w:hAnsi="Calibri"/>
                <w:b/>
                <w:sz w:val="18"/>
              </w:rPr>
              <w:t>Operating Profit</w:t>
            </w:r>
          </w:p>
        </w:tc>
        <w:tc>
          <w:tcPr>
            <w:tcW w:type="dxa" w:w="1440"/>
          </w:tcPr>
          <w:p>
            <w:pPr>
              <w:spacing w:before="40" w:after="40"/>
            </w:pPr>
            <w:r>
              <w:rPr>
                <w:rFonts w:ascii="Calibri" w:hAnsi="Calibri"/>
                <w:sz w:val="18"/>
              </w:rPr>
              <w:t>87</w:t>
            </w:r>
          </w:p>
        </w:tc>
        <w:tc>
          <w:tcPr>
            <w:tcW w:type="dxa" w:w="1440"/>
          </w:tcPr>
          <w:p>
            <w:pPr>
              <w:spacing w:before="40" w:after="40"/>
            </w:pPr>
            <w:r>
              <w:rPr>
                <w:rFonts w:ascii="Calibri" w:hAnsi="Calibri"/>
                <w:sz w:val="18"/>
              </w:rPr>
              <w:t>138</w:t>
            </w:r>
          </w:p>
        </w:tc>
        <w:tc>
          <w:tcPr>
            <w:tcW w:type="dxa" w:w="1440"/>
          </w:tcPr>
          <w:p>
            <w:pPr>
              <w:spacing w:before="40" w:after="40"/>
            </w:pPr>
            <w:r>
              <w:rPr>
                <w:rFonts w:ascii="Calibri" w:hAnsi="Calibri"/>
                <w:sz w:val="18"/>
              </w:rPr>
              <w:t>257</w:t>
            </w:r>
          </w:p>
        </w:tc>
        <w:tc>
          <w:tcPr>
            <w:tcW w:type="dxa" w:w="1440"/>
          </w:tcPr>
          <w:p>
            <w:pPr>
              <w:spacing w:before="40" w:after="40"/>
            </w:pPr>
            <w:r>
              <w:rPr>
                <w:rFonts w:ascii="Calibri" w:hAnsi="Calibri"/>
                <w:sz w:val="18"/>
              </w:rPr>
              <w:t>330</w:t>
            </w:r>
          </w:p>
        </w:tc>
        <w:tc>
          <w:tcPr>
            <w:tcW w:type="dxa" w:w="1440"/>
          </w:tcPr>
          <w:p>
            <w:pPr>
              <w:spacing w:before="40" w:after="40"/>
            </w:pPr>
            <w:r>
              <w:rPr>
                <w:rFonts w:ascii="Calibri" w:hAnsi="Calibri"/>
                <w:sz w:val="18"/>
              </w:rPr>
              <w:t>373</w:t>
            </w:r>
          </w:p>
        </w:tc>
      </w:tr>
      <w:tr>
        <w:tc>
          <w:tcPr>
            <w:tcW w:type="dxa" w:w="1440"/>
            <w:shd w:fill="E8F0FE"/>
          </w:tcPr>
          <w:p>
            <w:pPr>
              <w:spacing w:before="40" w:after="40"/>
            </w:pPr>
            <w:r>
              <w:rPr>
                <w:rFonts w:ascii="Calibri" w:hAnsi="Calibri"/>
                <w:b/>
                <w:sz w:val="18"/>
              </w:rPr>
              <w:t>OPM %</w:t>
            </w:r>
          </w:p>
        </w:tc>
        <w:tc>
          <w:tcPr>
            <w:tcW w:type="dxa" w:w="1440"/>
            <w:shd w:fill="E8F0FE"/>
          </w:tcPr>
          <w:p>
            <w:pPr>
              <w:spacing w:before="40" w:after="40"/>
            </w:pPr>
            <w:r>
              <w:rPr>
                <w:rFonts w:ascii="Calibri" w:hAnsi="Calibri"/>
                <w:sz w:val="18"/>
              </w:rPr>
              <w:t>39%</w:t>
            </w:r>
          </w:p>
        </w:tc>
        <w:tc>
          <w:tcPr>
            <w:tcW w:type="dxa" w:w="1440"/>
            <w:shd w:fill="E8F0FE"/>
          </w:tcPr>
          <w:p>
            <w:pPr>
              <w:spacing w:before="40" w:after="40"/>
            </w:pPr>
            <w:r>
              <w:rPr>
                <w:rFonts w:ascii="Calibri" w:hAnsi="Calibri"/>
                <w:sz w:val="18"/>
              </w:rPr>
              <w:t>41%</w:t>
            </w:r>
          </w:p>
        </w:tc>
        <w:tc>
          <w:tcPr>
            <w:tcW w:type="dxa" w:w="1440"/>
            <w:shd w:fill="E8F0FE"/>
          </w:tcPr>
          <w:p>
            <w:pPr>
              <w:spacing w:before="40" w:after="40"/>
            </w:pPr>
            <w:r>
              <w:rPr>
                <w:rFonts w:ascii="Calibri" w:hAnsi="Calibri"/>
                <w:sz w:val="18"/>
              </w:rPr>
              <w:t>56%</w:t>
            </w:r>
          </w:p>
        </w:tc>
        <w:tc>
          <w:tcPr>
            <w:tcW w:type="dxa" w:w="1440"/>
            <w:shd w:fill="E8F0FE"/>
          </w:tcPr>
          <w:p>
            <w:pPr>
              <w:spacing w:before="40" w:after="40"/>
            </w:pPr>
            <w:r>
              <w:rPr>
                <w:rFonts w:ascii="Calibri" w:hAnsi="Calibri"/>
                <w:sz w:val="18"/>
              </w:rPr>
              <w:t>42%</w:t>
            </w:r>
          </w:p>
        </w:tc>
        <w:tc>
          <w:tcPr>
            <w:tcW w:type="dxa" w:w="1440"/>
            <w:shd w:fill="E8F0FE"/>
          </w:tcPr>
          <w:p>
            <w:pPr>
              <w:spacing w:before="40" w:after="40"/>
            </w:pPr>
            <w:r>
              <w:rPr>
                <w:rFonts w:ascii="Calibri" w:hAnsi="Calibri"/>
                <w:sz w:val="18"/>
              </w:rPr>
              <w:t>38%</w:t>
            </w:r>
          </w:p>
        </w:tc>
      </w:tr>
      <w:tr>
        <w:tc>
          <w:tcPr>
            <w:tcW w:type="dxa" w:w="1440"/>
          </w:tcPr>
          <w:p>
            <w:pPr>
              <w:spacing w:before="40" w:after="40"/>
            </w:pPr>
            <w:r>
              <w:rPr>
                <w:rFonts w:ascii="Calibri" w:hAnsi="Calibri"/>
                <w:b/>
                <w:sz w:val="18"/>
              </w:rPr>
              <w:t>Other Income+</w:t>
            </w:r>
          </w:p>
        </w:tc>
        <w:tc>
          <w:tcPr>
            <w:tcW w:type="dxa" w:w="1440"/>
          </w:tcPr>
          <w:p>
            <w:pPr>
              <w:spacing w:before="40" w:after="40"/>
            </w:pPr>
            <w:r>
              <w:rPr>
                <w:rFonts w:ascii="Calibri" w:hAnsi="Calibri"/>
                <w:sz w:val="18"/>
              </w:rPr>
              <w:t>29</w:t>
            </w:r>
          </w:p>
        </w:tc>
        <w:tc>
          <w:tcPr>
            <w:tcW w:type="dxa" w:w="1440"/>
          </w:tcPr>
          <w:p>
            <w:pPr>
              <w:spacing w:before="40" w:after="40"/>
            </w:pPr>
            <w:r>
              <w:rPr>
                <w:rFonts w:ascii="Calibri" w:hAnsi="Calibri"/>
                <w:sz w:val="18"/>
              </w:rPr>
              <w:t>37</w:t>
            </w:r>
          </w:p>
        </w:tc>
        <w:tc>
          <w:tcPr>
            <w:tcW w:type="dxa" w:w="1440"/>
          </w:tcPr>
          <w:p>
            <w:pPr>
              <w:spacing w:before="40" w:after="40"/>
            </w:pPr>
            <w:r>
              <w:rPr>
                <w:rFonts w:ascii="Calibri" w:hAnsi="Calibri"/>
                <w:sz w:val="18"/>
              </w:rPr>
              <w:t>30</w:t>
            </w:r>
          </w:p>
        </w:tc>
        <w:tc>
          <w:tcPr>
            <w:tcW w:type="dxa" w:w="1440"/>
          </w:tcPr>
          <w:p>
            <w:pPr>
              <w:spacing w:before="40" w:after="40"/>
            </w:pPr>
            <w:r>
              <w:rPr>
                <w:rFonts w:ascii="Calibri" w:hAnsi="Calibri"/>
                <w:sz w:val="18"/>
              </w:rPr>
              <w:t>41</w:t>
            </w:r>
          </w:p>
        </w:tc>
        <w:tc>
          <w:tcPr>
            <w:tcW w:type="dxa" w:w="1440"/>
          </w:tcPr>
          <w:p>
            <w:pPr>
              <w:spacing w:before="40" w:after="40"/>
            </w:pPr>
            <w:r>
              <w:rPr>
                <w:rFonts w:ascii="Calibri" w:hAnsi="Calibri"/>
                <w:sz w:val="18"/>
              </w:rPr>
              <w:t>19</w:t>
            </w:r>
          </w:p>
        </w:tc>
      </w:tr>
      <w:tr>
        <w:tc>
          <w:tcPr>
            <w:tcW w:type="dxa" w:w="1440"/>
            <w:shd w:fill="E8F0FE"/>
          </w:tcPr>
          <w:p>
            <w:pPr>
              <w:spacing w:before="40" w:after="40"/>
            </w:pPr>
            <w:r>
              <w:rPr>
                <w:rFonts w:ascii="Calibri" w:hAnsi="Calibri"/>
                <w:b/>
                <w:sz w:val="18"/>
              </w:rPr>
              <w:t>Interest</w:t>
            </w:r>
          </w:p>
        </w:tc>
        <w:tc>
          <w:tcPr>
            <w:tcW w:type="dxa" w:w="1440"/>
            <w:shd w:fill="E8F0FE"/>
          </w:tcPr>
          <w:p>
            <w:pPr>
              <w:spacing w:before="40" w:after="40"/>
            </w:pPr>
            <w:r>
              <w:rPr>
                <w:rFonts w:ascii="Calibri" w:hAnsi="Calibri"/>
                <w:sz w:val="18"/>
              </w:rPr>
              <w:t>26</w:t>
            </w:r>
          </w:p>
        </w:tc>
        <w:tc>
          <w:tcPr>
            <w:tcW w:type="dxa" w:w="1440"/>
            <w:shd w:fill="E8F0FE"/>
          </w:tcPr>
          <w:p>
            <w:pPr>
              <w:spacing w:before="40" w:after="40"/>
            </w:pPr>
            <w:r>
              <w:rPr>
                <w:rFonts w:ascii="Calibri" w:hAnsi="Calibri"/>
                <w:sz w:val="18"/>
              </w:rPr>
              <w:t>17</w:t>
            </w:r>
          </w:p>
        </w:tc>
        <w:tc>
          <w:tcPr>
            <w:tcW w:type="dxa" w:w="1440"/>
            <w:shd w:fill="E8F0FE"/>
          </w:tcPr>
          <w:p>
            <w:pPr>
              <w:spacing w:before="40" w:after="40"/>
            </w:pPr>
            <w:r>
              <w:rPr>
                <w:rFonts w:ascii="Calibri" w:hAnsi="Calibri"/>
                <w:sz w:val="18"/>
              </w:rPr>
              <w:t>17</w:t>
            </w:r>
          </w:p>
        </w:tc>
        <w:tc>
          <w:tcPr>
            <w:tcW w:type="dxa" w:w="1440"/>
            <w:shd w:fill="E8F0FE"/>
          </w:tcPr>
          <w:p>
            <w:pPr>
              <w:spacing w:before="40" w:after="40"/>
            </w:pPr>
            <w:r>
              <w:rPr>
                <w:rFonts w:ascii="Calibri" w:hAnsi="Calibri"/>
                <w:sz w:val="18"/>
              </w:rPr>
              <w:t>26</w:t>
            </w:r>
          </w:p>
        </w:tc>
        <w:tc>
          <w:tcPr>
            <w:tcW w:type="dxa" w:w="1440"/>
            <w:shd w:fill="E8F0FE"/>
          </w:tcPr>
          <w:p>
            <w:pPr>
              <w:spacing w:before="40" w:after="40"/>
            </w:pPr>
            <w:r>
              <w:rPr>
                <w:rFonts w:ascii="Calibri" w:hAnsi="Calibri"/>
                <w:sz w:val="18"/>
              </w:rPr>
              <w:t>31</w:t>
            </w:r>
          </w:p>
        </w:tc>
      </w:tr>
      <w:tr>
        <w:tc>
          <w:tcPr>
            <w:tcW w:type="dxa" w:w="1440"/>
          </w:tcPr>
          <w:p>
            <w:pPr>
              <w:spacing w:before="40" w:after="40"/>
            </w:pPr>
            <w:r>
              <w:rPr>
                <w:rFonts w:ascii="Calibri" w:hAnsi="Calibri"/>
                <w:b/>
                <w:sz w:val="18"/>
              </w:rPr>
              <w:t>Depreciation</w:t>
            </w:r>
          </w:p>
        </w:tc>
        <w:tc>
          <w:tcPr>
            <w:tcW w:type="dxa" w:w="1440"/>
          </w:tcPr>
          <w:p>
            <w:pPr>
              <w:spacing w:before="40" w:after="40"/>
            </w:pPr>
            <w:r>
              <w:rPr>
                <w:rFonts w:ascii="Calibri" w:hAnsi="Calibri"/>
                <w:sz w:val="18"/>
              </w:rPr>
              <w:t>122</w:t>
            </w:r>
          </w:p>
        </w:tc>
        <w:tc>
          <w:tcPr>
            <w:tcW w:type="dxa" w:w="1440"/>
          </w:tcPr>
          <w:p>
            <w:pPr>
              <w:spacing w:before="40" w:after="40"/>
            </w:pPr>
            <w:r>
              <w:rPr>
                <w:rFonts w:ascii="Calibri" w:hAnsi="Calibri"/>
                <w:sz w:val="18"/>
              </w:rPr>
              <w:t>118</w:t>
            </w:r>
          </w:p>
        </w:tc>
        <w:tc>
          <w:tcPr>
            <w:tcW w:type="dxa" w:w="1440"/>
          </w:tcPr>
          <w:p>
            <w:pPr>
              <w:spacing w:before="40" w:after="40"/>
            </w:pPr>
            <w:r>
              <w:rPr>
                <w:rFonts w:ascii="Calibri" w:hAnsi="Calibri"/>
                <w:sz w:val="18"/>
              </w:rPr>
              <w:t>121</w:t>
            </w:r>
          </w:p>
        </w:tc>
        <w:tc>
          <w:tcPr>
            <w:tcW w:type="dxa" w:w="1440"/>
          </w:tcPr>
          <w:p>
            <w:pPr>
              <w:spacing w:before="40" w:after="40"/>
            </w:pPr>
            <w:r>
              <w:rPr>
                <w:rFonts w:ascii="Calibri" w:hAnsi="Calibri"/>
                <w:sz w:val="18"/>
              </w:rPr>
              <w:t>129</w:t>
            </w:r>
          </w:p>
        </w:tc>
        <w:tc>
          <w:tcPr>
            <w:tcW w:type="dxa" w:w="1440"/>
          </w:tcPr>
          <w:p>
            <w:pPr>
              <w:spacing w:before="40" w:after="40"/>
            </w:pPr>
            <w:r>
              <w:rPr>
                <w:rFonts w:ascii="Calibri" w:hAnsi="Calibri"/>
                <w:sz w:val="18"/>
              </w:rPr>
              <w:t>127</w:t>
            </w:r>
          </w:p>
        </w:tc>
      </w:tr>
      <w:tr>
        <w:tc>
          <w:tcPr>
            <w:tcW w:type="dxa" w:w="1440"/>
            <w:shd w:fill="E8F0FE"/>
          </w:tcPr>
          <w:p>
            <w:pPr>
              <w:spacing w:before="40" w:after="40"/>
            </w:pPr>
            <w:r>
              <w:rPr>
                <w:rFonts w:ascii="Calibri" w:hAnsi="Calibri"/>
                <w:b/>
                <w:sz w:val="18"/>
              </w:rPr>
              <w:t>Profit before tax</w:t>
            </w:r>
          </w:p>
        </w:tc>
        <w:tc>
          <w:tcPr>
            <w:tcW w:type="dxa" w:w="1440"/>
            <w:shd w:fill="E8F0FE"/>
          </w:tcPr>
          <w:p>
            <w:pPr>
              <w:spacing w:before="40" w:after="40"/>
            </w:pPr>
            <w:r>
              <w:rPr>
                <w:rFonts w:ascii="Calibri" w:hAnsi="Calibri"/>
                <w:sz w:val="18"/>
              </w:rPr>
              <w:t>-32</w:t>
            </w:r>
          </w:p>
        </w:tc>
        <w:tc>
          <w:tcPr>
            <w:tcW w:type="dxa" w:w="1440"/>
            <w:shd w:fill="E8F0FE"/>
          </w:tcPr>
          <w:p>
            <w:pPr>
              <w:spacing w:before="40" w:after="40"/>
            </w:pPr>
            <w:r>
              <w:rPr>
                <w:rFonts w:ascii="Calibri" w:hAnsi="Calibri"/>
                <w:sz w:val="18"/>
              </w:rPr>
              <w:t>39</w:t>
            </w:r>
          </w:p>
        </w:tc>
        <w:tc>
          <w:tcPr>
            <w:tcW w:type="dxa" w:w="1440"/>
            <w:shd w:fill="E8F0FE"/>
          </w:tcPr>
          <w:p>
            <w:pPr>
              <w:spacing w:before="40" w:after="40"/>
            </w:pPr>
            <w:r>
              <w:rPr>
                <w:rFonts w:ascii="Calibri" w:hAnsi="Calibri"/>
                <w:sz w:val="18"/>
              </w:rPr>
              <w:t>149</w:t>
            </w:r>
          </w:p>
        </w:tc>
        <w:tc>
          <w:tcPr>
            <w:tcW w:type="dxa" w:w="1440"/>
            <w:shd w:fill="E8F0FE"/>
          </w:tcPr>
          <w:p>
            <w:pPr>
              <w:spacing w:before="40" w:after="40"/>
            </w:pPr>
            <w:r>
              <w:rPr>
                <w:rFonts w:ascii="Calibri" w:hAnsi="Calibri"/>
                <w:sz w:val="18"/>
              </w:rPr>
              <w:t>217</w:t>
            </w:r>
          </w:p>
        </w:tc>
        <w:tc>
          <w:tcPr>
            <w:tcW w:type="dxa" w:w="1440"/>
            <w:shd w:fill="E8F0FE"/>
          </w:tcPr>
          <w:p>
            <w:pPr>
              <w:spacing w:before="40" w:after="40"/>
            </w:pPr>
            <w:r>
              <w:rPr>
                <w:rFonts w:ascii="Calibri" w:hAnsi="Calibri"/>
                <w:sz w:val="18"/>
              </w:rPr>
              <w:t>233</w:t>
            </w:r>
          </w:p>
        </w:tc>
      </w:tr>
      <w:tr>
        <w:tc>
          <w:tcPr>
            <w:tcW w:type="dxa" w:w="1440"/>
          </w:tcPr>
          <w:p>
            <w:pPr>
              <w:spacing w:before="40" w:after="40"/>
            </w:pPr>
            <w:r>
              <w:rPr>
                <w:rFonts w:ascii="Calibri" w:hAnsi="Calibri"/>
                <w:b/>
                <w:sz w:val="18"/>
              </w:rPr>
              <w:t>Tax %</w:t>
            </w:r>
          </w:p>
        </w:tc>
        <w:tc>
          <w:tcPr>
            <w:tcW w:type="dxa" w:w="1440"/>
          </w:tcPr>
          <w:p>
            <w:pPr>
              <w:spacing w:before="40" w:after="40"/>
            </w:pPr>
            <w:r>
              <w:rPr>
                <w:rFonts w:ascii="Calibri" w:hAnsi="Calibri"/>
                <w:sz w:val="18"/>
              </w:rPr>
              <w:t>-30%</w:t>
            </w:r>
          </w:p>
        </w:tc>
        <w:tc>
          <w:tcPr>
            <w:tcW w:type="dxa" w:w="1440"/>
          </w:tcPr>
          <w:p>
            <w:pPr>
              <w:spacing w:before="40" w:after="40"/>
            </w:pPr>
            <w:r>
              <w:rPr>
                <w:rFonts w:ascii="Calibri" w:hAnsi="Calibri"/>
                <w:sz w:val="18"/>
              </w:rPr>
              <w:t>26%</w:t>
            </w:r>
          </w:p>
        </w:tc>
        <w:tc>
          <w:tcPr>
            <w:tcW w:type="dxa" w:w="1440"/>
          </w:tcPr>
          <w:p>
            <w:pPr>
              <w:spacing w:before="40" w:after="40"/>
            </w:pPr>
            <w:r>
              <w:rPr>
                <w:rFonts w:ascii="Calibri" w:hAnsi="Calibri"/>
                <w:sz w:val="18"/>
              </w:rPr>
              <w:t>25%</w:t>
            </w:r>
          </w:p>
        </w:tc>
        <w:tc>
          <w:tcPr>
            <w:tcW w:type="dxa" w:w="1440"/>
          </w:tcPr>
          <w:p>
            <w:pPr>
              <w:spacing w:before="40" w:after="40"/>
            </w:pPr>
            <w:r>
              <w:rPr>
                <w:rFonts w:ascii="Calibri" w:hAnsi="Calibri"/>
                <w:sz w:val="18"/>
              </w:rPr>
              <w:t>28%</w:t>
            </w:r>
          </w:p>
        </w:tc>
        <w:tc>
          <w:tcPr>
            <w:tcW w:type="dxa" w:w="1440"/>
          </w:tcPr>
          <w:p>
            <w:pPr>
              <w:spacing w:before="40" w:after="40"/>
            </w:pPr>
            <w:r>
              <w:rPr>
                <w:rFonts w:ascii="Calibri" w:hAnsi="Calibri"/>
                <w:sz w:val="18"/>
              </w:rPr>
            </w:r>
          </w:p>
        </w:tc>
      </w:tr>
      <w:tr>
        <w:tc>
          <w:tcPr>
            <w:tcW w:type="dxa" w:w="1440"/>
            <w:shd w:fill="E8F0FE"/>
          </w:tcPr>
          <w:p>
            <w:pPr>
              <w:spacing w:before="40" w:after="40"/>
            </w:pPr>
            <w:r>
              <w:rPr>
                <w:rFonts w:ascii="Calibri" w:hAnsi="Calibri"/>
                <w:b/>
                <w:sz w:val="18"/>
              </w:rPr>
              <w:t>Net Profit+</w:t>
            </w:r>
          </w:p>
        </w:tc>
        <w:tc>
          <w:tcPr>
            <w:tcW w:type="dxa" w:w="1440"/>
            <w:shd w:fill="E8F0FE"/>
          </w:tcPr>
          <w:p>
            <w:pPr>
              <w:spacing w:before="40" w:after="40"/>
            </w:pPr>
            <w:r>
              <w:rPr>
                <w:rFonts w:ascii="Calibri" w:hAnsi="Calibri"/>
                <w:sz w:val="18"/>
              </w:rPr>
              <w:t>-22</w:t>
            </w:r>
          </w:p>
        </w:tc>
        <w:tc>
          <w:tcPr>
            <w:tcW w:type="dxa" w:w="1440"/>
            <w:shd w:fill="E8F0FE"/>
          </w:tcPr>
          <w:p>
            <w:pPr>
              <w:spacing w:before="40" w:after="40"/>
            </w:pPr>
            <w:r>
              <w:rPr>
                <w:rFonts w:ascii="Calibri" w:hAnsi="Calibri"/>
                <w:sz w:val="18"/>
              </w:rPr>
              <w:t>29</w:t>
            </w:r>
          </w:p>
        </w:tc>
        <w:tc>
          <w:tcPr>
            <w:tcW w:type="dxa" w:w="1440"/>
            <w:shd w:fill="E8F0FE"/>
          </w:tcPr>
          <w:p>
            <w:pPr>
              <w:spacing w:before="40" w:after="40"/>
            </w:pPr>
            <w:r>
              <w:rPr>
                <w:rFonts w:ascii="Calibri" w:hAnsi="Calibri"/>
                <w:sz w:val="18"/>
              </w:rPr>
              <w:t>112</w:t>
            </w:r>
          </w:p>
        </w:tc>
        <w:tc>
          <w:tcPr>
            <w:tcW w:type="dxa" w:w="1440"/>
            <w:shd w:fill="E8F0FE"/>
          </w:tcPr>
          <w:p>
            <w:pPr>
              <w:spacing w:before="40" w:after="40"/>
            </w:pPr>
            <w:r>
              <w:rPr>
                <w:rFonts w:ascii="Calibri" w:hAnsi="Calibri"/>
                <w:sz w:val="18"/>
              </w:rPr>
              <w:t>157</w:t>
            </w:r>
          </w:p>
        </w:tc>
        <w:tc>
          <w:tcPr>
            <w:tcW w:type="dxa" w:w="1440"/>
            <w:shd w:fill="E8F0FE"/>
          </w:tcPr>
          <w:p>
            <w:pPr>
              <w:spacing w:before="40" w:after="40"/>
            </w:pPr>
            <w:r>
              <w:rPr>
                <w:rFonts w:ascii="Calibri" w:hAnsi="Calibri"/>
                <w:sz w:val="18"/>
              </w:rPr>
              <w:t>169</w:t>
            </w:r>
          </w:p>
        </w:tc>
      </w:tr>
      <w:tr>
        <w:tc>
          <w:tcPr>
            <w:tcW w:type="dxa" w:w="1440"/>
          </w:tcPr>
          <w:p>
            <w:pPr>
              <w:spacing w:before="40" w:after="40"/>
            </w:pPr>
            <w:r>
              <w:rPr>
                <w:rFonts w:ascii="Calibri" w:hAnsi="Calibri"/>
                <w:b/>
                <w:sz w:val="18"/>
              </w:rPr>
              <w:t>EPS in Rs</w:t>
            </w:r>
          </w:p>
        </w:tc>
        <w:tc>
          <w:tcPr>
            <w:tcW w:type="dxa" w:w="1440"/>
          </w:tcPr>
          <w:p>
            <w:pPr>
              <w:spacing w:before="40" w:after="40"/>
            </w:pPr>
            <w:r>
              <w:rPr>
                <w:rFonts w:ascii="Calibri" w:hAnsi="Calibri"/>
                <w:sz w:val="18"/>
              </w:rPr>
              <w:t>-2.59</w:t>
            </w:r>
          </w:p>
        </w:tc>
        <w:tc>
          <w:tcPr>
            <w:tcW w:type="dxa" w:w="1440"/>
          </w:tcPr>
          <w:p>
            <w:pPr>
              <w:spacing w:before="40" w:after="40"/>
            </w:pPr>
            <w:r>
              <w:rPr>
                <w:rFonts w:ascii="Calibri" w:hAnsi="Calibri"/>
                <w:sz w:val="18"/>
              </w:rPr>
              <w:t>3.39</w:t>
            </w:r>
          </w:p>
        </w:tc>
        <w:tc>
          <w:tcPr>
            <w:tcW w:type="dxa" w:w="1440"/>
          </w:tcPr>
          <w:p>
            <w:pPr>
              <w:spacing w:before="40" w:after="40"/>
            </w:pPr>
            <w:r>
              <w:rPr>
                <w:rFonts w:ascii="Calibri" w:hAnsi="Calibri"/>
                <w:sz w:val="18"/>
              </w:rPr>
              <w:t>12.94</w:t>
            </w:r>
          </w:p>
        </w:tc>
        <w:tc>
          <w:tcPr>
            <w:tcW w:type="dxa" w:w="1440"/>
          </w:tcPr>
          <w:p>
            <w:pPr>
              <w:spacing w:before="40" w:after="40"/>
            </w:pPr>
            <w:r>
              <w:rPr>
                <w:rFonts w:ascii="Calibri" w:hAnsi="Calibri"/>
                <w:sz w:val="18"/>
              </w:rPr>
              <w:t>18.08</w:t>
            </w:r>
          </w:p>
        </w:tc>
        <w:tc>
          <w:tcPr>
            <w:tcW w:type="dxa" w:w="1440"/>
          </w:tcPr>
          <w:p>
            <w:pPr>
              <w:spacing w:before="40" w:after="40"/>
            </w:pPr>
            <w:r>
              <w:rPr>
                <w:rFonts w:ascii="Calibri" w:hAnsi="Calibri"/>
                <w:sz w:val="18"/>
              </w:rPr>
              <w:t>19.57</w:t>
            </w:r>
          </w:p>
        </w:tc>
      </w:tr>
      <w:tr>
        <w:tc>
          <w:tcPr>
            <w:tcW w:type="dxa" w:w="1440"/>
            <w:shd w:fill="E8F0FE"/>
          </w:tcPr>
          <w:p>
            <w:pPr>
              <w:spacing w:before="40" w:after="40"/>
            </w:pPr>
            <w:r>
              <w:rPr>
                <w:rFonts w:ascii="Calibri" w:hAnsi="Calibri"/>
                <w:b/>
                <w:sz w:val="18"/>
              </w:rPr>
              <w:t>Dividend Payout %</w:t>
            </w:r>
          </w:p>
        </w:tc>
        <w:tc>
          <w:tcPr>
            <w:tcW w:type="dxa" w:w="1440"/>
            <w:shd w:fill="E8F0FE"/>
          </w:tcPr>
          <w:p>
            <w:pPr>
              <w:spacing w:before="40" w:after="40"/>
            </w:pPr>
            <w:r>
              <w:rPr>
                <w:rFonts w:ascii="Calibri" w:hAnsi="Calibri"/>
                <w:sz w:val="18"/>
              </w:rPr>
              <w:t>0%</w:t>
            </w:r>
          </w:p>
        </w:tc>
        <w:tc>
          <w:tcPr>
            <w:tcW w:type="dxa" w:w="1440"/>
            <w:shd w:fill="E8F0FE"/>
          </w:tcPr>
          <w:p>
            <w:pPr>
              <w:spacing w:before="40" w:after="40"/>
            </w:pPr>
            <w:r>
              <w:rPr>
                <w:rFonts w:ascii="Calibri" w:hAnsi="Calibri"/>
                <w:sz w:val="18"/>
              </w:rPr>
              <w:t>15%</w:t>
            </w:r>
          </w:p>
        </w:tc>
        <w:tc>
          <w:tcPr>
            <w:tcW w:type="dxa" w:w="1440"/>
            <w:shd w:fill="E8F0FE"/>
          </w:tcPr>
          <w:p>
            <w:pPr>
              <w:spacing w:before="40" w:after="40"/>
            </w:pPr>
            <w:r>
              <w:rPr>
                <w:rFonts w:ascii="Calibri" w:hAnsi="Calibri"/>
                <w:sz w:val="18"/>
              </w:rPr>
              <w:t>15%</w:t>
            </w:r>
          </w:p>
        </w:tc>
        <w:tc>
          <w:tcPr>
            <w:tcW w:type="dxa" w:w="1440"/>
            <w:shd w:fill="E8F0FE"/>
          </w:tcPr>
          <w:p>
            <w:pPr>
              <w:spacing w:before="40" w:after="40"/>
            </w:pPr>
            <w:r>
              <w:rPr>
                <w:rFonts w:ascii="Calibri" w:hAnsi="Calibri"/>
                <w:sz w:val="18"/>
              </w:rPr>
              <w:t>11%</w:t>
            </w:r>
          </w:p>
        </w:tc>
        <w:tc>
          <w:tcPr>
            <w:tcW w:type="dxa" w:w="1440"/>
            <w:shd w:fill="E8F0FE"/>
          </w:tcPr>
          <w:p>
            <w:pPr>
              <w:spacing w:before="40" w:after="40"/>
            </w:pPr>
            <w:r>
              <w:rPr>
                <w:rFonts w:ascii="Calibri" w:hAnsi="Calibri"/>
                <w:sz w:val="18"/>
              </w:rPr>
            </w:r>
          </w:p>
        </w:tc>
      </w:tr>
    </w:tbl>
    <w:p/>
    <w:p>
      <w:pPr>
        <w:pStyle w:val="Heading2"/>
      </w:pPr>
      <w:r>
        <w:rPr>
          <w:rFonts w:ascii="Calibri" w:hAnsi="Calibri"/>
          <w:color w:val="1F5F8B"/>
          <w:sz w:val="26"/>
        </w:rPr>
        <w:t>3.2 Consolidated Balance Sheet (Rs. in Crores)</w:t>
      </w:r>
    </w:p>
    <w:p>
      <w:pPr>
        <w:spacing w:after="80"/>
      </w:pPr>
      <w:r>
        <w:rPr>
          <w:rFonts w:ascii="Calibri" w:hAnsi="Calibri"/>
          <w:color w:val="333333"/>
          <w:sz w:val="20"/>
        </w:rPr>
        <w:t>(Source: Screener.in)</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728"/>
        <w:gridCol w:w="1728"/>
        <w:gridCol w:w="1728"/>
        <w:gridCol w:w="1728"/>
        <w:gridCol w:w="1728"/>
      </w:tblGrid>
      <w:tr>
        <w:tc>
          <w:tcPr>
            <w:tcW w:type="dxa" w:w="1728"/>
            <w:shd w:fill="1F5F8B"/>
          </w:tcPr>
          <w:p>
            <w:pPr>
              <w:spacing w:before="40" w:after="40"/>
            </w:pPr>
            <w:r>
              <w:rPr>
                <w:rFonts w:ascii="Calibri" w:hAnsi="Calibri"/>
                <w:b/>
                <w:color w:val="FFFFFF"/>
                <w:sz w:val="18"/>
              </w:rPr>
            </w:r>
          </w:p>
        </w:tc>
        <w:tc>
          <w:tcPr>
            <w:tcW w:type="dxa" w:w="1728"/>
            <w:shd w:fill="1F5F8B"/>
          </w:tcPr>
          <w:p>
            <w:pPr>
              <w:spacing w:before="40" w:after="40"/>
            </w:pPr>
            <w:r>
              <w:rPr>
                <w:rFonts w:ascii="Calibri" w:hAnsi="Calibri"/>
                <w:b/>
                <w:color w:val="FFFFFF"/>
                <w:sz w:val="18"/>
              </w:rPr>
              <w:t>Mar 2022</w:t>
            </w:r>
          </w:p>
        </w:tc>
        <w:tc>
          <w:tcPr>
            <w:tcW w:type="dxa" w:w="1728"/>
            <w:shd w:fill="1F5F8B"/>
          </w:tcPr>
          <w:p>
            <w:pPr>
              <w:spacing w:before="40" w:after="40"/>
            </w:pPr>
            <w:r>
              <w:rPr>
                <w:rFonts w:ascii="Calibri" w:hAnsi="Calibri"/>
                <w:b/>
                <w:color w:val="FFFFFF"/>
                <w:sz w:val="18"/>
              </w:rPr>
              <w:t>Mar 2023</w:t>
            </w:r>
          </w:p>
        </w:tc>
        <w:tc>
          <w:tcPr>
            <w:tcW w:type="dxa" w:w="1728"/>
            <w:shd w:fill="1F5F8B"/>
          </w:tcPr>
          <w:p>
            <w:pPr>
              <w:spacing w:before="40" w:after="40"/>
            </w:pPr>
            <w:r>
              <w:rPr>
                <w:rFonts w:ascii="Calibri" w:hAnsi="Calibri"/>
                <w:b/>
                <w:color w:val="FFFFFF"/>
                <w:sz w:val="18"/>
              </w:rPr>
              <w:t>Mar 2025</w:t>
            </w:r>
          </w:p>
        </w:tc>
        <w:tc>
          <w:tcPr>
            <w:tcW w:type="dxa" w:w="1728"/>
            <w:shd w:fill="1F5F8B"/>
          </w:tcPr>
          <w:p>
            <w:pPr>
              <w:spacing w:before="40" w:after="40"/>
            </w:pPr>
            <w:r>
              <w:rPr>
                <w:rFonts w:ascii="Calibri" w:hAnsi="Calibri"/>
                <w:b/>
                <w:color w:val="FFFFFF"/>
                <w:sz w:val="18"/>
              </w:rPr>
              <w:t>Sep 2025</w:t>
            </w:r>
          </w:p>
        </w:tc>
      </w:tr>
      <w:tr>
        <w:tc>
          <w:tcPr>
            <w:tcW w:type="dxa" w:w="1728"/>
          </w:tcPr>
          <w:p>
            <w:pPr>
              <w:spacing w:before="40" w:after="40"/>
            </w:pPr>
            <w:r>
              <w:rPr>
                <w:rFonts w:ascii="Calibri" w:hAnsi="Calibri"/>
                <w:b/>
                <w:sz w:val="18"/>
              </w:rPr>
              <w:t>Equity Capital</w:t>
            </w:r>
          </w:p>
        </w:tc>
        <w:tc>
          <w:tcPr>
            <w:tcW w:type="dxa" w:w="1728"/>
          </w:tcPr>
          <w:p>
            <w:pPr>
              <w:spacing w:before="40" w:after="40"/>
            </w:pPr>
            <w:r>
              <w:rPr>
                <w:rFonts w:ascii="Calibri" w:hAnsi="Calibri"/>
                <w:sz w:val="18"/>
              </w:rPr>
              <w:t>9</w:t>
            </w:r>
          </w:p>
        </w:tc>
        <w:tc>
          <w:tcPr>
            <w:tcW w:type="dxa" w:w="1728"/>
          </w:tcPr>
          <w:p>
            <w:pPr>
              <w:spacing w:before="40" w:after="40"/>
            </w:pPr>
            <w:r>
              <w:rPr>
                <w:rFonts w:ascii="Calibri" w:hAnsi="Calibri"/>
                <w:sz w:val="18"/>
              </w:rPr>
              <w:t>9</w:t>
            </w:r>
          </w:p>
        </w:tc>
        <w:tc>
          <w:tcPr>
            <w:tcW w:type="dxa" w:w="1728"/>
          </w:tcPr>
          <w:p>
            <w:pPr>
              <w:spacing w:before="40" w:after="40"/>
            </w:pPr>
            <w:r>
              <w:rPr>
                <w:rFonts w:ascii="Calibri" w:hAnsi="Calibri"/>
                <w:sz w:val="18"/>
              </w:rPr>
              <w:t>9</w:t>
            </w:r>
          </w:p>
        </w:tc>
        <w:tc>
          <w:tcPr>
            <w:tcW w:type="dxa" w:w="1728"/>
          </w:tcPr>
          <w:p>
            <w:pPr>
              <w:spacing w:before="40" w:after="40"/>
            </w:pPr>
            <w:r>
              <w:rPr>
                <w:rFonts w:ascii="Calibri" w:hAnsi="Calibri"/>
                <w:sz w:val="18"/>
              </w:rPr>
              <w:t>9</w:t>
            </w:r>
          </w:p>
        </w:tc>
      </w:tr>
      <w:tr>
        <w:tc>
          <w:tcPr>
            <w:tcW w:type="dxa" w:w="1728"/>
            <w:shd w:fill="E8F0FE"/>
          </w:tcPr>
          <w:p>
            <w:pPr>
              <w:spacing w:before="40" w:after="40"/>
            </w:pPr>
            <w:r>
              <w:rPr>
                <w:rFonts w:ascii="Calibri" w:hAnsi="Calibri"/>
                <w:b/>
                <w:sz w:val="18"/>
              </w:rPr>
              <w:t>Reserves</w:t>
            </w:r>
          </w:p>
        </w:tc>
        <w:tc>
          <w:tcPr>
            <w:tcW w:type="dxa" w:w="1728"/>
            <w:shd w:fill="E8F0FE"/>
          </w:tcPr>
          <w:p>
            <w:pPr>
              <w:spacing w:before="40" w:after="40"/>
            </w:pPr>
            <w:r>
              <w:rPr>
                <w:rFonts w:ascii="Calibri" w:hAnsi="Calibri"/>
                <w:sz w:val="18"/>
              </w:rPr>
              <w:t>725</w:t>
            </w:r>
          </w:p>
        </w:tc>
        <w:tc>
          <w:tcPr>
            <w:tcW w:type="dxa" w:w="1728"/>
            <w:shd w:fill="E8F0FE"/>
          </w:tcPr>
          <w:p>
            <w:pPr>
              <w:spacing w:before="40" w:after="40"/>
            </w:pPr>
            <w:r>
              <w:rPr>
                <w:rFonts w:ascii="Calibri" w:hAnsi="Calibri"/>
                <w:sz w:val="18"/>
              </w:rPr>
              <w:t>833</w:t>
            </w:r>
          </w:p>
        </w:tc>
        <w:tc>
          <w:tcPr>
            <w:tcW w:type="dxa" w:w="1728"/>
            <w:shd w:fill="E8F0FE"/>
          </w:tcPr>
          <w:p>
            <w:pPr>
              <w:spacing w:before="40" w:after="40"/>
            </w:pPr>
            <w:r>
              <w:rPr>
                <w:rFonts w:ascii="Calibri" w:hAnsi="Calibri"/>
                <w:sz w:val="18"/>
              </w:rPr>
              <w:t>1,134</w:t>
            </w:r>
          </w:p>
        </w:tc>
        <w:tc>
          <w:tcPr>
            <w:tcW w:type="dxa" w:w="1728"/>
            <w:shd w:fill="E8F0FE"/>
          </w:tcPr>
          <w:p>
            <w:pPr>
              <w:spacing w:before="40" w:after="40"/>
            </w:pPr>
            <w:r>
              <w:rPr>
                <w:rFonts w:ascii="Calibri" w:hAnsi="Calibri"/>
                <w:sz w:val="18"/>
              </w:rPr>
              <w:t>1,203</w:t>
            </w:r>
          </w:p>
        </w:tc>
      </w:tr>
      <w:tr>
        <w:tc>
          <w:tcPr>
            <w:tcW w:type="dxa" w:w="1728"/>
          </w:tcPr>
          <w:p>
            <w:pPr>
              <w:spacing w:before="40" w:after="40"/>
            </w:pPr>
            <w:r>
              <w:rPr>
                <w:rFonts w:ascii="Calibri" w:hAnsi="Calibri"/>
                <w:b/>
                <w:sz w:val="18"/>
              </w:rPr>
              <w:t>Borrowings+</w:t>
            </w:r>
          </w:p>
        </w:tc>
        <w:tc>
          <w:tcPr>
            <w:tcW w:type="dxa" w:w="1728"/>
          </w:tcPr>
          <w:p>
            <w:pPr>
              <w:spacing w:before="40" w:after="40"/>
            </w:pPr>
            <w:r>
              <w:rPr>
                <w:rFonts w:ascii="Calibri" w:hAnsi="Calibri"/>
                <w:sz w:val="18"/>
              </w:rPr>
              <w:t>167</w:t>
            </w:r>
          </w:p>
        </w:tc>
        <w:tc>
          <w:tcPr>
            <w:tcW w:type="dxa" w:w="1728"/>
          </w:tcPr>
          <w:p>
            <w:pPr>
              <w:spacing w:before="40" w:after="40"/>
            </w:pPr>
            <w:r>
              <w:rPr>
                <w:rFonts w:ascii="Calibri" w:hAnsi="Calibri"/>
                <w:sz w:val="18"/>
              </w:rPr>
              <w:t>183</w:t>
            </w:r>
          </w:p>
        </w:tc>
        <w:tc>
          <w:tcPr>
            <w:tcW w:type="dxa" w:w="1728"/>
          </w:tcPr>
          <w:p>
            <w:pPr>
              <w:spacing w:before="40" w:after="40"/>
            </w:pPr>
            <w:r>
              <w:rPr>
                <w:rFonts w:ascii="Calibri" w:hAnsi="Calibri"/>
                <w:sz w:val="18"/>
              </w:rPr>
              <w:t>438</w:t>
            </w:r>
          </w:p>
        </w:tc>
        <w:tc>
          <w:tcPr>
            <w:tcW w:type="dxa" w:w="1728"/>
          </w:tcPr>
          <w:p>
            <w:pPr>
              <w:spacing w:before="40" w:after="40"/>
            </w:pPr>
            <w:r>
              <w:rPr>
                <w:rFonts w:ascii="Calibri" w:hAnsi="Calibri"/>
                <w:sz w:val="18"/>
              </w:rPr>
              <w:t>493</w:t>
            </w:r>
          </w:p>
        </w:tc>
      </w:tr>
      <w:tr>
        <w:tc>
          <w:tcPr>
            <w:tcW w:type="dxa" w:w="1728"/>
            <w:shd w:fill="E8F0FE"/>
          </w:tcPr>
          <w:p>
            <w:pPr>
              <w:spacing w:before="40" w:after="40"/>
            </w:pPr>
            <w:r>
              <w:rPr>
                <w:rFonts w:ascii="Calibri" w:hAnsi="Calibri"/>
                <w:b/>
                <w:sz w:val="18"/>
              </w:rPr>
              <w:t>Other Liabilities+</w:t>
            </w:r>
          </w:p>
        </w:tc>
        <w:tc>
          <w:tcPr>
            <w:tcW w:type="dxa" w:w="1728"/>
            <w:shd w:fill="E8F0FE"/>
          </w:tcPr>
          <w:p>
            <w:pPr>
              <w:spacing w:before="40" w:after="40"/>
            </w:pPr>
            <w:r>
              <w:rPr>
                <w:rFonts w:ascii="Calibri" w:hAnsi="Calibri"/>
                <w:sz w:val="18"/>
              </w:rPr>
              <w:t>64</w:t>
            </w:r>
          </w:p>
        </w:tc>
        <w:tc>
          <w:tcPr>
            <w:tcW w:type="dxa" w:w="1728"/>
            <w:shd w:fill="E8F0FE"/>
          </w:tcPr>
          <w:p>
            <w:pPr>
              <w:spacing w:before="40" w:after="40"/>
            </w:pPr>
            <w:r>
              <w:rPr>
                <w:rFonts w:ascii="Calibri" w:hAnsi="Calibri"/>
                <w:sz w:val="18"/>
              </w:rPr>
              <w:t>96</w:t>
            </w:r>
          </w:p>
        </w:tc>
        <w:tc>
          <w:tcPr>
            <w:tcW w:type="dxa" w:w="1728"/>
            <w:shd w:fill="E8F0FE"/>
          </w:tcPr>
          <w:p>
            <w:pPr>
              <w:spacing w:before="40" w:after="40"/>
            </w:pPr>
            <w:r>
              <w:rPr>
                <w:rFonts w:ascii="Calibri" w:hAnsi="Calibri"/>
                <w:sz w:val="18"/>
              </w:rPr>
              <w:t>185</w:t>
            </w:r>
          </w:p>
        </w:tc>
        <w:tc>
          <w:tcPr>
            <w:tcW w:type="dxa" w:w="1728"/>
            <w:shd w:fill="E8F0FE"/>
          </w:tcPr>
          <w:p>
            <w:pPr>
              <w:spacing w:before="40" w:after="40"/>
            </w:pPr>
            <w:r>
              <w:rPr>
                <w:rFonts w:ascii="Calibri" w:hAnsi="Calibri"/>
                <w:sz w:val="18"/>
              </w:rPr>
              <w:t>238</w:t>
            </w:r>
          </w:p>
        </w:tc>
      </w:tr>
      <w:tr>
        <w:tc>
          <w:tcPr>
            <w:tcW w:type="dxa" w:w="1728"/>
          </w:tcPr>
          <w:p>
            <w:pPr>
              <w:spacing w:before="40" w:after="40"/>
            </w:pPr>
            <w:r>
              <w:rPr>
                <w:rFonts w:ascii="Calibri" w:hAnsi="Calibri"/>
                <w:b/>
                <w:sz w:val="18"/>
              </w:rPr>
              <w:t>Total Liabilities</w:t>
            </w:r>
          </w:p>
        </w:tc>
        <w:tc>
          <w:tcPr>
            <w:tcW w:type="dxa" w:w="1728"/>
          </w:tcPr>
          <w:p>
            <w:pPr>
              <w:spacing w:before="40" w:after="40"/>
            </w:pPr>
            <w:r>
              <w:rPr>
                <w:rFonts w:ascii="Calibri" w:hAnsi="Calibri"/>
                <w:sz w:val="18"/>
              </w:rPr>
              <w:t>964</w:t>
            </w:r>
          </w:p>
        </w:tc>
        <w:tc>
          <w:tcPr>
            <w:tcW w:type="dxa" w:w="1728"/>
          </w:tcPr>
          <w:p>
            <w:pPr>
              <w:spacing w:before="40" w:after="40"/>
            </w:pPr>
            <w:r>
              <w:rPr>
                <w:rFonts w:ascii="Calibri" w:hAnsi="Calibri"/>
                <w:sz w:val="18"/>
              </w:rPr>
              <w:t>1,121</w:t>
            </w:r>
          </w:p>
        </w:tc>
        <w:tc>
          <w:tcPr>
            <w:tcW w:type="dxa" w:w="1728"/>
          </w:tcPr>
          <w:p>
            <w:pPr>
              <w:spacing w:before="40" w:after="40"/>
            </w:pPr>
            <w:r>
              <w:rPr>
                <w:rFonts w:ascii="Calibri" w:hAnsi="Calibri"/>
                <w:sz w:val="18"/>
              </w:rPr>
              <w:t>1,765</w:t>
            </w:r>
          </w:p>
        </w:tc>
        <w:tc>
          <w:tcPr>
            <w:tcW w:type="dxa" w:w="1728"/>
          </w:tcPr>
          <w:p>
            <w:pPr>
              <w:spacing w:before="40" w:after="40"/>
            </w:pPr>
            <w:r>
              <w:rPr>
                <w:rFonts w:ascii="Calibri" w:hAnsi="Calibri"/>
                <w:sz w:val="18"/>
              </w:rPr>
              <w:t>1,942</w:t>
            </w:r>
          </w:p>
        </w:tc>
      </w:tr>
      <w:tr>
        <w:tc>
          <w:tcPr>
            <w:tcW w:type="dxa" w:w="1728"/>
            <w:shd w:fill="E8F0FE"/>
          </w:tcPr>
          <w:p>
            <w:pPr>
              <w:spacing w:before="40" w:after="40"/>
            </w:pPr>
            <w:r>
              <w:rPr>
                <w:rFonts w:ascii="Calibri" w:hAnsi="Calibri"/>
                <w:b/>
                <w:sz w:val="18"/>
              </w:rPr>
              <w:t>Fixed Assets+</w:t>
            </w:r>
          </w:p>
        </w:tc>
        <w:tc>
          <w:tcPr>
            <w:tcW w:type="dxa" w:w="1728"/>
            <w:shd w:fill="E8F0FE"/>
          </w:tcPr>
          <w:p>
            <w:pPr>
              <w:spacing w:before="40" w:after="40"/>
            </w:pPr>
            <w:r>
              <w:rPr>
                <w:rFonts w:ascii="Calibri" w:hAnsi="Calibri"/>
                <w:sz w:val="18"/>
              </w:rPr>
              <w:t>769</w:t>
            </w:r>
          </w:p>
        </w:tc>
        <w:tc>
          <w:tcPr>
            <w:tcW w:type="dxa" w:w="1728"/>
            <w:shd w:fill="E8F0FE"/>
          </w:tcPr>
          <w:p>
            <w:pPr>
              <w:spacing w:before="40" w:after="40"/>
            </w:pPr>
            <w:r>
              <w:rPr>
                <w:rFonts w:ascii="Calibri" w:hAnsi="Calibri"/>
                <w:sz w:val="18"/>
              </w:rPr>
              <w:t>858</w:t>
            </w:r>
          </w:p>
        </w:tc>
        <w:tc>
          <w:tcPr>
            <w:tcW w:type="dxa" w:w="1728"/>
            <w:shd w:fill="E8F0FE"/>
          </w:tcPr>
          <w:p>
            <w:pPr>
              <w:spacing w:before="40" w:after="40"/>
            </w:pPr>
            <w:r>
              <w:rPr>
                <w:rFonts w:ascii="Calibri" w:hAnsi="Calibri"/>
                <w:sz w:val="18"/>
              </w:rPr>
              <w:t>1,116</w:t>
            </w:r>
          </w:p>
        </w:tc>
        <w:tc>
          <w:tcPr>
            <w:tcW w:type="dxa" w:w="1728"/>
            <w:shd w:fill="E8F0FE"/>
          </w:tcPr>
          <w:p>
            <w:pPr>
              <w:spacing w:before="40" w:after="40"/>
            </w:pPr>
            <w:r>
              <w:rPr>
                <w:rFonts w:ascii="Calibri" w:hAnsi="Calibri"/>
                <w:sz w:val="18"/>
              </w:rPr>
              <w:t>1,187</w:t>
            </w:r>
          </w:p>
        </w:tc>
      </w:tr>
      <w:tr>
        <w:tc>
          <w:tcPr>
            <w:tcW w:type="dxa" w:w="1728"/>
          </w:tcPr>
          <w:p>
            <w:pPr>
              <w:spacing w:before="40" w:after="40"/>
            </w:pPr>
            <w:r>
              <w:rPr>
                <w:rFonts w:ascii="Calibri" w:hAnsi="Calibri"/>
                <w:b/>
                <w:sz w:val="18"/>
              </w:rPr>
              <w:t>CWIP</w:t>
            </w:r>
          </w:p>
        </w:tc>
        <w:tc>
          <w:tcPr>
            <w:tcW w:type="dxa" w:w="1728"/>
          </w:tcPr>
          <w:p>
            <w:pPr>
              <w:spacing w:before="40" w:after="40"/>
            </w:pPr>
            <w:r>
              <w:rPr>
                <w:rFonts w:ascii="Calibri" w:hAnsi="Calibri"/>
                <w:sz w:val="18"/>
              </w:rPr>
              <w:t>0</w:t>
            </w:r>
          </w:p>
        </w:tc>
        <w:tc>
          <w:tcPr>
            <w:tcW w:type="dxa" w:w="1728"/>
          </w:tcPr>
          <w:p>
            <w:pPr>
              <w:spacing w:before="40" w:after="40"/>
            </w:pPr>
            <w:r>
              <w:rPr>
                <w:rFonts w:ascii="Calibri" w:hAnsi="Calibri"/>
                <w:sz w:val="18"/>
              </w:rPr>
              <w:t>7</w:t>
            </w:r>
          </w:p>
        </w:tc>
        <w:tc>
          <w:tcPr>
            <w:tcW w:type="dxa" w:w="1728"/>
          </w:tcPr>
          <w:p>
            <w:pPr>
              <w:spacing w:before="40" w:after="40"/>
            </w:pPr>
            <w:r>
              <w:rPr>
                <w:rFonts w:ascii="Calibri" w:hAnsi="Calibri"/>
                <w:sz w:val="18"/>
              </w:rPr>
              <w:t>18</w:t>
            </w:r>
          </w:p>
        </w:tc>
        <w:tc>
          <w:tcPr>
            <w:tcW w:type="dxa" w:w="1728"/>
          </w:tcPr>
          <w:p>
            <w:pPr>
              <w:spacing w:before="40" w:after="40"/>
            </w:pPr>
            <w:r>
              <w:rPr>
                <w:rFonts w:ascii="Calibri" w:hAnsi="Calibri"/>
                <w:sz w:val="18"/>
              </w:rPr>
              <w:t>8</w:t>
            </w:r>
          </w:p>
        </w:tc>
      </w:tr>
      <w:tr>
        <w:tc>
          <w:tcPr>
            <w:tcW w:type="dxa" w:w="1728"/>
            <w:shd w:fill="E8F0FE"/>
          </w:tcPr>
          <w:p>
            <w:pPr>
              <w:spacing w:before="40" w:after="40"/>
            </w:pPr>
            <w:r>
              <w:rPr>
                <w:rFonts w:ascii="Calibri" w:hAnsi="Calibri"/>
                <w:b/>
                <w:sz w:val="18"/>
              </w:rPr>
              <w:t>Investments</w:t>
            </w:r>
          </w:p>
        </w:tc>
        <w:tc>
          <w:tcPr>
            <w:tcW w:type="dxa" w:w="1728"/>
            <w:shd w:fill="E8F0FE"/>
          </w:tcPr>
          <w:p>
            <w:pPr>
              <w:spacing w:before="40" w:after="40"/>
            </w:pPr>
            <w:r>
              <w:rPr>
                <w:rFonts w:ascii="Calibri" w:hAnsi="Calibri"/>
                <w:sz w:val="18"/>
              </w:rPr>
              <w:t>30</w:t>
            </w:r>
          </w:p>
        </w:tc>
        <w:tc>
          <w:tcPr>
            <w:tcW w:type="dxa" w:w="1728"/>
            <w:shd w:fill="E8F0FE"/>
          </w:tcPr>
          <w:p>
            <w:pPr>
              <w:spacing w:before="40" w:after="40"/>
            </w:pPr>
            <w:r>
              <w:rPr>
                <w:rFonts w:ascii="Calibri" w:hAnsi="Calibri"/>
                <w:sz w:val="18"/>
              </w:rPr>
              <w:t>35</w:t>
            </w:r>
          </w:p>
        </w:tc>
        <w:tc>
          <w:tcPr>
            <w:tcW w:type="dxa" w:w="1728"/>
            <w:shd w:fill="E8F0FE"/>
          </w:tcPr>
          <w:p>
            <w:pPr>
              <w:spacing w:before="40" w:after="40"/>
            </w:pPr>
            <w:r>
              <w:rPr>
                <w:rFonts w:ascii="Calibri" w:hAnsi="Calibri"/>
                <w:sz w:val="18"/>
              </w:rPr>
              <w:t>150</w:t>
            </w:r>
          </w:p>
        </w:tc>
        <w:tc>
          <w:tcPr>
            <w:tcW w:type="dxa" w:w="1728"/>
            <w:shd w:fill="E8F0FE"/>
          </w:tcPr>
          <w:p>
            <w:pPr>
              <w:spacing w:before="40" w:after="40"/>
            </w:pPr>
            <w:r>
              <w:rPr>
                <w:rFonts w:ascii="Calibri" w:hAnsi="Calibri"/>
                <w:sz w:val="18"/>
              </w:rPr>
              <w:t>192</w:t>
            </w:r>
          </w:p>
        </w:tc>
      </w:tr>
      <w:tr>
        <w:tc>
          <w:tcPr>
            <w:tcW w:type="dxa" w:w="1728"/>
          </w:tcPr>
          <w:p>
            <w:pPr>
              <w:spacing w:before="40" w:after="40"/>
            </w:pPr>
            <w:r>
              <w:rPr>
                <w:rFonts w:ascii="Calibri" w:hAnsi="Calibri"/>
                <w:b/>
                <w:sz w:val="18"/>
              </w:rPr>
              <w:t>Other Assets+</w:t>
            </w:r>
          </w:p>
        </w:tc>
        <w:tc>
          <w:tcPr>
            <w:tcW w:type="dxa" w:w="1728"/>
          </w:tcPr>
          <w:p>
            <w:pPr>
              <w:spacing w:before="40" w:after="40"/>
            </w:pPr>
            <w:r>
              <w:rPr>
                <w:rFonts w:ascii="Calibri" w:hAnsi="Calibri"/>
                <w:sz w:val="18"/>
              </w:rPr>
              <w:t>165</w:t>
            </w:r>
          </w:p>
        </w:tc>
        <w:tc>
          <w:tcPr>
            <w:tcW w:type="dxa" w:w="1728"/>
          </w:tcPr>
          <w:p>
            <w:pPr>
              <w:spacing w:before="40" w:after="40"/>
            </w:pPr>
            <w:r>
              <w:rPr>
                <w:rFonts w:ascii="Calibri" w:hAnsi="Calibri"/>
                <w:sz w:val="18"/>
              </w:rPr>
              <w:t>220</w:t>
            </w:r>
          </w:p>
        </w:tc>
        <w:tc>
          <w:tcPr>
            <w:tcW w:type="dxa" w:w="1728"/>
          </w:tcPr>
          <w:p>
            <w:pPr>
              <w:spacing w:before="40" w:after="40"/>
            </w:pPr>
            <w:r>
              <w:rPr>
                <w:rFonts w:ascii="Calibri" w:hAnsi="Calibri"/>
                <w:sz w:val="18"/>
              </w:rPr>
              <w:t>482</w:t>
            </w:r>
          </w:p>
        </w:tc>
        <w:tc>
          <w:tcPr>
            <w:tcW w:type="dxa" w:w="1728"/>
          </w:tcPr>
          <w:p>
            <w:pPr>
              <w:spacing w:before="40" w:after="40"/>
            </w:pPr>
            <w:r>
              <w:rPr>
                <w:rFonts w:ascii="Calibri" w:hAnsi="Calibri"/>
                <w:sz w:val="18"/>
              </w:rPr>
              <w:t>555</w:t>
            </w:r>
          </w:p>
        </w:tc>
      </w:tr>
      <w:tr>
        <w:tc>
          <w:tcPr>
            <w:tcW w:type="dxa" w:w="1728"/>
            <w:shd w:fill="E8F0FE"/>
          </w:tcPr>
          <w:p>
            <w:pPr>
              <w:spacing w:before="40" w:after="40"/>
            </w:pPr>
            <w:r>
              <w:rPr>
                <w:rFonts w:ascii="Calibri" w:hAnsi="Calibri"/>
                <w:b/>
                <w:sz w:val="18"/>
              </w:rPr>
              <w:t>Total Assets</w:t>
            </w:r>
          </w:p>
        </w:tc>
        <w:tc>
          <w:tcPr>
            <w:tcW w:type="dxa" w:w="1728"/>
            <w:shd w:fill="E8F0FE"/>
          </w:tcPr>
          <w:p>
            <w:pPr>
              <w:spacing w:before="40" w:after="40"/>
            </w:pPr>
            <w:r>
              <w:rPr>
                <w:rFonts w:ascii="Calibri" w:hAnsi="Calibri"/>
                <w:sz w:val="18"/>
              </w:rPr>
              <w:t>964</w:t>
            </w:r>
          </w:p>
        </w:tc>
        <w:tc>
          <w:tcPr>
            <w:tcW w:type="dxa" w:w="1728"/>
            <w:shd w:fill="E8F0FE"/>
          </w:tcPr>
          <w:p>
            <w:pPr>
              <w:spacing w:before="40" w:after="40"/>
            </w:pPr>
            <w:r>
              <w:rPr>
                <w:rFonts w:ascii="Calibri" w:hAnsi="Calibri"/>
                <w:sz w:val="18"/>
              </w:rPr>
              <w:t>1,121</w:t>
            </w:r>
          </w:p>
        </w:tc>
        <w:tc>
          <w:tcPr>
            <w:tcW w:type="dxa" w:w="1728"/>
            <w:shd w:fill="E8F0FE"/>
          </w:tcPr>
          <w:p>
            <w:pPr>
              <w:spacing w:before="40" w:after="40"/>
            </w:pPr>
            <w:r>
              <w:rPr>
                <w:rFonts w:ascii="Calibri" w:hAnsi="Calibri"/>
                <w:sz w:val="18"/>
              </w:rPr>
              <w:t>1,765</w:t>
            </w:r>
          </w:p>
        </w:tc>
        <w:tc>
          <w:tcPr>
            <w:tcW w:type="dxa" w:w="1728"/>
            <w:shd w:fill="E8F0FE"/>
          </w:tcPr>
          <w:p>
            <w:pPr>
              <w:spacing w:before="40" w:after="40"/>
            </w:pPr>
            <w:r>
              <w:rPr>
                <w:rFonts w:ascii="Calibri" w:hAnsi="Calibri"/>
                <w:sz w:val="18"/>
              </w:rPr>
              <w:t>1,942</w:t>
            </w:r>
          </w:p>
        </w:tc>
      </w:tr>
    </w:tbl>
    <w:p/>
    <w:p>
      <w:pPr>
        <w:pStyle w:val="Heading2"/>
      </w:pPr>
      <w:r>
        <w:rPr>
          <w:rFonts w:ascii="Calibri" w:hAnsi="Calibri"/>
          <w:color w:val="1F5F8B"/>
          <w:sz w:val="26"/>
        </w:rPr>
        <w:t>3.3 Consolidated Cash Flow Statement (Rs. in Crores)</w:t>
      </w:r>
    </w:p>
    <w:p>
      <w:pPr>
        <w:spacing w:after="80"/>
      </w:pPr>
      <w:r>
        <w:rPr>
          <w:rFonts w:ascii="Calibri" w:hAnsi="Calibri"/>
          <w:color w:val="333333"/>
          <w:sz w:val="20"/>
        </w:rPr>
        <w:t>(Source: Screener.in)</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728"/>
        <w:gridCol w:w="1728"/>
        <w:gridCol w:w="1728"/>
        <w:gridCol w:w="1728"/>
        <w:gridCol w:w="1728"/>
      </w:tblGrid>
      <w:tr>
        <w:tc>
          <w:tcPr>
            <w:tcW w:type="dxa" w:w="1728"/>
            <w:shd w:fill="1F5F8B"/>
          </w:tcPr>
          <w:p>
            <w:pPr>
              <w:spacing w:before="40" w:after="40"/>
            </w:pPr>
            <w:r>
              <w:rPr>
                <w:rFonts w:ascii="Calibri" w:hAnsi="Calibri"/>
                <w:b/>
                <w:color w:val="FFFFFF"/>
                <w:sz w:val="18"/>
              </w:rPr>
            </w:r>
          </w:p>
        </w:tc>
        <w:tc>
          <w:tcPr>
            <w:tcW w:type="dxa" w:w="1728"/>
            <w:shd w:fill="1F5F8B"/>
          </w:tcPr>
          <w:p>
            <w:pPr>
              <w:spacing w:before="40" w:after="40"/>
            </w:pPr>
            <w:r>
              <w:rPr>
                <w:rFonts w:ascii="Calibri" w:hAnsi="Calibri"/>
                <w:b/>
                <w:color w:val="FFFFFF"/>
                <w:sz w:val="18"/>
              </w:rPr>
              <w:t>Mar 2021</w:t>
            </w:r>
          </w:p>
        </w:tc>
        <w:tc>
          <w:tcPr>
            <w:tcW w:type="dxa" w:w="1728"/>
            <w:shd w:fill="1F5F8B"/>
          </w:tcPr>
          <w:p>
            <w:pPr>
              <w:spacing w:before="40" w:after="40"/>
            </w:pPr>
            <w:r>
              <w:rPr>
                <w:rFonts w:ascii="Calibri" w:hAnsi="Calibri"/>
                <w:b/>
                <w:color w:val="FFFFFF"/>
                <w:sz w:val="18"/>
              </w:rPr>
              <w:t>Mar 2022</w:t>
            </w:r>
          </w:p>
        </w:tc>
        <w:tc>
          <w:tcPr>
            <w:tcW w:type="dxa" w:w="1728"/>
            <w:shd w:fill="1F5F8B"/>
          </w:tcPr>
          <w:p>
            <w:pPr>
              <w:spacing w:before="40" w:after="40"/>
            </w:pPr>
            <w:r>
              <w:rPr>
                <w:rFonts w:ascii="Calibri" w:hAnsi="Calibri"/>
                <w:b/>
                <w:color w:val="FFFFFF"/>
                <w:sz w:val="18"/>
              </w:rPr>
              <w:t>Mar 2023</w:t>
            </w:r>
          </w:p>
        </w:tc>
        <w:tc>
          <w:tcPr>
            <w:tcW w:type="dxa" w:w="1728"/>
            <w:shd w:fill="1F5F8B"/>
          </w:tcPr>
          <w:p>
            <w:pPr>
              <w:spacing w:before="40" w:after="40"/>
            </w:pPr>
            <w:r>
              <w:rPr>
                <w:rFonts w:ascii="Calibri" w:hAnsi="Calibri"/>
                <w:b/>
                <w:color w:val="FFFFFF"/>
                <w:sz w:val="18"/>
              </w:rPr>
              <w:t>Mar 2025</w:t>
            </w:r>
          </w:p>
        </w:tc>
      </w:tr>
      <w:tr>
        <w:tc>
          <w:tcPr>
            <w:tcW w:type="dxa" w:w="1728"/>
          </w:tcPr>
          <w:p>
            <w:pPr>
              <w:spacing w:before="40" w:after="40"/>
            </w:pPr>
            <w:r>
              <w:rPr>
                <w:rFonts w:ascii="Calibri" w:hAnsi="Calibri"/>
                <w:b/>
                <w:sz w:val="18"/>
              </w:rPr>
              <w:t>Cash from Operating Activity+</w:t>
            </w:r>
          </w:p>
        </w:tc>
        <w:tc>
          <w:tcPr>
            <w:tcW w:type="dxa" w:w="1728"/>
          </w:tcPr>
          <w:p>
            <w:pPr>
              <w:spacing w:before="40" w:after="40"/>
            </w:pPr>
            <w:r>
              <w:rPr>
                <w:rFonts w:ascii="Calibri" w:hAnsi="Calibri"/>
                <w:sz w:val="18"/>
              </w:rPr>
            </w:r>
          </w:p>
        </w:tc>
        <w:tc>
          <w:tcPr>
            <w:tcW w:type="dxa" w:w="1728"/>
          </w:tcPr>
          <w:p>
            <w:pPr>
              <w:spacing w:before="40" w:after="40"/>
            </w:pPr>
            <w:r>
              <w:rPr>
                <w:rFonts w:ascii="Calibri" w:hAnsi="Calibri"/>
                <w:sz w:val="18"/>
              </w:rPr>
              <w:t>130</w:t>
            </w:r>
          </w:p>
        </w:tc>
        <w:tc>
          <w:tcPr>
            <w:tcW w:type="dxa" w:w="1728"/>
          </w:tcPr>
          <w:p>
            <w:pPr>
              <w:spacing w:before="40" w:after="40"/>
            </w:pPr>
            <w:r>
              <w:rPr>
                <w:rFonts w:ascii="Calibri" w:hAnsi="Calibri"/>
                <w:sz w:val="18"/>
              </w:rPr>
              <w:t>257</w:t>
            </w:r>
          </w:p>
        </w:tc>
        <w:tc>
          <w:tcPr>
            <w:tcW w:type="dxa" w:w="1728"/>
          </w:tcPr>
          <w:p>
            <w:pPr>
              <w:spacing w:before="40" w:after="40"/>
            </w:pPr>
            <w:r>
              <w:rPr>
                <w:rFonts w:ascii="Calibri" w:hAnsi="Calibri"/>
                <w:sz w:val="18"/>
              </w:rPr>
              <w:t>162</w:t>
            </w:r>
          </w:p>
        </w:tc>
      </w:tr>
      <w:tr>
        <w:tc>
          <w:tcPr>
            <w:tcW w:type="dxa" w:w="1728"/>
            <w:shd w:fill="E8F0FE"/>
          </w:tcPr>
          <w:p>
            <w:pPr>
              <w:spacing w:before="40" w:after="40"/>
            </w:pPr>
            <w:r>
              <w:rPr>
                <w:rFonts w:ascii="Calibri" w:hAnsi="Calibri"/>
                <w:b/>
                <w:sz w:val="18"/>
              </w:rPr>
              <w:t>Cash from Investing Activity+</w:t>
            </w:r>
          </w:p>
        </w:tc>
        <w:tc>
          <w:tcPr>
            <w:tcW w:type="dxa" w:w="1728"/>
            <w:shd w:fill="E8F0FE"/>
          </w:tcPr>
          <w:p>
            <w:pPr>
              <w:spacing w:before="40" w:after="40"/>
            </w:pPr>
            <w:r>
              <w:rPr>
                <w:rFonts w:ascii="Calibri" w:hAnsi="Calibri"/>
                <w:sz w:val="18"/>
              </w:rPr>
            </w:r>
          </w:p>
        </w:tc>
        <w:tc>
          <w:tcPr>
            <w:tcW w:type="dxa" w:w="1728"/>
            <w:shd w:fill="E8F0FE"/>
          </w:tcPr>
          <w:p>
            <w:pPr>
              <w:spacing w:before="40" w:after="40"/>
            </w:pPr>
            <w:r>
              <w:rPr>
                <w:rFonts w:ascii="Calibri" w:hAnsi="Calibri"/>
                <w:sz w:val="18"/>
              </w:rPr>
              <w:t>-76</w:t>
            </w:r>
          </w:p>
        </w:tc>
        <w:tc>
          <w:tcPr>
            <w:tcW w:type="dxa" w:w="1728"/>
            <w:shd w:fill="E8F0FE"/>
          </w:tcPr>
          <w:p>
            <w:pPr>
              <w:spacing w:before="40" w:after="40"/>
            </w:pPr>
            <w:r>
              <w:rPr>
                <w:rFonts w:ascii="Calibri" w:hAnsi="Calibri"/>
                <w:sz w:val="18"/>
              </w:rPr>
              <w:t>-237</w:t>
            </w:r>
          </w:p>
        </w:tc>
        <w:tc>
          <w:tcPr>
            <w:tcW w:type="dxa" w:w="1728"/>
            <w:shd w:fill="E8F0FE"/>
          </w:tcPr>
          <w:p>
            <w:pPr>
              <w:spacing w:before="40" w:after="40"/>
            </w:pPr>
            <w:r>
              <w:rPr>
                <w:rFonts w:ascii="Calibri" w:hAnsi="Calibri"/>
                <w:sz w:val="18"/>
              </w:rPr>
              <w:t>-286</w:t>
            </w:r>
          </w:p>
        </w:tc>
      </w:tr>
      <w:tr>
        <w:tc>
          <w:tcPr>
            <w:tcW w:type="dxa" w:w="1728"/>
          </w:tcPr>
          <w:p>
            <w:pPr>
              <w:spacing w:before="40" w:after="40"/>
            </w:pPr>
            <w:r>
              <w:rPr>
                <w:rFonts w:ascii="Calibri" w:hAnsi="Calibri"/>
                <w:b/>
                <w:sz w:val="18"/>
              </w:rPr>
              <w:t>Cash from Financing Activity+</w:t>
            </w:r>
          </w:p>
        </w:tc>
        <w:tc>
          <w:tcPr>
            <w:tcW w:type="dxa" w:w="1728"/>
          </w:tcPr>
          <w:p>
            <w:pPr>
              <w:spacing w:before="40" w:after="40"/>
            </w:pPr>
            <w:r>
              <w:rPr>
                <w:rFonts w:ascii="Calibri" w:hAnsi="Calibri"/>
                <w:sz w:val="18"/>
              </w:rPr>
            </w:r>
          </w:p>
        </w:tc>
        <w:tc>
          <w:tcPr>
            <w:tcW w:type="dxa" w:w="1728"/>
          </w:tcPr>
          <w:p>
            <w:pPr>
              <w:spacing w:before="40" w:after="40"/>
            </w:pPr>
            <w:r>
              <w:rPr>
                <w:rFonts w:ascii="Calibri" w:hAnsi="Calibri"/>
                <w:sz w:val="18"/>
              </w:rPr>
              <w:t>-48</w:t>
            </w:r>
          </w:p>
        </w:tc>
        <w:tc>
          <w:tcPr>
            <w:tcW w:type="dxa" w:w="1728"/>
          </w:tcPr>
          <w:p>
            <w:pPr>
              <w:spacing w:before="40" w:after="40"/>
            </w:pPr>
            <w:r>
              <w:rPr>
                <w:rFonts w:ascii="Calibri" w:hAnsi="Calibri"/>
                <w:sz w:val="18"/>
              </w:rPr>
              <w:t>-15</w:t>
            </w:r>
          </w:p>
        </w:tc>
        <w:tc>
          <w:tcPr>
            <w:tcW w:type="dxa" w:w="1728"/>
          </w:tcPr>
          <w:p>
            <w:pPr>
              <w:spacing w:before="40" w:after="40"/>
            </w:pPr>
            <w:r>
              <w:rPr>
                <w:rFonts w:ascii="Calibri" w:hAnsi="Calibri"/>
                <w:sz w:val="18"/>
              </w:rPr>
              <w:t>89</w:t>
            </w:r>
          </w:p>
        </w:tc>
      </w:tr>
      <w:tr>
        <w:tc>
          <w:tcPr>
            <w:tcW w:type="dxa" w:w="1728"/>
            <w:shd w:fill="E8F0FE"/>
          </w:tcPr>
          <w:p>
            <w:pPr>
              <w:spacing w:before="40" w:after="40"/>
            </w:pPr>
            <w:r>
              <w:rPr>
                <w:rFonts w:ascii="Calibri" w:hAnsi="Calibri"/>
                <w:b/>
                <w:sz w:val="18"/>
              </w:rPr>
              <w:t>Net Cash Flow</w:t>
            </w:r>
          </w:p>
        </w:tc>
        <w:tc>
          <w:tcPr>
            <w:tcW w:type="dxa" w:w="1728"/>
            <w:shd w:fill="E8F0FE"/>
          </w:tcPr>
          <w:p>
            <w:pPr>
              <w:spacing w:before="40" w:after="40"/>
            </w:pPr>
            <w:r>
              <w:rPr>
                <w:rFonts w:ascii="Calibri" w:hAnsi="Calibri"/>
                <w:sz w:val="18"/>
              </w:rPr>
            </w:r>
          </w:p>
        </w:tc>
        <w:tc>
          <w:tcPr>
            <w:tcW w:type="dxa" w:w="1728"/>
            <w:shd w:fill="E8F0FE"/>
          </w:tcPr>
          <w:p>
            <w:pPr>
              <w:spacing w:before="40" w:after="40"/>
            </w:pPr>
            <w:r>
              <w:rPr>
                <w:rFonts w:ascii="Calibri" w:hAnsi="Calibri"/>
                <w:sz w:val="18"/>
              </w:rPr>
              <w:t>6</w:t>
            </w:r>
          </w:p>
        </w:tc>
        <w:tc>
          <w:tcPr>
            <w:tcW w:type="dxa" w:w="1728"/>
            <w:shd w:fill="E8F0FE"/>
          </w:tcPr>
          <w:p>
            <w:pPr>
              <w:spacing w:before="40" w:after="40"/>
            </w:pPr>
            <w:r>
              <w:rPr>
                <w:rFonts w:ascii="Calibri" w:hAnsi="Calibri"/>
                <w:sz w:val="18"/>
              </w:rPr>
              <w:t>5</w:t>
            </w:r>
          </w:p>
        </w:tc>
        <w:tc>
          <w:tcPr>
            <w:tcW w:type="dxa" w:w="1728"/>
            <w:shd w:fill="E8F0FE"/>
          </w:tcPr>
          <w:p>
            <w:pPr>
              <w:spacing w:before="40" w:after="40"/>
            </w:pPr>
            <w:r>
              <w:rPr>
                <w:rFonts w:ascii="Calibri" w:hAnsi="Calibri"/>
                <w:sz w:val="18"/>
              </w:rPr>
              <w:t>-36</w:t>
            </w:r>
          </w:p>
        </w:tc>
      </w:tr>
      <w:tr>
        <w:tc>
          <w:tcPr>
            <w:tcW w:type="dxa" w:w="1728"/>
          </w:tcPr>
          <w:p>
            <w:pPr>
              <w:spacing w:before="40" w:after="40"/>
            </w:pPr>
            <w:r>
              <w:rPr>
                <w:rFonts w:ascii="Calibri" w:hAnsi="Calibri"/>
                <w:b/>
                <w:sz w:val="18"/>
              </w:rPr>
              <w:t>Free Cash Flow</w:t>
            </w:r>
          </w:p>
        </w:tc>
        <w:tc>
          <w:tcPr>
            <w:tcW w:type="dxa" w:w="1728"/>
          </w:tcPr>
          <w:p>
            <w:pPr>
              <w:spacing w:before="40" w:after="40"/>
            </w:pPr>
            <w:r>
              <w:rPr>
                <w:rFonts w:ascii="Calibri" w:hAnsi="Calibri"/>
                <w:sz w:val="18"/>
              </w:rPr>
            </w:r>
          </w:p>
        </w:tc>
        <w:tc>
          <w:tcPr>
            <w:tcW w:type="dxa" w:w="1728"/>
          </w:tcPr>
          <w:p>
            <w:pPr>
              <w:spacing w:before="40" w:after="40"/>
            </w:pPr>
            <w:r>
              <w:rPr>
                <w:rFonts w:ascii="Calibri" w:hAnsi="Calibri"/>
                <w:sz w:val="18"/>
              </w:rPr>
              <w:t>80</w:t>
            </w:r>
          </w:p>
        </w:tc>
        <w:tc>
          <w:tcPr>
            <w:tcW w:type="dxa" w:w="1728"/>
          </w:tcPr>
          <w:p>
            <w:pPr>
              <w:spacing w:before="40" w:after="40"/>
            </w:pPr>
            <w:r>
              <w:rPr>
                <w:rFonts w:ascii="Calibri" w:hAnsi="Calibri"/>
                <w:sz w:val="18"/>
              </w:rPr>
              <w:t>52</w:t>
            </w:r>
          </w:p>
        </w:tc>
        <w:tc>
          <w:tcPr>
            <w:tcW w:type="dxa" w:w="1728"/>
          </w:tcPr>
          <w:p>
            <w:pPr>
              <w:spacing w:before="40" w:after="40"/>
            </w:pPr>
            <w:r>
              <w:rPr>
                <w:rFonts w:ascii="Calibri" w:hAnsi="Calibri"/>
                <w:sz w:val="18"/>
              </w:rPr>
              <w:t>-75</w:t>
            </w:r>
          </w:p>
        </w:tc>
      </w:tr>
      <w:tr>
        <w:tc>
          <w:tcPr>
            <w:tcW w:type="dxa" w:w="1728"/>
            <w:shd w:fill="E8F0FE"/>
          </w:tcPr>
          <w:p>
            <w:pPr>
              <w:spacing w:before="40" w:after="40"/>
            </w:pPr>
            <w:r>
              <w:rPr>
                <w:rFonts w:ascii="Calibri" w:hAnsi="Calibri"/>
                <w:b/>
                <w:sz w:val="18"/>
              </w:rPr>
              <w:t>CFO/OP</w:t>
            </w:r>
          </w:p>
        </w:tc>
        <w:tc>
          <w:tcPr>
            <w:tcW w:type="dxa" w:w="1728"/>
            <w:shd w:fill="E8F0FE"/>
          </w:tcPr>
          <w:p>
            <w:pPr>
              <w:spacing w:before="40" w:after="40"/>
            </w:pPr>
            <w:r>
              <w:rPr>
                <w:rFonts w:ascii="Calibri" w:hAnsi="Calibri"/>
                <w:sz w:val="18"/>
              </w:rPr>
            </w:r>
          </w:p>
        </w:tc>
        <w:tc>
          <w:tcPr>
            <w:tcW w:type="dxa" w:w="1728"/>
            <w:shd w:fill="E8F0FE"/>
          </w:tcPr>
          <w:p>
            <w:pPr>
              <w:spacing w:before="40" w:after="40"/>
            </w:pPr>
            <w:r>
              <w:rPr>
                <w:rFonts w:ascii="Calibri" w:hAnsi="Calibri"/>
                <w:sz w:val="18"/>
              </w:rPr>
              <w:t>94%</w:t>
            </w:r>
          </w:p>
        </w:tc>
        <w:tc>
          <w:tcPr>
            <w:tcW w:type="dxa" w:w="1728"/>
            <w:shd w:fill="E8F0FE"/>
          </w:tcPr>
          <w:p>
            <w:pPr>
              <w:spacing w:before="40" w:after="40"/>
            </w:pPr>
            <w:r>
              <w:rPr>
                <w:rFonts w:ascii="Calibri" w:hAnsi="Calibri"/>
                <w:sz w:val="18"/>
              </w:rPr>
              <w:t>101%</w:t>
            </w:r>
          </w:p>
        </w:tc>
        <w:tc>
          <w:tcPr>
            <w:tcW w:type="dxa" w:w="1728"/>
            <w:shd w:fill="E8F0FE"/>
          </w:tcPr>
          <w:p>
            <w:pPr>
              <w:spacing w:before="40" w:after="40"/>
            </w:pPr>
            <w:r>
              <w:rPr>
                <w:rFonts w:ascii="Calibri" w:hAnsi="Calibri"/>
                <w:sz w:val="18"/>
              </w:rPr>
              <w:t>65%</w:t>
            </w:r>
          </w:p>
        </w:tc>
      </w:tr>
    </w:tbl>
    <w:p/>
    <w:p>
      <w:pPr>
        <w:pStyle w:val="Heading1"/>
      </w:pPr>
      <w:r>
        <w:rPr>
          <w:rFonts w:ascii="Calibri" w:hAnsi="Calibri"/>
          <w:color w:val="1F5F8B"/>
          <w:sz w:val="32"/>
        </w:rPr>
        <w:t>4. Corporate Governance Assessment</w:t>
      </w:r>
    </w:p>
    <w:p>
      <w:pPr>
        <w:spacing w:before="0" w:after="120"/>
      </w:pPr>
    </w:p>
    <w:p>
      <w:pPr>
        <w:pStyle w:val="Heading2"/>
      </w:pPr>
      <w:r>
        <w:rPr>
          <w:rFonts w:ascii="Calibri" w:hAnsi="Calibri"/>
          <w:color w:val="1F5F8B"/>
          <w:sz w:val="26"/>
        </w:rPr>
        <w:t>4.1 Board Composition</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880"/>
        <w:gridCol w:w="2880"/>
        <w:gridCol w:w="2880"/>
      </w:tblGrid>
      <w:tr>
        <w:tc>
          <w:tcPr>
            <w:tcW w:type="dxa" w:w="2880"/>
            <w:shd w:fill="1F5F8B"/>
          </w:tcPr>
          <w:p>
            <w:pPr>
              <w:spacing w:before="40" w:after="40"/>
            </w:pPr>
            <w:r>
              <w:rPr>
                <w:rFonts w:ascii="Calibri" w:hAnsi="Calibri"/>
                <w:b/>
                <w:color w:val="FFFFFF"/>
                <w:sz w:val="18"/>
              </w:rPr>
              <w:t>Name</w:t>
            </w:r>
          </w:p>
        </w:tc>
        <w:tc>
          <w:tcPr>
            <w:tcW w:type="dxa" w:w="2880"/>
            <w:shd w:fill="1F5F8B"/>
          </w:tcPr>
          <w:p>
            <w:pPr>
              <w:spacing w:before="40" w:after="40"/>
            </w:pPr>
            <w:r>
              <w:rPr>
                <w:rFonts w:ascii="Calibri" w:hAnsi="Calibri"/>
                <w:b/>
                <w:color w:val="FFFFFF"/>
                <w:sz w:val="18"/>
              </w:rPr>
              <w:t>Designation</w:t>
            </w:r>
          </w:p>
        </w:tc>
        <w:tc>
          <w:tcPr>
            <w:tcW w:type="dxa" w:w="2880"/>
            <w:shd w:fill="1F5F8B"/>
          </w:tcPr>
          <w:p>
            <w:pPr>
              <w:spacing w:before="40" w:after="40"/>
            </w:pPr>
            <w:r>
              <w:rPr>
                <w:rFonts w:ascii="Calibri" w:hAnsi="Calibri"/>
                <w:b/>
                <w:color w:val="FFFFFF"/>
                <w:sz w:val="18"/>
              </w:rPr>
              <w:t>Category</w:t>
            </w:r>
          </w:p>
        </w:tc>
      </w:tr>
      <w:tr>
        <w:tc>
          <w:tcPr>
            <w:tcW w:type="dxa" w:w="2880"/>
          </w:tcPr>
          <w:p>
            <w:pPr>
              <w:spacing w:before="40" w:after="40"/>
            </w:pPr>
            <w:r>
              <w:rPr>
                <w:rFonts w:ascii="Calibri" w:hAnsi="Calibri"/>
                <w:b/>
                <w:sz w:val="18"/>
              </w:rPr>
              <w:t>Mr. Rishi C. Sanghvi</w:t>
            </w:r>
          </w:p>
        </w:tc>
        <w:tc>
          <w:tcPr>
            <w:tcW w:type="dxa" w:w="2880"/>
          </w:tcPr>
          <w:p>
            <w:pPr>
              <w:spacing w:before="40" w:after="40"/>
            </w:pPr>
            <w:r>
              <w:rPr>
                <w:rFonts w:ascii="Calibri" w:hAnsi="Calibri"/>
                <w:sz w:val="18"/>
              </w:rPr>
              <w:t>Managing Director</w:t>
            </w:r>
          </w:p>
        </w:tc>
        <w:tc>
          <w:tcPr>
            <w:tcW w:type="dxa" w:w="2880"/>
          </w:tcPr>
          <w:p>
            <w:pPr>
              <w:spacing w:before="40" w:after="40"/>
            </w:pPr>
            <w:r>
              <w:rPr>
                <w:rFonts w:ascii="Calibri" w:hAnsi="Calibri"/>
                <w:sz w:val="18"/>
              </w:rPr>
              <w:t>Managing Director</w:t>
            </w:r>
          </w:p>
        </w:tc>
      </w:tr>
      <w:tr>
        <w:tc>
          <w:tcPr>
            <w:tcW w:type="dxa" w:w="2880"/>
            <w:shd w:fill="E8F0FE"/>
          </w:tcPr>
          <w:p>
            <w:pPr>
              <w:spacing w:before="40" w:after="40"/>
            </w:pPr>
            <w:r>
              <w:rPr>
                <w:rFonts w:ascii="Calibri" w:hAnsi="Calibri"/>
                <w:b/>
                <w:sz w:val="18"/>
              </w:rPr>
              <w:t>Mr. Deepak Thombre</w:t>
            </w:r>
          </w:p>
        </w:tc>
        <w:tc>
          <w:tcPr>
            <w:tcW w:type="dxa" w:w="2880"/>
            <w:shd w:fill="E8F0FE"/>
          </w:tcPr>
          <w:p>
            <w:pPr>
              <w:spacing w:before="40" w:after="40"/>
            </w:pPr>
            <w:r>
              <w:rPr>
                <w:rFonts w:ascii="Calibri" w:hAnsi="Calibri"/>
                <w:sz w:val="18"/>
              </w:rPr>
              <w:t>Chairman of Board</w:t>
            </w:r>
          </w:p>
        </w:tc>
        <w:tc>
          <w:tcPr>
            <w:tcW w:type="dxa" w:w="2880"/>
            <w:shd w:fill="E8F0FE"/>
          </w:tcPr>
          <w:p>
            <w:pPr>
              <w:spacing w:before="40" w:after="40"/>
            </w:pPr>
            <w:r>
              <w:rPr>
                <w:rFonts w:ascii="Calibri" w:hAnsi="Calibri"/>
                <w:sz w:val="18"/>
              </w:rPr>
              <w:t>Non-Executive Independent Director</w:t>
            </w:r>
          </w:p>
        </w:tc>
      </w:tr>
      <w:tr>
        <w:tc>
          <w:tcPr>
            <w:tcW w:type="dxa" w:w="2880"/>
          </w:tcPr>
          <w:p>
            <w:pPr>
              <w:spacing w:before="40" w:after="40"/>
            </w:pPr>
            <w:r>
              <w:rPr>
                <w:rFonts w:ascii="Calibri" w:hAnsi="Calibri"/>
                <w:b/>
                <w:sz w:val="18"/>
              </w:rPr>
              <w:t>Mrs. Madhu Pradip Dubhashi</w:t>
            </w:r>
          </w:p>
        </w:tc>
        <w:tc>
          <w:tcPr>
            <w:tcW w:type="dxa" w:w="2880"/>
          </w:tcPr>
          <w:p>
            <w:pPr>
              <w:spacing w:before="40" w:after="40"/>
            </w:pPr>
            <w:r>
              <w:rPr>
                <w:rFonts w:ascii="Calibri" w:hAnsi="Calibri"/>
                <w:sz w:val="18"/>
              </w:rPr>
              <w:t>Chairperson of Audit Committee</w:t>
            </w:r>
          </w:p>
        </w:tc>
        <w:tc>
          <w:tcPr>
            <w:tcW w:type="dxa" w:w="2880"/>
          </w:tcPr>
          <w:p>
            <w:pPr>
              <w:spacing w:before="40" w:after="40"/>
            </w:pPr>
            <w:r>
              <w:rPr>
                <w:rFonts w:ascii="Calibri" w:hAnsi="Calibri"/>
                <w:sz w:val="18"/>
              </w:rPr>
              <w:t>Non-Executive Independent Director</w:t>
            </w:r>
          </w:p>
        </w:tc>
      </w:tr>
      <w:tr>
        <w:tc>
          <w:tcPr>
            <w:tcW w:type="dxa" w:w="2880"/>
            <w:shd w:fill="E8F0FE"/>
          </w:tcPr>
          <w:p>
            <w:pPr>
              <w:spacing w:before="40" w:after="40"/>
            </w:pPr>
            <w:r>
              <w:rPr>
                <w:rFonts w:ascii="Calibri" w:hAnsi="Calibri"/>
                <w:b/>
                <w:sz w:val="18"/>
              </w:rPr>
              <w:t>Mr. Amitabha Mukhopadhyay</w:t>
            </w:r>
          </w:p>
        </w:tc>
        <w:tc>
          <w:tcPr>
            <w:tcW w:type="dxa" w:w="2880"/>
            <w:shd w:fill="E8F0FE"/>
          </w:tcPr>
          <w:p>
            <w:pPr>
              <w:spacing w:before="40" w:after="40"/>
            </w:pPr>
            <w:r>
              <w:rPr>
                <w:rFonts w:ascii="Calibri" w:hAnsi="Calibri"/>
                <w:sz w:val="18"/>
              </w:rPr>
              <w:t>Director</w:t>
            </w:r>
          </w:p>
        </w:tc>
        <w:tc>
          <w:tcPr>
            <w:tcW w:type="dxa" w:w="2880"/>
            <w:shd w:fill="E8F0FE"/>
          </w:tcPr>
          <w:p>
            <w:pPr>
              <w:spacing w:before="40" w:after="40"/>
            </w:pPr>
            <w:r>
              <w:rPr>
                <w:rFonts w:ascii="Calibri" w:hAnsi="Calibri"/>
                <w:sz w:val="18"/>
              </w:rPr>
              <w:t>Non-Executive Independent Director</w:t>
            </w:r>
          </w:p>
        </w:tc>
      </w:tr>
      <w:tr>
        <w:tc>
          <w:tcPr>
            <w:tcW w:type="dxa" w:w="2880"/>
          </w:tcPr>
          <w:p>
            <w:pPr>
              <w:spacing w:before="40" w:after="40"/>
            </w:pPr>
            <w:r>
              <w:rPr>
                <w:rFonts w:ascii="Calibri" w:hAnsi="Calibri"/>
                <w:b/>
                <w:sz w:val="18"/>
              </w:rPr>
              <w:t>Mr. Ishwar Chand Mangal</w:t>
            </w:r>
          </w:p>
        </w:tc>
        <w:tc>
          <w:tcPr>
            <w:tcW w:type="dxa" w:w="2880"/>
          </w:tcPr>
          <w:p>
            <w:pPr>
              <w:spacing w:before="40" w:after="40"/>
            </w:pPr>
            <w:r>
              <w:rPr>
                <w:rFonts w:ascii="Calibri" w:hAnsi="Calibri"/>
                <w:sz w:val="18"/>
              </w:rPr>
              <w:t>Director</w:t>
            </w:r>
          </w:p>
        </w:tc>
        <w:tc>
          <w:tcPr>
            <w:tcW w:type="dxa" w:w="2880"/>
          </w:tcPr>
          <w:p>
            <w:pPr>
              <w:spacing w:before="40" w:after="40"/>
            </w:pPr>
            <w:r>
              <w:rPr>
                <w:rFonts w:ascii="Calibri" w:hAnsi="Calibri"/>
                <w:sz w:val="18"/>
              </w:rPr>
              <w:t>Non-Executive Independent Director</w:t>
            </w:r>
          </w:p>
        </w:tc>
      </w:tr>
      <w:tr>
        <w:tc>
          <w:tcPr>
            <w:tcW w:type="dxa" w:w="2880"/>
            <w:shd w:fill="E8F0FE"/>
          </w:tcPr>
          <w:p>
            <w:pPr>
              <w:spacing w:before="40" w:after="40"/>
            </w:pPr>
            <w:r>
              <w:rPr>
                <w:rFonts w:ascii="Calibri" w:hAnsi="Calibri"/>
                <w:b/>
                <w:sz w:val="18"/>
              </w:rPr>
              <w:t>Mr. Tushar Mehendale</w:t>
            </w:r>
          </w:p>
        </w:tc>
        <w:tc>
          <w:tcPr>
            <w:tcW w:type="dxa" w:w="2880"/>
            <w:shd w:fill="E8F0FE"/>
          </w:tcPr>
          <w:p>
            <w:pPr>
              <w:spacing w:before="40" w:after="40"/>
            </w:pPr>
            <w:r>
              <w:rPr>
                <w:rFonts w:ascii="Calibri" w:hAnsi="Calibri"/>
                <w:sz w:val="18"/>
              </w:rPr>
              <w:t>Director</w:t>
            </w:r>
          </w:p>
        </w:tc>
        <w:tc>
          <w:tcPr>
            <w:tcW w:type="dxa" w:w="2880"/>
            <w:shd w:fill="E8F0FE"/>
          </w:tcPr>
          <w:p>
            <w:pPr>
              <w:spacing w:before="40" w:after="40"/>
            </w:pPr>
            <w:r>
              <w:rPr>
                <w:rFonts w:ascii="Calibri" w:hAnsi="Calibri"/>
                <w:sz w:val="18"/>
              </w:rPr>
              <w:t>Non-Executive Independent Director</w:t>
            </w:r>
          </w:p>
        </w:tc>
      </w:tr>
      <w:tr>
        <w:tc>
          <w:tcPr>
            <w:tcW w:type="dxa" w:w="2880"/>
          </w:tcPr>
          <w:p>
            <w:pPr>
              <w:spacing w:before="40" w:after="40"/>
            </w:pPr>
            <w:r>
              <w:rPr>
                <w:rFonts w:ascii="Calibri" w:hAnsi="Calibri"/>
                <w:b/>
                <w:sz w:val="18"/>
              </w:rPr>
              <w:t>Mr. Indraneel Chitale</w:t>
            </w:r>
          </w:p>
        </w:tc>
        <w:tc>
          <w:tcPr>
            <w:tcW w:type="dxa" w:w="2880"/>
          </w:tcPr>
          <w:p>
            <w:pPr>
              <w:spacing w:before="40" w:after="40"/>
            </w:pPr>
            <w:r>
              <w:rPr>
                <w:rFonts w:ascii="Calibri" w:hAnsi="Calibri"/>
                <w:sz w:val="18"/>
              </w:rPr>
              <w:t>Director</w:t>
            </w:r>
          </w:p>
        </w:tc>
        <w:tc>
          <w:tcPr>
            <w:tcW w:type="dxa" w:w="2880"/>
          </w:tcPr>
          <w:p>
            <w:pPr>
              <w:spacing w:before="40" w:after="40"/>
            </w:pPr>
            <w:r>
              <w:rPr>
                <w:rFonts w:ascii="Calibri" w:hAnsi="Calibri"/>
                <w:sz w:val="18"/>
              </w:rPr>
              <w:t>Non-Executive Independent Director</w:t>
            </w:r>
          </w:p>
        </w:tc>
      </w:tr>
      <w:tr>
        <w:tc>
          <w:tcPr>
            <w:tcW w:type="dxa" w:w="2880"/>
            <w:shd w:fill="E8F0FE"/>
          </w:tcPr>
          <w:p>
            <w:pPr>
              <w:spacing w:before="40" w:after="40"/>
            </w:pPr>
            <w:r>
              <w:rPr>
                <w:rFonts w:ascii="Calibri" w:hAnsi="Calibri"/>
                <w:b/>
                <w:sz w:val="18"/>
              </w:rPr>
              <w:t>Mrs. Maithili R. Sanghvi</w:t>
            </w:r>
          </w:p>
        </w:tc>
        <w:tc>
          <w:tcPr>
            <w:tcW w:type="dxa" w:w="2880"/>
            <w:shd w:fill="E8F0FE"/>
          </w:tcPr>
          <w:p>
            <w:pPr>
              <w:spacing w:before="40" w:after="40"/>
            </w:pPr>
            <w:r>
              <w:rPr>
                <w:rFonts w:ascii="Calibri" w:hAnsi="Calibri"/>
                <w:sz w:val="18"/>
              </w:rPr>
              <w:t>Director</w:t>
            </w:r>
          </w:p>
        </w:tc>
        <w:tc>
          <w:tcPr>
            <w:tcW w:type="dxa" w:w="2880"/>
            <w:shd w:fill="E8F0FE"/>
          </w:tcPr>
          <w:p>
            <w:pPr>
              <w:spacing w:before="40" w:after="40"/>
            </w:pPr>
            <w:r>
              <w:rPr>
                <w:rFonts w:ascii="Calibri" w:hAnsi="Calibri"/>
                <w:sz w:val="18"/>
              </w:rPr>
              <w:t>Non-Executive Non-Independent Director</w:t>
            </w:r>
          </w:p>
        </w:tc>
      </w:tr>
    </w:tbl>
    <w:p/>
    <w:p>
      <w:pPr>
        <w:pStyle w:val="Heading2"/>
      </w:pPr>
      <w:r>
        <w:rPr>
          <w:rFonts w:ascii="Calibri" w:hAnsi="Calibri"/>
          <w:color w:val="1F5F8B"/>
          <w:sz w:val="26"/>
        </w:rPr>
        <w:t>4.2 Governance Strengths</w:t>
      </w:r>
    </w:p>
    <w:p>
      <w:pPr>
        <w:pStyle w:val="ListBullet"/>
        <w:spacing w:after="80"/>
      </w:pPr>
      <w:r>
        <w:rPr>
          <w:rFonts w:ascii="Calibri" w:hAnsi="Calibri"/>
          <w:color w:val="333333"/>
          <w:sz w:val="20"/>
        </w:rPr>
        <w:t xml:space="preserve">  </w:t>
      </w:r>
      <w:r>
        <w:rPr>
          <w:rFonts w:ascii="Calibri" w:hAnsi="Calibri"/>
          <w:b/>
          <w:color w:val="333333"/>
          <w:sz w:val="20"/>
        </w:rPr>
        <w:t>Independent Board Structure:</w:t>
      </w:r>
      <w:r>
        <w:rPr>
          <w:rFonts w:ascii="Calibri" w:hAnsi="Calibri"/>
          <w:color w:val="333333"/>
          <w:sz w:val="20"/>
        </w:rPr>
        <w:t xml:space="preserve"> The Board of Directors comprises a majority of independent directors, ensuring objective oversight and decision-making.</w:t>
      </w:r>
    </w:p>
    <w:p>
      <w:pPr>
        <w:pStyle w:val="ListBullet"/>
        <w:spacing w:after="80"/>
      </w:pPr>
      <w:r>
        <w:rPr>
          <w:rFonts w:ascii="Calibri" w:hAnsi="Calibri"/>
          <w:color w:val="333333"/>
          <w:sz w:val="20"/>
        </w:rPr>
        <w:t xml:space="preserve">  </w:t>
      </w:r>
      <w:r>
        <w:rPr>
          <w:rFonts w:ascii="Calibri" w:hAnsi="Calibri"/>
          <w:b/>
          <w:color w:val="333333"/>
          <w:sz w:val="20"/>
        </w:rPr>
        <w:t>Experienced Leadership Team:</w:t>
      </w:r>
      <w:r>
        <w:rPr>
          <w:rFonts w:ascii="Calibri" w:hAnsi="Calibri"/>
          <w:color w:val="333333"/>
          <w:sz w:val="20"/>
        </w:rPr>
        <w:t xml:space="preserve"> The company has strengthened its leadership with the appointment of experienced professionals in key roles like CEO, CFO, and Company Secretary.</w:t>
      </w:r>
    </w:p>
    <w:p>
      <w:pPr>
        <w:pStyle w:val="ListBullet"/>
        <w:spacing w:after="80"/>
      </w:pPr>
      <w:r>
        <w:rPr>
          <w:rFonts w:ascii="Calibri" w:hAnsi="Calibri"/>
          <w:color w:val="333333"/>
          <w:sz w:val="20"/>
        </w:rPr>
        <w:t xml:space="preserve">  </w:t>
      </w:r>
      <w:r>
        <w:rPr>
          <w:rFonts w:ascii="Calibri" w:hAnsi="Calibri"/>
          <w:b/>
          <w:color w:val="333333"/>
          <w:sz w:val="20"/>
        </w:rPr>
        <w:t>Robust Internal Controls:</w:t>
      </w:r>
      <w:r>
        <w:rPr>
          <w:rFonts w:ascii="Calibri" w:hAnsi="Calibri"/>
          <w:color w:val="333333"/>
          <w:sz w:val="20"/>
        </w:rPr>
        <w:t xml:space="preserve"> SML maintains adequate internal financial controls, with regular internal audits and management reviews to ensure effectiveness and compliance.</w:t>
      </w:r>
    </w:p>
    <w:p>
      <w:pPr>
        <w:pStyle w:val="ListBullet"/>
        <w:spacing w:after="80"/>
      </w:pPr>
      <w:r>
        <w:rPr>
          <w:rFonts w:ascii="Calibri" w:hAnsi="Calibri"/>
          <w:color w:val="333333"/>
          <w:sz w:val="20"/>
        </w:rPr>
        <w:t xml:space="preserve">  </w:t>
      </w:r>
      <w:r>
        <w:rPr>
          <w:rFonts w:ascii="Calibri" w:hAnsi="Calibri"/>
          <w:b/>
          <w:color w:val="333333"/>
          <w:sz w:val="20"/>
        </w:rPr>
        <w:t>Commitment to Compliance:</w:t>
      </w:r>
      <w:r>
        <w:rPr>
          <w:rFonts w:ascii="Calibri" w:hAnsi="Calibri"/>
          <w:color w:val="333333"/>
          <w:sz w:val="20"/>
        </w:rPr>
        <w:t xml:space="preserve"> The company adheres to SEBI (LODR) Regulations and has a dedicated Company Secretary &amp; Chief Compliance Officer.</w:t>
      </w:r>
    </w:p>
    <w:p>
      <w:pPr>
        <w:pStyle w:val="ListBullet"/>
        <w:spacing w:after="80"/>
      </w:pPr>
      <w:r>
        <w:rPr>
          <w:rFonts w:ascii="Calibri" w:hAnsi="Calibri"/>
          <w:color w:val="333333"/>
          <w:sz w:val="20"/>
        </w:rPr>
        <w:t xml:space="preserve">  </w:t>
      </w:r>
      <w:r>
        <w:rPr>
          <w:rFonts w:ascii="Calibri" w:hAnsi="Calibri"/>
          <w:b/>
          <w:color w:val="333333"/>
          <w:sz w:val="20"/>
        </w:rPr>
        <w:t>Whistleblower Policy:</w:t>
      </w:r>
      <w:r>
        <w:rPr>
          <w:rFonts w:ascii="Calibri" w:hAnsi="Calibri"/>
          <w:color w:val="333333"/>
          <w:sz w:val="20"/>
        </w:rPr>
        <w:t xml:space="preserve"> A formal Vigil Mechanism and Whistleblower Policy is in place, providing a confidential channel for reporting unethical behavior without fear of retaliation.</w:t>
      </w:r>
    </w:p>
    <w:p>
      <w:pPr>
        <w:pStyle w:val="ListBullet"/>
        <w:spacing w:after="80"/>
      </w:pPr>
      <w:r>
        <w:rPr>
          <w:rFonts w:ascii="Calibri" w:hAnsi="Calibri"/>
          <w:color w:val="333333"/>
          <w:sz w:val="20"/>
        </w:rPr>
        <w:t xml:space="preserve">  </w:t>
      </w:r>
      <w:r>
        <w:rPr>
          <w:rFonts w:ascii="Calibri" w:hAnsi="Calibri"/>
          <w:b/>
          <w:color w:val="333333"/>
          <w:sz w:val="20"/>
        </w:rPr>
        <w:t>Strong QHSE Standards:</w:t>
      </w:r>
      <w:r>
        <w:rPr>
          <w:rFonts w:ascii="Calibri" w:hAnsi="Calibri"/>
          <w:color w:val="333333"/>
          <w:sz w:val="20"/>
        </w:rPr>
        <w:t xml:space="preserve"> The company is certified with ISO 9001:2015, ISO 14001:2015, and ISO 45001:2018, reflecting a commitment to quality, environmental stewardship, and occupational health and safety.</w:t>
      </w:r>
    </w:p>
    <w:p>
      <w:pPr>
        <w:pStyle w:val="ListBullet"/>
        <w:spacing w:after="80"/>
      </w:pPr>
      <w:r>
        <w:rPr>
          <w:rFonts w:ascii="Calibri" w:hAnsi="Calibri"/>
          <w:color w:val="333333"/>
          <w:sz w:val="20"/>
        </w:rPr>
        <w:t xml:space="preserve">  </w:t>
      </w:r>
      <w:r>
        <w:rPr>
          <w:rFonts w:ascii="Calibri" w:hAnsi="Calibri"/>
          <w:b/>
          <w:color w:val="333333"/>
          <w:sz w:val="20"/>
        </w:rPr>
        <w:t>Transparency in Disclosures:</w:t>
      </w:r>
      <w:r>
        <w:rPr>
          <w:rFonts w:ascii="Calibri" w:hAnsi="Calibri"/>
          <w:color w:val="333333"/>
          <w:sz w:val="20"/>
        </w:rPr>
        <w:t xml:space="preserve"> SML adheres to stringent standards for disclosing financial and non-financial information on its website and to stock exchanges.</w:t>
      </w:r>
    </w:p>
    <w:p>
      <w:pPr>
        <w:pStyle w:val="ListBullet"/>
        <w:spacing w:after="80"/>
      </w:pPr>
      <w:r>
        <w:rPr>
          <w:rFonts w:ascii="Calibri" w:hAnsi="Calibri"/>
          <w:color w:val="333333"/>
          <w:sz w:val="20"/>
        </w:rPr>
        <w:t xml:space="preserve">  </w:t>
      </w:r>
      <w:r>
        <w:rPr>
          <w:rFonts w:ascii="Calibri" w:hAnsi="Calibri"/>
          <w:b/>
          <w:color w:val="333333"/>
          <w:sz w:val="20"/>
        </w:rPr>
        <w:t>Active Stakeholder Engagement:</w:t>
      </w:r>
      <w:r>
        <w:rPr>
          <w:rFonts w:ascii="Calibri" w:hAnsi="Calibri"/>
          <w:color w:val="333333"/>
          <w:sz w:val="20"/>
        </w:rPr>
        <w:t xml:space="preserve"> The company engages with various stakeholder groups through multiple channels and has a policy for determining material subsidiaries.</w:t>
      </w:r>
    </w:p>
    <w:p>
      <w:pPr>
        <w:pStyle w:val="Heading2"/>
      </w:pPr>
      <w:r>
        <w:rPr>
          <w:rFonts w:ascii="Calibri" w:hAnsi="Calibri"/>
          <w:color w:val="1F5F8B"/>
          <w:sz w:val="26"/>
        </w:rPr>
        <w:t>4.3 Governance Concerns / Watchpoints</w:t>
      </w:r>
    </w:p>
    <w:p>
      <w:pPr>
        <w:pStyle w:val="ListBullet"/>
        <w:spacing w:after="80"/>
      </w:pPr>
      <w:r>
        <w:rPr>
          <w:rFonts w:ascii="Calibri" w:hAnsi="Calibri"/>
          <w:color w:val="333333"/>
          <w:sz w:val="20"/>
        </w:rPr>
        <w:t xml:space="preserve">  </w:t>
      </w:r>
      <w:r>
        <w:rPr>
          <w:rFonts w:ascii="Calibri" w:hAnsi="Calibri"/>
          <w:b/>
          <w:color w:val="333333"/>
          <w:sz w:val="20"/>
        </w:rPr>
        <w:t>Family Dominance:</w:t>
      </w:r>
      <w:r>
        <w:rPr>
          <w:rFonts w:ascii="Calibri" w:hAnsi="Calibri"/>
          <w:color w:val="333333"/>
          <w:sz w:val="20"/>
        </w:rPr>
        <w:t xml:space="preserve"> While the board has independent directors, the presence of Mr. Rishi C. Sanghvi (Managing Director) and Mrs. Maithili R. Sanghvi (Non-Executive Non-Independent Director) indicates promoter family involvement in key leadership and oversight roles.</w:t>
      </w:r>
    </w:p>
    <w:p>
      <w:pPr>
        <w:pStyle w:val="ListBullet"/>
        <w:spacing w:after="80"/>
      </w:pPr>
      <w:r>
        <w:rPr>
          <w:rFonts w:ascii="Calibri" w:hAnsi="Calibri"/>
          <w:color w:val="333333"/>
          <w:sz w:val="20"/>
        </w:rPr>
        <w:t xml:space="preserve">  </w:t>
      </w:r>
      <w:r>
        <w:rPr>
          <w:rFonts w:ascii="Calibri" w:hAnsi="Calibri"/>
          <w:b/>
          <w:color w:val="333333"/>
          <w:sz w:val="20"/>
        </w:rPr>
        <w:t>Minor Procedural Lapses:</w:t>
      </w:r>
      <w:r>
        <w:rPr>
          <w:rFonts w:ascii="Calibri" w:hAnsi="Calibri"/>
          <w:color w:val="333333"/>
          <w:sz w:val="20"/>
        </w:rPr>
        <w:t xml:space="preserve"> The secretarial audit report for FY25 noted minor procedural lapses, such as delays in filing certain intimations, lack of specific references to noting subsidiary minutes in board meetings, and incomplete website disclosures at the time of the audit. While these are being addressed, they indicate areas for continuous improvement in compliance processes.</w:t>
      </w:r>
    </w:p>
    <w:p>
      <w:pPr>
        <w:pStyle w:val="ListBullet"/>
        <w:spacing w:after="80"/>
      </w:pPr>
      <w:r>
        <w:rPr>
          <w:rFonts w:ascii="Calibri" w:hAnsi="Calibri"/>
          <w:color w:val="333333"/>
          <w:sz w:val="20"/>
        </w:rPr>
        <w:t xml:space="preserve">  </w:t>
      </w:r>
      <w:r>
        <w:rPr>
          <w:rFonts w:ascii="Calibri" w:hAnsi="Calibri"/>
          <w:b/>
          <w:color w:val="333333"/>
          <w:sz w:val="20"/>
        </w:rPr>
        <w:t>Related Party Transactions:</w:t>
      </w:r>
      <w:r>
        <w:rPr>
          <w:rFonts w:ascii="Calibri" w:hAnsi="Calibri"/>
          <w:color w:val="333333"/>
          <w:sz w:val="20"/>
        </w:rPr>
        <w:t xml:space="preserve"> While transactions with wholly-owned subsidiaries are on an arm's length basis and noted in Audit Committee minutes, the minutes did not always explicitly record the terms 'approval' or 'prior approval' as required by Regulation 23 of SEBI (LODR) Regulations.</w:t>
      </w:r>
    </w:p>
    <w:p>
      <w:pPr>
        <w:pStyle w:val="Heading2"/>
      </w:pPr>
      <w:r>
        <w:rPr>
          <w:rFonts w:ascii="Calibri" w:hAnsi="Calibri"/>
          <w:color w:val="1F5F8B"/>
          <w:sz w:val="26"/>
        </w:rPr>
        <w:t>4.4 Shareholding Pattern</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880"/>
        <w:gridCol w:w="2880"/>
        <w:gridCol w:w="2880"/>
      </w:tblGrid>
      <w:tr>
        <w:tc>
          <w:tcPr>
            <w:tcW w:type="dxa" w:w="2880"/>
            <w:shd w:fill="1F5F8B"/>
          </w:tcPr>
          <w:p>
            <w:pPr>
              <w:spacing w:before="40" w:after="40"/>
            </w:pPr>
            <w:r>
              <w:rPr>
                <w:rFonts w:ascii="Calibri" w:hAnsi="Calibri"/>
                <w:b/>
                <w:color w:val="FFFFFF"/>
                <w:sz w:val="18"/>
              </w:rPr>
              <w:t>Category</w:t>
            </w:r>
          </w:p>
        </w:tc>
        <w:tc>
          <w:tcPr>
            <w:tcW w:type="dxa" w:w="2880"/>
            <w:shd w:fill="1F5F8B"/>
          </w:tcPr>
          <w:p>
            <w:pPr>
              <w:spacing w:before="40" w:after="40"/>
            </w:pPr>
            <w:r>
              <w:rPr>
                <w:rFonts w:ascii="Calibri" w:hAnsi="Calibri"/>
                <w:b/>
                <w:color w:val="FFFFFF"/>
                <w:sz w:val="18"/>
              </w:rPr>
              <w:t>No. of Shares</w:t>
            </w:r>
          </w:p>
        </w:tc>
        <w:tc>
          <w:tcPr>
            <w:tcW w:type="dxa" w:w="2880"/>
            <w:shd w:fill="1F5F8B"/>
          </w:tcPr>
          <w:p>
            <w:pPr>
              <w:spacing w:before="40" w:after="40"/>
            </w:pPr>
            <w:r>
              <w:rPr>
                <w:rFonts w:ascii="Calibri" w:hAnsi="Calibri"/>
                <w:b/>
                <w:color w:val="FFFFFF"/>
                <w:sz w:val="18"/>
              </w:rPr>
              <w:t>% Holding</w:t>
            </w:r>
          </w:p>
        </w:tc>
      </w:tr>
      <w:tr>
        <w:tc>
          <w:tcPr>
            <w:tcW w:type="dxa" w:w="2880"/>
          </w:tcPr>
          <w:p>
            <w:pPr>
              <w:spacing w:before="40" w:after="40"/>
            </w:pPr>
            <w:r>
              <w:rPr>
                <w:rFonts w:ascii="Calibri" w:hAnsi="Calibri"/>
                <w:b/>
                <w:sz w:val="18"/>
              </w:rPr>
              <w:t>Promoters &amp; PAIC</w:t>
            </w:r>
          </w:p>
        </w:tc>
        <w:tc>
          <w:tcPr>
            <w:tcW w:type="dxa" w:w="2880"/>
          </w:tcPr>
          <w:p>
            <w:pPr>
              <w:spacing w:before="40" w:after="40"/>
            </w:pPr>
            <w:r>
              <w:rPr>
                <w:rFonts w:ascii="Calibri" w:hAnsi="Calibri"/>
                <w:sz w:val="18"/>
              </w:rPr>
              <w:t>4,09,06,254</w:t>
            </w:r>
          </w:p>
        </w:tc>
        <w:tc>
          <w:tcPr>
            <w:tcW w:type="dxa" w:w="2880"/>
          </w:tcPr>
          <w:p>
            <w:pPr>
              <w:spacing w:before="40" w:after="40"/>
            </w:pPr>
            <w:r>
              <w:rPr>
                <w:rFonts w:ascii="Calibri" w:hAnsi="Calibri"/>
                <w:sz w:val="18"/>
              </w:rPr>
              <w:t>47.24%</w:t>
            </w:r>
          </w:p>
        </w:tc>
      </w:tr>
      <w:tr>
        <w:tc>
          <w:tcPr>
            <w:tcW w:type="dxa" w:w="2880"/>
            <w:shd w:fill="E8F0FE"/>
          </w:tcPr>
          <w:p>
            <w:pPr>
              <w:spacing w:before="40" w:after="40"/>
            </w:pPr>
            <w:r>
              <w:rPr>
                <w:rFonts w:ascii="Calibri" w:hAnsi="Calibri"/>
                <w:b/>
                <w:sz w:val="18"/>
              </w:rPr>
              <w:t>General Public &amp; others</w:t>
            </w:r>
          </w:p>
        </w:tc>
        <w:tc>
          <w:tcPr>
            <w:tcW w:type="dxa" w:w="2880"/>
            <w:shd w:fill="E8F0FE"/>
          </w:tcPr>
          <w:p>
            <w:pPr>
              <w:spacing w:before="40" w:after="40"/>
            </w:pPr>
            <w:r>
              <w:rPr>
                <w:rFonts w:ascii="Calibri" w:hAnsi="Calibri"/>
                <w:sz w:val="18"/>
              </w:rPr>
              <w:t>3,45,00,583</w:t>
            </w:r>
          </w:p>
        </w:tc>
        <w:tc>
          <w:tcPr>
            <w:tcW w:type="dxa" w:w="2880"/>
            <w:shd w:fill="E8F0FE"/>
          </w:tcPr>
          <w:p>
            <w:pPr>
              <w:spacing w:before="40" w:after="40"/>
            </w:pPr>
            <w:r>
              <w:rPr>
                <w:rFonts w:ascii="Calibri" w:hAnsi="Calibri"/>
                <w:sz w:val="18"/>
              </w:rPr>
              <w:t>39.85%</w:t>
            </w:r>
          </w:p>
        </w:tc>
      </w:tr>
      <w:tr>
        <w:tc>
          <w:tcPr>
            <w:tcW w:type="dxa" w:w="2880"/>
          </w:tcPr>
          <w:p>
            <w:pPr>
              <w:spacing w:before="40" w:after="40"/>
            </w:pPr>
            <w:r>
              <w:rPr>
                <w:rFonts w:ascii="Calibri" w:hAnsi="Calibri"/>
                <w:b/>
                <w:sz w:val="18"/>
              </w:rPr>
              <w:t>Mutual Funds</w:t>
            </w:r>
          </w:p>
        </w:tc>
        <w:tc>
          <w:tcPr>
            <w:tcW w:type="dxa" w:w="2880"/>
          </w:tcPr>
          <w:p>
            <w:pPr>
              <w:spacing w:before="40" w:after="40"/>
            </w:pPr>
            <w:r>
              <w:rPr>
                <w:rFonts w:ascii="Calibri" w:hAnsi="Calibri"/>
                <w:sz w:val="18"/>
              </w:rPr>
              <w:t>38,18,839</w:t>
            </w:r>
          </w:p>
        </w:tc>
        <w:tc>
          <w:tcPr>
            <w:tcW w:type="dxa" w:w="2880"/>
          </w:tcPr>
          <w:p>
            <w:pPr>
              <w:spacing w:before="40" w:after="40"/>
            </w:pPr>
            <w:r>
              <w:rPr>
                <w:rFonts w:ascii="Calibri" w:hAnsi="Calibri"/>
                <w:sz w:val="18"/>
              </w:rPr>
              <w:t>4.41%</w:t>
            </w:r>
          </w:p>
        </w:tc>
      </w:tr>
      <w:tr>
        <w:tc>
          <w:tcPr>
            <w:tcW w:type="dxa" w:w="2880"/>
            <w:shd w:fill="E8F0FE"/>
          </w:tcPr>
          <w:p>
            <w:pPr>
              <w:spacing w:before="40" w:after="40"/>
            </w:pPr>
            <w:r>
              <w:rPr>
                <w:rFonts w:ascii="Calibri" w:hAnsi="Calibri"/>
                <w:b/>
                <w:sz w:val="18"/>
              </w:rPr>
              <w:t>Private Corporate Bodies</w:t>
            </w:r>
          </w:p>
        </w:tc>
        <w:tc>
          <w:tcPr>
            <w:tcW w:type="dxa" w:w="2880"/>
            <w:shd w:fill="E8F0FE"/>
          </w:tcPr>
          <w:p>
            <w:pPr>
              <w:spacing w:before="40" w:after="40"/>
            </w:pPr>
            <w:r>
              <w:rPr>
                <w:rFonts w:ascii="Calibri" w:hAnsi="Calibri"/>
                <w:sz w:val="18"/>
              </w:rPr>
              <w:t>28,91,123</w:t>
            </w:r>
          </w:p>
        </w:tc>
        <w:tc>
          <w:tcPr>
            <w:tcW w:type="dxa" w:w="2880"/>
            <w:shd w:fill="E8F0FE"/>
          </w:tcPr>
          <w:p>
            <w:pPr>
              <w:spacing w:before="40" w:after="40"/>
            </w:pPr>
            <w:r>
              <w:rPr>
                <w:rFonts w:ascii="Calibri" w:hAnsi="Calibri"/>
                <w:sz w:val="18"/>
              </w:rPr>
              <w:t>3.33%</w:t>
            </w:r>
          </w:p>
        </w:tc>
      </w:tr>
      <w:tr>
        <w:tc>
          <w:tcPr>
            <w:tcW w:type="dxa" w:w="2880"/>
          </w:tcPr>
          <w:p>
            <w:pPr>
              <w:spacing w:before="40" w:after="40"/>
            </w:pPr>
            <w:r>
              <w:rPr>
                <w:rFonts w:ascii="Calibri" w:hAnsi="Calibri"/>
                <w:b/>
                <w:sz w:val="18"/>
              </w:rPr>
              <w:t>NRI’s</w:t>
            </w:r>
          </w:p>
        </w:tc>
        <w:tc>
          <w:tcPr>
            <w:tcW w:type="dxa" w:w="2880"/>
          </w:tcPr>
          <w:p>
            <w:pPr>
              <w:spacing w:before="40" w:after="40"/>
            </w:pPr>
            <w:r>
              <w:rPr>
                <w:rFonts w:ascii="Calibri" w:hAnsi="Calibri"/>
                <w:sz w:val="18"/>
              </w:rPr>
              <w:t>19,04,584</w:t>
            </w:r>
          </w:p>
        </w:tc>
        <w:tc>
          <w:tcPr>
            <w:tcW w:type="dxa" w:w="2880"/>
          </w:tcPr>
          <w:p>
            <w:pPr>
              <w:spacing w:before="40" w:after="40"/>
            </w:pPr>
            <w:r>
              <w:rPr>
                <w:rFonts w:ascii="Calibri" w:hAnsi="Calibri"/>
                <w:sz w:val="18"/>
              </w:rPr>
              <w:t>2.20%</w:t>
            </w:r>
          </w:p>
        </w:tc>
      </w:tr>
      <w:tr>
        <w:tc>
          <w:tcPr>
            <w:tcW w:type="dxa" w:w="2880"/>
            <w:shd w:fill="E8F0FE"/>
          </w:tcPr>
          <w:p>
            <w:pPr>
              <w:spacing w:before="40" w:after="40"/>
            </w:pPr>
            <w:r>
              <w:rPr>
                <w:rFonts w:ascii="Calibri" w:hAnsi="Calibri"/>
                <w:b/>
                <w:sz w:val="18"/>
              </w:rPr>
              <w:t>Foreign Portfolio Investor</w:t>
            </w:r>
          </w:p>
        </w:tc>
        <w:tc>
          <w:tcPr>
            <w:tcW w:type="dxa" w:w="2880"/>
            <w:shd w:fill="E8F0FE"/>
          </w:tcPr>
          <w:p>
            <w:pPr>
              <w:spacing w:before="40" w:after="40"/>
            </w:pPr>
            <w:r>
              <w:rPr>
                <w:rFonts w:ascii="Calibri" w:hAnsi="Calibri"/>
                <w:sz w:val="18"/>
              </w:rPr>
              <w:t>18,30,359</w:t>
            </w:r>
          </w:p>
        </w:tc>
        <w:tc>
          <w:tcPr>
            <w:tcW w:type="dxa" w:w="2880"/>
            <w:shd w:fill="E8F0FE"/>
          </w:tcPr>
          <w:p>
            <w:pPr>
              <w:spacing w:before="40" w:after="40"/>
            </w:pPr>
            <w:r>
              <w:rPr>
                <w:rFonts w:ascii="Calibri" w:hAnsi="Calibri"/>
                <w:sz w:val="18"/>
              </w:rPr>
              <w:t>2.13%</w:t>
            </w:r>
          </w:p>
        </w:tc>
      </w:tr>
      <w:tr>
        <w:tc>
          <w:tcPr>
            <w:tcW w:type="dxa" w:w="2880"/>
          </w:tcPr>
          <w:p>
            <w:pPr>
              <w:spacing w:before="40" w:after="40"/>
            </w:pPr>
            <w:r>
              <w:rPr>
                <w:rFonts w:ascii="Calibri" w:hAnsi="Calibri"/>
                <w:b/>
                <w:sz w:val="18"/>
              </w:rPr>
              <w:t>Alternate Investment Funds</w:t>
            </w:r>
          </w:p>
        </w:tc>
        <w:tc>
          <w:tcPr>
            <w:tcW w:type="dxa" w:w="2880"/>
          </w:tcPr>
          <w:p>
            <w:pPr>
              <w:spacing w:before="40" w:after="40"/>
            </w:pPr>
            <w:r>
              <w:rPr>
                <w:rFonts w:ascii="Calibri" w:hAnsi="Calibri"/>
                <w:sz w:val="18"/>
              </w:rPr>
              <w:t>7,24,258</w:t>
            </w:r>
          </w:p>
        </w:tc>
        <w:tc>
          <w:tcPr>
            <w:tcW w:type="dxa" w:w="2880"/>
          </w:tcPr>
          <w:p>
            <w:pPr>
              <w:spacing w:before="40" w:after="40"/>
            </w:pPr>
            <w:r>
              <w:rPr>
                <w:rFonts w:ascii="Calibri" w:hAnsi="Calibri"/>
                <w:sz w:val="18"/>
              </w:rPr>
              <w:t>0.84%</w:t>
            </w:r>
          </w:p>
        </w:tc>
      </w:tr>
      <w:tr>
        <w:tc>
          <w:tcPr>
            <w:tcW w:type="dxa" w:w="2880"/>
            <w:shd w:fill="E8F0FE"/>
          </w:tcPr>
          <w:p>
            <w:pPr>
              <w:spacing w:before="40" w:after="40"/>
            </w:pPr>
            <w:r>
              <w:rPr>
                <w:rFonts w:ascii="Calibri" w:hAnsi="Calibri"/>
                <w:b/>
                <w:sz w:val="18"/>
              </w:rPr>
              <w:t>Total</w:t>
            </w:r>
          </w:p>
        </w:tc>
        <w:tc>
          <w:tcPr>
            <w:tcW w:type="dxa" w:w="2880"/>
            <w:shd w:fill="E8F0FE"/>
          </w:tcPr>
          <w:p>
            <w:pPr>
              <w:spacing w:before="40" w:after="40"/>
            </w:pPr>
            <w:r>
              <w:rPr>
                <w:rFonts w:ascii="Calibri" w:hAnsi="Calibri"/>
                <w:sz w:val="18"/>
              </w:rPr>
              <w:t>8,65,76,000</w:t>
            </w:r>
          </w:p>
        </w:tc>
        <w:tc>
          <w:tcPr>
            <w:tcW w:type="dxa" w:w="2880"/>
            <w:shd w:fill="E8F0FE"/>
          </w:tcPr>
          <w:p>
            <w:pPr>
              <w:spacing w:before="40" w:after="40"/>
            </w:pPr>
            <w:r>
              <w:rPr>
                <w:rFonts w:ascii="Calibri" w:hAnsi="Calibri"/>
                <w:sz w:val="18"/>
              </w:rPr>
              <w:t>100.00%</w:t>
            </w:r>
          </w:p>
        </w:tc>
      </w:tr>
    </w:tbl>
    <w:p/>
    <w:p>
      <w:pPr>
        <w:pStyle w:val="ListBullet"/>
        <w:spacing w:after="80"/>
      </w:pPr>
      <w:r>
        <w:rPr>
          <w:rFonts w:ascii="Calibri" w:hAnsi="Calibri"/>
          <w:color w:val="333333"/>
          <w:sz w:val="20"/>
        </w:rPr>
        <w:t xml:space="preserve">  </w:t>
      </w:r>
      <w:r>
        <w:rPr>
          <w:rFonts w:ascii="Calibri" w:hAnsi="Calibri"/>
          <w:b/>
          <w:color w:val="333333"/>
          <w:sz w:val="20"/>
        </w:rPr>
        <w:t>Promoter Holding:</w:t>
      </w:r>
      <w:r>
        <w:rPr>
          <w:rFonts w:ascii="Calibri" w:hAnsi="Calibri"/>
          <w:color w:val="333333"/>
          <w:sz w:val="20"/>
        </w:rPr>
        <w:t xml:space="preserve"> The promoter group holds a significant stake of 47.24%, indicating strong alignment with the company's long-term vision.</w:t>
      </w:r>
    </w:p>
    <w:p>
      <w:pPr>
        <w:pStyle w:val="ListBullet"/>
        <w:spacing w:after="80"/>
      </w:pPr>
      <w:r>
        <w:rPr>
          <w:rFonts w:ascii="Calibri" w:hAnsi="Calibri"/>
          <w:color w:val="333333"/>
          <w:sz w:val="20"/>
        </w:rPr>
        <w:t xml:space="preserve">  </w:t>
      </w:r>
      <w:r>
        <w:rPr>
          <w:rFonts w:ascii="Calibri" w:hAnsi="Calibri"/>
          <w:b/>
          <w:color w:val="333333"/>
          <w:sz w:val="20"/>
        </w:rPr>
        <w:t>Institutional Participation:</w:t>
      </w:r>
      <w:r>
        <w:rPr>
          <w:rFonts w:ascii="Calibri" w:hAnsi="Calibri"/>
          <w:color w:val="333333"/>
          <w:sz w:val="20"/>
        </w:rPr>
        <w:t xml:space="preserve"> Mutual Funds and Foreign Portfolio Investors collectively hold approximately 6.54% of the equity, suggesting growing institutional interest.</w:t>
      </w:r>
    </w:p>
    <w:p>
      <w:pPr>
        <w:pStyle w:val="Heading2"/>
      </w:pPr>
      <w:r>
        <w:rPr>
          <w:rFonts w:ascii="Calibri" w:hAnsi="Calibri"/>
          <w:color w:val="1F5F8B"/>
          <w:sz w:val="26"/>
        </w:rPr>
        <w:t>4.5 Insider Trading Activity (Last 3 Years)</w:t>
      </w:r>
    </w:p>
    <w:p>
      <w:pPr>
        <w:pStyle w:val="ListBullet"/>
        <w:spacing w:after="80"/>
      </w:pPr>
      <w:r>
        <w:rPr>
          <w:rFonts w:ascii="Calibri" w:hAnsi="Calibri"/>
          <w:color w:val="333333"/>
          <w:sz w:val="20"/>
        </w:rPr>
        <w:t xml:space="preserve">  </w:t>
      </w:r>
      <w:r>
        <w:rPr>
          <w:rFonts w:ascii="Calibri" w:hAnsi="Calibri"/>
          <w:b/>
          <w:color w:val="333333"/>
          <w:sz w:val="20"/>
        </w:rPr>
        <w:t>Market Purchases:</w:t>
      </w:r>
      <w:r>
        <w:rPr>
          <w:rFonts w:ascii="Calibri" w:hAnsi="Calibri"/>
          <w:color w:val="333333"/>
          <w:sz w:val="20"/>
        </w:rPr>
        <w:t xml:space="preserve"> Total Shares: 0, Total Value (Rs.): 0</w:t>
      </w:r>
    </w:p>
    <w:p>
      <w:pPr>
        <w:pStyle w:val="ListBullet"/>
        <w:spacing w:after="80"/>
      </w:pPr>
      <w:r>
        <w:rPr>
          <w:rFonts w:ascii="Calibri" w:hAnsi="Calibri"/>
          <w:color w:val="333333"/>
          <w:sz w:val="20"/>
        </w:rPr>
        <w:t xml:space="preserve">  </w:t>
      </w:r>
      <w:r>
        <w:rPr>
          <w:rFonts w:ascii="Calibri" w:hAnsi="Calibri"/>
          <w:b/>
          <w:color w:val="333333"/>
          <w:sz w:val="20"/>
        </w:rPr>
        <w:t>Market Sales:</w:t>
      </w:r>
      <w:r>
        <w:rPr>
          <w:rFonts w:ascii="Calibri" w:hAnsi="Calibri"/>
          <w:color w:val="333333"/>
          <w:sz w:val="20"/>
        </w:rPr>
        <w:t xml:space="preserve"> Total Shares: 0, Total Value (Rs.): 0</w:t>
      </w:r>
    </w:p>
    <w:p>
      <w:pPr>
        <w:pStyle w:val="ListBullet"/>
        <w:spacing w:after="80"/>
      </w:pPr>
      <w:r>
        <w:rPr>
          <w:rFonts w:ascii="Calibri" w:hAnsi="Calibri"/>
          <w:color w:val="333333"/>
          <w:sz w:val="20"/>
        </w:rPr>
        <w:t xml:space="preserve">  </w:t>
      </w:r>
      <w:r>
        <w:rPr>
          <w:rFonts w:ascii="Calibri" w:hAnsi="Calibri"/>
          <w:b/>
          <w:color w:val="333333"/>
          <w:sz w:val="20"/>
        </w:rPr>
        <w:t>Net Position:</w:t>
      </w:r>
      <w:r>
        <w:rPr>
          <w:rFonts w:ascii="Calibri" w:hAnsi="Calibri"/>
          <w:color w:val="333333"/>
          <w:sz w:val="20"/>
        </w:rPr>
        <w:t xml:space="preserve"> Net Position: 0 Shares, Net Value: ₹0</w:t>
      </w:r>
    </w:p>
    <w:p>
      <w:pPr>
        <w:spacing w:after="80"/>
      </w:pPr>
      <w:r>
        <w:rPr>
          <w:rFonts w:ascii="Calibri" w:hAnsi="Calibri"/>
          <w:b/>
          <w:color w:val="333333"/>
          <w:sz w:val="20"/>
        </w:rPr>
        <w:t>Note:</w:t>
      </w:r>
      <w:r>
        <w:rPr>
          <w:rFonts w:ascii="Calibri" w:hAnsi="Calibri"/>
          <w:color w:val="333333"/>
          <w:sz w:val="20"/>
        </w:rPr>
        <w:t xml:space="preserve"> The provided documents do not contain specific details on insider trading activity through market purchases or sales in the last three years. The management's focus appears to be on strategic growth and operational execution rather than significant insider share transactions.</w:t>
      </w:r>
    </w:p>
    <w:p>
      <w:pPr>
        <w:pStyle w:val="Heading1"/>
      </w:pPr>
      <w:r>
        <w:rPr>
          <w:rFonts w:ascii="Calibri" w:hAnsi="Calibri"/>
          <w:color w:val="1F5F8B"/>
          <w:sz w:val="32"/>
        </w:rPr>
        <w:t>5. Company &amp; Business Quality Assessment</w:t>
      </w:r>
    </w:p>
    <w:p>
      <w:pPr>
        <w:spacing w:before="0" w:after="120"/>
      </w:pPr>
    </w:p>
    <w:p>
      <w:pPr>
        <w:pStyle w:val="Heading2"/>
      </w:pPr>
      <w:r>
        <w:rPr>
          <w:rFonts w:ascii="Calibri" w:hAnsi="Calibri"/>
          <w:color w:val="1F5F8B"/>
          <w:sz w:val="26"/>
        </w:rPr>
        <w:t>5.1 Business Model</w:t>
      </w:r>
    </w:p>
    <w:p>
      <w:pPr>
        <w:spacing w:after="80"/>
      </w:pPr>
      <w:r>
        <w:rPr>
          <w:rFonts w:ascii="Calibri" w:hAnsi="Calibri"/>
          <w:color w:val="333333"/>
          <w:sz w:val="20"/>
        </w:rPr>
        <w:t>Sanghvi Movers Limited operates a diversified business model centered around heavy-lift and infrastructure solutions. The company's operations are segmented into three primary verticals:</w:t>
      </w:r>
    </w:p>
    <w:p>
      <w:pPr>
        <w:pStyle w:val="ListNumber"/>
        <w:spacing w:after="80"/>
      </w:pPr>
      <w:r>
        <w:rPr>
          <w:rFonts w:ascii="Calibri" w:hAnsi="Calibri"/>
          <w:b/>
          <w:color w:val="333333"/>
          <w:sz w:val="20"/>
        </w:rPr>
        <w:t>Crane Rental &amp; Heavy Lift Solutions (SML - India Operations):</w:t>
      </w:r>
      <w:r>
        <w:rPr>
          <w:rFonts w:ascii="Calibri" w:hAnsi="Calibri"/>
          <w:color w:val="333333"/>
          <w:sz w:val="20"/>
        </w:rPr>
        <w:t xml:space="preserve"> This is the core and largest business segment. SML provides a wide range of cranes for rental, catering to diverse industrial and infrastructure needs across India. The business model focuses on providing reliable, safe, and timely crane services, supported by a large, modern fleet and extensive pan-India depot network. The company emphasizes customized solutions and turnkey project execution for complex lifting requirements. Revenue mix for 9M FY26 shows Crane Business contributing approximately 68% of total revenue.</w:t>
      </w:r>
    </w:p>
    <w:p>
      <w:pPr>
        <w:pStyle w:val="ListNumber"/>
        <w:spacing w:after="80"/>
      </w:pPr>
      <w:r>
        <w:rPr>
          <w:rFonts w:ascii="Calibri" w:hAnsi="Calibri"/>
          <w:b/>
          <w:color w:val="333333"/>
          <w:sz w:val="20"/>
        </w:rPr>
        <w:t>Wind Energy EPC (Sangreen Future Renewables Private Limited - SFRPL):</w:t>
      </w:r>
      <w:r>
        <w:rPr>
          <w:rFonts w:ascii="Calibri" w:hAnsi="Calibri"/>
          <w:color w:val="333333"/>
          <w:sz w:val="20"/>
        </w:rPr>
        <w:t xml:space="preserve"> SFRPL offers end-to-end turnkey EPC services for wind energy projects, covering the entire lifecycle from conceptualization to commissioning. This includes land acquisition, permits, civil works, mechanical and electrical installations, and commissioning. This segment represents a strategic diversification into asset-light services with recurring revenue streams. The revenue mix for 9M FY26 shows Wind EPC accounting for 26.7% of total revenue. The EBITDA margin for this segment is typically between 10-12%.</w:t>
      </w:r>
    </w:p>
    <w:p>
      <w:pPr>
        <w:pStyle w:val="ListNumber"/>
        <w:spacing w:after="80"/>
      </w:pPr>
      <w:r>
        <w:rPr>
          <w:rFonts w:ascii="Calibri" w:hAnsi="Calibri"/>
          <w:b/>
          <w:color w:val="333333"/>
          <w:sz w:val="20"/>
        </w:rPr>
        <w:t>Logistics for Cranes &amp; Other Heavy Machinery (Sangreen Logistics Private Limited - SLPL):</w:t>
      </w:r>
      <w:r>
        <w:rPr>
          <w:rFonts w:ascii="Calibri" w:hAnsi="Calibri"/>
          <w:color w:val="333333"/>
          <w:sz w:val="20"/>
        </w:rPr>
        <w:t xml:space="preserve"> SLPL provides comprehensive logistics solutions, including the movement of wind turbine components and other heavy equipment across India. This vertical leverages SML's existing expertise in heavy equipment transportation and complements its crane rental and EPC businesses. The revenue contribution from Project EPC (which includes logistics) was 5.2% for 9M FY26.</w:t>
      </w:r>
    </w:p>
    <w:p>
      <w:pPr>
        <w:pStyle w:val="ListNumber"/>
        <w:spacing w:after="80"/>
      </w:pPr>
      <w:r>
        <w:rPr>
          <w:rFonts w:ascii="Calibri" w:hAnsi="Calibri"/>
          <w:b/>
          <w:color w:val="333333"/>
          <w:sz w:val="20"/>
        </w:rPr>
        <w:t>International Operations (Sanghvi Movers Middle East Limited - SMME):</w:t>
      </w:r>
      <w:r>
        <w:rPr>
          <w:rFonts w:ascii="Calibri" w:hAnsi="Calibri"/>
          <w:color w:val="333333"/>
          <w:sz w:val="20"/>
        </w:rPr>
        <w:t xml:space="preserve"> SMME focuses on crane rental and allied lifting services in Saudi Arabia and the broader GCC region. This segment is a key growth driver, capitalizing on the significant infrastructure development in the region under Vision 2030. The company aims to achieve higher yields in this market, despite higher operating costs, and is strategically building its presence to become a top player in the region. The financial performance of SMME is still in a growth and investment phase, with a focus on achieving breakeven within 10-14 months.</w:t>
      </w:r>
    </w:p>
    <w:p>
      <w:pPr>
        <w:pStyle w:val="Heading2"/>
      </w:pPr>
      <w:r>
        <w:rPr>
          <w:rFonts w:ascii="Calibri" w:hAnsi="Calibri"/>
          <w:color w:val="1F5F8B"/>
          <w:sz w:val="26"/>
        </w:rPr>
        <w:t>5.2 Competitive Advantages (Moats)</w:t>
      </w:r>
    </w:p>
    <w:p>
      <w:pPr>
        <w:pStyle w:val="ListBullet"/>
        <w:spacing w:after="80"/>
      </w:pPr>
      <w:r>
        <w:rPr>
          <w:rFonts w:ascii="Calibri" w:hAnsi="Calibri"/>
          <w:color w:val="333333"/>
          <w:sz w:val="20"/>
        </w:rPr>
        <w:t xml:space="preserve">  </w:t>
      </w:r>
      <w:r>
        <w:rPr>
          <w:rFonts w:ascii="Calibri" w:hAnsi="Calibri"/>
          <w:b/>
          <w:color w:val="333333"/>
          <w:sz w:val="20"/>
        </w:rPr>
        <w:t>Scale and Fleet Size:</w:t>
      </w:r>
      <w:r>
        <w:rPr>
          <w:rFonts w:ascii="Calibri" w:hAnsi="Calibri"/>
          <w:color w:val="333333"/>
          <w:sz w:val="20"/>
        </w:rPr>
        <w:t xml:space="preserve"> SML is Asia's largest and the world's fifth-largest crane rental company, with a fleet of over 485 cranes (as per Q3 FY26 investor presentation) across multiple capacities. This scale provides significant operational leverage and the ability to undertake large, complex projects.</w:t>
      </w:r>
    </w:p>
    <w:p>
      <w:pPr>
        <w:pStyle w:val="ListBullet"/>
        <w:spacing w:after="80"/>
      </w:pPr>
      <w:r>
        <w:rPr>
          <w:rFonts w:ascii="Calibri" w:hAnsi="Calibri"/>
          <w:color w:val="333333"/>
          <w:sz w:val="20"/>
        </w:rPr>
        <w:t xml:space="preserve">  </w:t>
      </w:r>
      <w:r>
        <w:rPr>
          <w:rFonts w:ascii="Calibri" w:hAnsi="Calibri"/>
          <w:b/>
          <w:color w:val="333333"/>
          <w:sz w:val="20"/>
        </w:rPr>
        <w:t>Pan-India Network:</w:t>
      </w:r>
      <w:r>
        <w:rPr>
          <w:rFonts w:ascii="Calibri" w:hAnsi="Calibri"/>
          <w:color w:val="333333"/>
          <w:sz w:val="20"/>
        </w:rPr>
        <w:t xml:space="preserve"> With 15 depots across India, SML ensures rapid mobilization, timely deployment, and nationwide service continuity, minimizing third-party bottlenecks.</w:t>
      </w:r>
    </w:p>
    <w:p>
      <w:pPr>
        <w:pStyle w:val="ListBullet"/>
        <w:spacing w:after="80"/>
      </w:pPr>
      <w:r>
        <w:rPr>
          <w:rFonts w:ascii="Calibri" w:hAnsi="Calibri"/>
          <w:color w:val="333333"/>
          <w:sz w:val="20"/>
        </w:rPr>
        <w:t xml:space="preserve">  </w:t>
      </w:r>
      <w:r>
        <w:rPr>
          <w:rFonts w:ascii="Calibri" w:hAnsi="Calibri"/>
          <w:b/>
          <w:color w:val="333333"/>
          <w:sz w:val="20"/>
        </w:rPr>
        <w:t>Integrated Service Offering:</w:t>
      </w:r>
      <w:r>
        <w:rPr>
          <w:rFonts w:ascii="Calibri" w:hAnsi="Calibri"/>
          <w:color w:val="333333"/>
          <w:sz w:val="20"/>
        </w:rPr>
        <w:t xml:space="preserve"> SML offers a "one-stop-shop" solution, combining crane rentals with EPC services and logistics. This integrated approach reduces interface risks for clients and enhances project execution efficiency.</w:t>
      </w:r>
    </w:p>
    <w:p>
      <w:pPr>
        <w:pStyle w:val="ListBullet"/>
        <w:spacing w:after="80"/>
      </w:pPr>
      <w:r>
        <w:rPr>
          <w:rFonts w:ascii="Calibri" w:hAnsi="Calibri"/>
          <w:color w:val="333333"/>
          <w:sz w:val="20"/>
        </w:rPr>
        <w:t xml:space="preserve">  </w:t>
      </w:r>
      <w:r>
        <w:rPr>
          <w:rFonts w:ascii="Calibri" w:hAnsi="Calibri"/>
          <w:b/>
          <w:color w:val="333333"/>
          <w:sz w:val="20"/>
        </w:rPr>
        <w:t>Technical Expertise and Safety Standards:</w:t>
      </w:r>
      <w:r>
        <w:rPr>
          <w:rFonts w:ascii="Calibri" w:hAnsi="Calibri"/>
          <w:color w:val="333333"/>
          <w:sz w:val="20"/>
        </w:rPr>
        <w:t xml:space="preserve"> The company possesses deep technical expertise in heavy lifting and adheres to international safety protocols, backed by ISO certifications and a dedicated QHSE team. This focus on safety is a key differentiator, especially in critical sectors.</w:t>
      </w:r>
    </w:p>
    <w:p>
      <w:pPr>
        <w:pStyle w:val="ListBullet"/>
        <w:spacing w:after="80"/>
      </w:pPr>
      <w:r>
        <w:rPr>
          <w:rFonts w:ascii="Calibri" w:hAnsi="Calibri"/>
          <w:color w:val="333333"/>
          <w:sz w:val="20"/>
        </w:rPr>
        <w:t xml:space="preserve">  </w:t>
      </w:r>
      <w:r>
        <w:rPr>
          <w:rFonts w:ascii="Calibri" w:hAnsi="Calibri"/>
          <w:b/>
          <w:color w:val="333333"/>
          <w:sz w:val="20"/>
        </w:rPr>
        <w:t>Long-Standing Client Relationships:</w:t>
      </w:r>
      <w:r>
        <w:rPr>
          <w:rFonts w:ascii="Calibri" w:hAnsi="Calibri"/>
          <w:color w:val="333333"/>
          <w:sz w:val="20"/>
        </w:rPr>
        <w:t xml:space="preserve"> SML has built strong relationships with marquee clients across various industries, leading to repeat business and a stable order book.</w:t>
      </w:r>
    </w:p>
    <w:p>
      <w:pPr>
        <w:pStyle w:val="ListBullet"/>
        <w:spacing w:after="80"/>
      </w:pPr>
      <w:r>
        <w:rPr>
          <w:rFonts w:ascii="Calibri" w:hAnsi="Calibri"/>
          <w:color w:val="333333"/>
          <w:sz w:val="20"/>
        </w:rPr>
        <w:t xml:space="preserve">  </w:t>
      </w:r>
      <w:r>
        <w:rPr>
          <w:rFonts w:ascii="Calibri" w:hAnsi="Calibri"/>
          <w:b/>
          <w:color w:val="333333"/>
          <w:sz w:val="20"/>
        </w:rPr>
        <w:t>Diversified Business Verticals:</w:t>
      </w:r>
      <w:r>
        <w:rPr>
          <w:rFonts w:ascii="Calibri" w:hAnsi="Calibri"/>
          <w:color w:val="333333"/>
          <w:sz w:val="20"/>
        </w:rPr>
        <w:t xml:space="preserve"> The expansion into Wind EPC and international markets diversifies revenue streams and reduces reliance on any single segment or geography.</w:t>
      </w:r>
    </w:p>
    <w:p>
      <w:pPr>
        <w:pStyle w:val="ListBullet"/>
        <w:spacing w:after="80"/>
      </w:pPr>
      <w:r>
        <w:rPr>
          <w:rFonts w:ascii="Calibri" w:hAnsi="Calibri"/>
          <w:color w:val="333333"/>
          <w:sz w:val="20"/>
        </w:rPr>
        <w:t xml:space="preserve">  </w:t>
      </w:r>
      <w:r>
        <w:rPr>
          <w:rFonts w:ascii="Calibri" w:hAnsi="Calibri"/>
          <w:b/>
          <w:color w:val="333333"/>
          <w:sz w:val="20"/>
        </w:rPr>
        <w:t>Experienced Management Team:</w:t>
      </w:r>
      <w:r>
        <w:rPr>
          <w:rFonts w:ascii="Calibri" w:hAnsi="Calibri"/>
          <w:color w:val="333333"/>
          <w:sz w:val="20"/>
        </w:rPr>
        <w:t xml:space="preserve"> The company has a seasoned management team with extensive experience in the crane rental and infrastructure sectors, complemented by recent strategic hires in key leadership positions.</w:t>
      </w:r>
    </w:p>
    <w:p>
      <w:pPr>
        <w:pStyle w:val="ListBullet"/>
        <w:spacing w:after="80"/>
      </w:pPr>
      <w:r>
        <w:rPr>
          <w:rFonts w:ascii="Calibri" w:hAnsi="Calibri"/>
          <w:color w:val="333333"/>
          <w:sz w:val="20"/>
        </w:rPr>
        <w:t xml:space="preserve">  </w:t>
      </w:r>
      <w:r>
        <w:rPr>
          <w:rFonts w:ascii="Calibri" w:hAnsi="Calibri"/>
          <w:b/>
          <w:color w:val="333333"/>
          <w:sz w:val="20"/>
        </w:rPr>
        <w:t>"Elevate 2030" Strategy:</w:t>
      </w:r>
      <w:r>
        <w:rPr>
          <w:rFonts w:ascii="Calibri" w:hAnsi="Calibri"/>
          <w:color w:val="333333"/>
          <w:sz w:val="20"/>
        </w:rPr>
        <w:t xml:space="preserve"> The company's forward-looking strategy focuses on scalable digital frameworks, global expansion, product diversification, and financial discipline, positioning it for sustained growth.</w:t>
      </w:r>
    </w:p>
    <w:p>
      <w:pPr>
        <w:pStyle w:val="Heading2"/>
      </w:pPr>
      <w:r>
        <w:rPr>
          <w:rFonts w:ascii="Calibri" w:hAnsi="Calibri"/>
          <w:color w:val="1F5F8B"/>
          <w:sz w:val="26"/>
        </w:rPr>
        <w:t>5.3 Risks &amp; Weaknesses</w:t>
      </w:r>
    </w:p>
    <w:p>
      <w:pPr>
        <w:pStyle w:val="ListBullet"/>
        <w:spacing w:after="80"/>
      </w:pPr>
      <w:r>
        <w:rPr>
          <w:rFonts w:ascii="Calibri" w:hAnsi="Calibri"/>
          <w:color w:val="333333"/>
          <w:sz w:val="20"/>
        </w:rPr>
        <w:t xml:space="preserve">  </w:t>
      </w:r>
      <w:r>
        <w:rPr>
          <w:rFonts w:ascii="Calibri" w:hAnsi="Calibri"/>
          <w:b/>
          <w:color w:val="333333"/>
          <w:sz w:val="20"/>
        </w:rPr>
        <w:t>Execution Risk in New Geographies:</w:t>
      </w:r>
      <w:r>
        <w:rPr>
          <w:rFonts w:ascii="Calibri" w:hAnsi="Calibri"/>
          <w:color w:val="333333"/>
          <w:sz w:val="20"/>
        </w:rPr>
        <w:t xml:space="preserve"> Expanding into international markets like Saudi Arabia and Botswana involves inherent execution risks related to adapting to local regulations, operational challenges, and managing a geographically dispersed workforce.</w:t>
      </w:r>
    </w:p>
    <w:p>
      <w:pPr>
        <w:pStyle w:val="ListBullet"/>
        <w:spacing w:after="80"/>
      </w:pPr>
      <w:r>
        <w:rPr>
          <w:rFonts w:ascii="Calibri" w:hAnsi="Calibri"/>
          <w:color w:val="333333"/>
          <w:sz w:val="20"/>
        </w:rPr>
        <w:t xml:space="preserve">  </w:t>
      </w:r>
      <w:r>
        <w:rPr>
          <w:rFonts w:ascii="Calibri" w:hAnsi="Calibri"/>
          <w:b/>
          <w:color w:val="333333"/>
          <w:sz w:val="20"/>
        </w:rPr>
        <w:t>Customer/Revenue Concentration:</w:t>
      </w:r>
      <w:r>
        <w:rPr>
          <w:rFonts w:ascii="Calibri" w:hAnsi="Calibri"/>
          <w:color w:val="333333"/>
          <w:sz w:val="20"/>
        </w:rPr>
        <w:t xml:space="preserve"> While diversified, significant revenue still relies on large infrastructure and industrial projects, making the company susceptible to project delays or cancellations.</w:t>
      </w:r>
    </w:p>
    <w:p>
      <w:pPr>
        <w:pStyle w:val="ListBullet"/>
        <w:spacing w:after="80"/>
      </w:pPr>
      <w:r>
        <w:rPr>
          <w:rFonts w:ascii="Calibri" w:hAnsi="Calibri"/>
          <w:color w:val="333333"/>
          <w:sz w:val="20"/>
        </w:rPr>
        <w:t xml:space="preserve">  </w:t>
      </w:r>
      <w:r>
        <w:rPr>
          <w:rFonts w:ascii="Calibri" w:hAnsi="Calibri"/>
          <w:b/>
          <w:color w:val="333333"/>
          <w:sz w:val="20"/>
        </w:rPr>
        <w:t>Margin Pressure in EPC:</w:t>
      </w:r>
      <w:r>
        <w:rPr>
          <w:rFonts w:ascii="Calibri" w:hAnsi="Calibri"/>
          <w:color w:val="333333"/>
          <w:sz w:val="20"/>
        </w:rPr>
        <w:t xml:space="preserve"> The Wind EPC segment, while growing, operates with lower EBITDA margins (10-12%) compared to the core crane rental business (50%+), which can impact overall blended profitability.</w:t>
      </w:r>
    </w:p>
    <w:p>
      <w:pPr>
        <w:pStyle w:val="ListBullet"/>
        <w:spacing w:after="80"/>
      </w:pPr>
      <w:r>
        <w:rPr>
          <w:rFonts w:ascii="Calibri" w:hAnsi="Calibri"/>
          <w:color w:val="333333"/>
          <w:sz w:val="20"/>
        </w:rPr>
        <w:t xml:space="preserve">  </w:t>
      </w:r>
      <w:r>
        <w:rPr>
          <w:rFonts w:ascii="Calibri" w:hAnsi="Calibri"/>
          <w:b/>
          <w:color w:val="333333"/>
          <w:sz w:val="20"/>
        </w:rPr>
        <w:t>Working Capital Intensity:</w:t>
      </w:r>
      <w:r>
        <w:rPr>
          <w:rFonts w:ascii="Calibri" w:hAnsi="Calibri"/>
          <w:color w:val="333333"/>
          <w:sz w:val="20"/>
        </w:rPr>
        <w:t xml:space="preserve"> The crane rental and EPC businesses can be working capital intensive, with receivables management being crucial. While DSO has improved, it remains a key area to monitor.</w:t>
      </w:r>
    </w:p>
    <w:p>
      <w:pPr>
        <w:pStyle w:val="ListBullet"/>
        <w:spacing w:after="80"/>
      </w:pPr>
      <w:r>
        <w:rPr>
          <w:rFonts w:ascii="Calibri" w:hAnsi="Calibri"/>
          <w:color w:val="333333"/>
          <w:sz w:val="20"/>
        </w:rPr>
        <w:t xml:space="preserve">  </w:t>
      </w:r>
      <w:r>
        <w:rPr>
          <w:rFonts w:ascii="Calibri" w:hAnsi="Calibri"/>
          <w:b/>
          <w:color w:val="333333"/>
          <w:sz w:val="20"/>
        </w:rPr>
        <w:t>Competition:</w:t>
      </w:r>
      <w:r>
        <w:rPr>
          <w:rFonts w:ascii="Calibri" w:hAnsi="Calibri"/>
          <w:color w:val="333333"/>
          <w:sz w:val="20"/>
        </w:rPr>
        <w:t xml:space="preserve"> The crane rental market, especially for certain segments, can be competitive, potentially impacting pricing power and yields.</w:t>
      </w:r>
    </w:p>
    <w:p>
      <w:pPr>
        <w:pStyle w:val="ListBullet"/>
        <w:spacing w:after="80"/>
      </w:pPr>
      <w:r>
        <w:rPr>
          <w:rFonts w:ascii="Calibri" w:hAnsi="Calibri"/>
          <w:color w:val="333333"/>
          <w:sz w:val="20"/>
        </w:rPr>
        <w:t xml:space="preserve">  </w:t>
      </w:r>
      <w:r>
        <w:rPr>
          <w:rFonts w:ascii="Calibri" w:hAnsi="Calibri"/>
          <w:b/>
          <w:color w:val="333333"/>
          <w:sz w:val="20"/>
        </w:rPr>
        <w:t>Capex Intensity:</w:t>
      </w:r>
      <w:r>
        <w:rPr>
          <w:rFonts w:ascii="Calibri" w:hAnsi="Calibri"/>
          <w:color w:val="333333"/>
          <w:sz w:val="20"/>
        </w:rPr>
        <w:t xml:space="preserve"> The business model is inherently capital-intensive, requiring continuous investment in fleet modernization and expansion, which can lead to higher depreciation and finance costs.</w:t>
      </w:r>
    </w:p>
    <w:p>
      <w:pPr>
        <w:pStyle w:val="ListBullet"/>
        <w:spacing w:after="80"/>
      </w:pPr>
      <w:r>
        <w:rPr>
          <w:rFonts w:ascii="Calibri" w:hAnsi="Calibri"/>
          <w:color w:val="333333"/>
          <w:sz w:val="20"/>
        </w:rPr>
        <w:t xml:space="preserve">  </w:t>
      </w:r>
      <w:r>
        <w:rPr>
          <w:rFonts w:ascii="Calibri" w:hAnsi="Calibri"/>
          <w:b/>
          <w:color w:val="333333"/>
          <w:sz w:val="20"/>
        </w:rPr>
        <w:t>Legacy Issues:</w:t>
      </w:r>
      <w:r>
        <w:rPr>
          <w:rFonts w:ascii="Calibri" w:hAnsi="Calibri"/>
          <w:color w:val="333333"/>
          <w:sz w:val="20"/>
        </w:rPr>
        <w:t xml:space="preserve"> While the company has undergone a significant turnaround, managing the impact of past debt burdens and optimizing asset utilization remain ongoing priorities.</w:t>
      </w:r>
    </w:p>
    <w:p>
      <w:pPr>
        <w:pStyle w:val="ListBullet"/>
        <w:spacing w:after="80"/>
      </w:pPr>
      <w:r>
        <w:rPr>
          <w:rFonts w:ascii="Calibri" w:hAnsi="Calibri"/>
          <w:color w:val="333333"/>
          <w:sz w:val="20"/>
        </w:rPr>
        <w:t xml:space="preserve">  </w:t>
      </w:r>
      <w:r>
        <w:rPr>
          <w:rFonts w:ascii="Calibri" w:hAnsi="Calibri"/>
          <w:b/>
          <w:color w:val="333333"/>
          <w:sz w:val="20"/>
        </w:rPr>
        <w:t>Dependence on Infrastructure Spending:</w:t>
      </w:r>
      <w:r>
        <w:rPr>
          <w:rFonts w:ascii="Calibri" w:hAnsi="Calibri"/>
          <w:color w:val="333333"/>
          <w:sz w:val="20"/>
        </w:rPr>
        <w:t xml:space="preserve"> The company's growth is closely tied to government spending on infrastructure and industrial capex, making it sensitive to macroeconomic cycles and policy changes.</w:t>
      </w:r>
    </w:p>
    <w:p>
      <w:pPr>
        <w:pStyle w:val="Heading1"/>
      </w:pPr>
      <w:r>
        <w:rPr>
          <w:rFonts w:ascii="Calibri" w:hAnsi="Calibri"/>
          <w:color w:val="1F5F8B"/>
          <w:sz w:val="32"/>
        </w:rPr>
        <w:t>6. Growth Outlook &amp; Strategy</w:t>
      </w:r>
    </w:p>
    <w:p>
      <w:pPr>
        <w:spacing w:before="0" w:after="120"/>
      </w:pPr>
    </w:p>
    <w:p>
      <w:pPr>
        <w:pStyle w:val="Heading2"/>
      </w:pPr>
      <w:r>
        <w:rPr>
          <w:rFonts w:ascii="Calibri" w:hAnsi="Calibri"/>
          <w:color w:val="1F5F8B"/>
          <w:sz w:val="26"/>
        </w:rPr>
        <w:t>6.1 Management's Revenue Roadmap</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160"/>
        <w:gridCol w:w="2160"/>
        <w:gridCol w:w="2160"/>
        <w:gridCol w:w="2160"/>
      </w:tblGrid>
      <w:tr>
        <w:tc>
          <w:tcPr>
            <w:tcW w:type="dxa" w:w="2160"/>
            <w:shd w:fill="1F5F8B"/>
          </w:tcPr>
          <w:p>
            <w:pPr>
              <w:spacing w:before="40" w:after="40"/>
            </w:pPr>
            <w:r>
              <w:rPr>
                <w:rFonts w:ascii="Calibri" w:hAnsi="Calibri"/>
                <w:b/>
                <w:color w:val="FFFFFF"/>
                <w:sz w:val="18"/>
              </w:rPr>
              <w:t>Growth Driver</w:t>
            </w:r>
          </w:p>
        </w:tc>
        <w:tc>
          <w:tcPr>
            <w:tcW w:type="dxa" w:w="2160"/>
            <w:shd w:fill="1F5F8B"/>
          </w:tcPr>
          <w:p>
            <w:pPr>
              <w:spacing w:before="40" w:after="40"/>
            </w:pPr>
            <w:r>
              <w:rPr>
                <w:rFonts w:ascii="Calibri" w:hAnsi="Calibri"/>
                <w:b/>
                <w:color w:val="FFFFFF"/>
                <w:sz w:val="18"/>
              </w:rPr>
              <w:t>Current (FY25/26)</w:t>
            </w:r>
          </w:p>
        </w:tc>
        <w:tc>
          <w:tcPr>
            <w:tcW w:type="dxa" w:w="2160"/>
            <w:shd w:fill="1F5F8B"/>
          </w:tcPr>
          <w:p>
            <w:pPr>
              <w:spacing w:before="40" w:after="40"/>
            </w:pPr>
            <w:r>
              <w:rPr>
                <w:rFonts w:ascii="Calibri" w:hAnsi="Calibri"/>
                <w:b/>
                <w:color w:val="FFFFFF"/>
                <w:sz w:val="18"/>
              </w:rPr>
              <w:t>Target (FY28-29E)</w:t>
            </w:r>
          </w:p>
        </w:tc>
        <w:tc>
          <w:tcPr>
            <w:tcW w:type="dxa" w:w="2160"/>
            <w:shd w:fill="1F5F8B"/>
          </w:tcPr>
          <w:p>
            <w:pPr>
              <w:spacing w:before="40" w:after="40"/>
            </w:pPr>
            <w:r>
              <w:rPr>
                <w:rFonts w:ascii="Calibri" w:hAnsi="Calibri"/>
                <w:b/>
                <w:color w:val="FFFFFF"/>
                <w:sz w:val="18"/>
              </w:rPr>
              <w:t>CAGR</w:t>
            </w:r>
          </w:p>
        </w:tc>
      </w:tr>
      <w:tr>
        <w:tc>
          <w:tcPr>
            <w:tcW w:type="dxa" w:w="2160"/>
          </w:tcPr>
          <w:p>
            <w:pPr>
              <w:spacing w:before="40" w:after="40"/>
            </w:pPr>
            <w:r>
              <w:rPr>
                <w:rFonts w:ascii="Calibri" w:hAnsi="Calibri"/>
                <w:b/>
                <w:sz w:val="18"/>
              </w:rPr>
              <w:t>**Total Revenue**</w:t>
            </w:r>
          </w:p>
        </w:tc>
        <w:tc>
          <w:tcPr>
            <w:tcW w:type="dxa" w:w="2160"/>
          </w:tcPr>
          <w:p>
            <w:pPr>
              <w:spacing w:before="40" w:after="40"/>
            </w:pPr>
            <w:r>
              <w:rPr>
                <w:rFonts w:ascii="Calibri" w:hAnsi="Calibri"/>
                <w:sz w:val="18"/>
              </w:rPr>
              <w:t>₹719 Cr (9M FY26)</w:t>
            </w:r>
          </w:p>
        </w:tc>
        <w:tc>
          <w:tcPr>
            <w:tcW w:type="dxa" w:w="2160"/>
          </w:tcPr>
          <w:p>
            <w:pPr>
              <w:spacing w:before="40" w:after="40"/>
            </w:pPr>
            <w:r>
              <w:rPr>
                <w:rFonts w:ascii="Calibri" w:hAnsi="Calibri"/>
                <w:sz w:val="18"/>
              </w:rPr>
              <w:t>₹1,800 Cr</w:t>
            </w:r>
          </w:p>
        </w:tc>
        <w:tc>
          <w:tcPr>
            <w:tcW w:type="dxa" w:w="2160"/>
          </w:tcPr>
          <w:p>
            <w:pPr>
              <w:spacing w:before="40" w:after="40"/>
            </w:pPr>
            <w:r>
              <w:rPr>
                <w:rFonts w:ascii="Calibri" w:hAnsi="Calibri"/>
                <w:sz w:val="18"/>
              </w:rPr>
              <w:t>~25-30% (FY25-FY28)</w:t>
            </w:r>
          </w:p>
        </w:tc>
      </w:tr>
      <w:tr>
        <w:tc>
          <w:tcPr>
            <w:tcW w:type="dxa" w:w="2160"/>
            <w:shd w:fill="E8F0FE"/>
          </w:tcPr>
          <w:p>
            <w:pPr>
              <w:spacing w:before="40" w:after="40"/>
            </w:pPr>
            <w:r>
              <w:rPr>
                <w:rFonts w:ascii="Calibri" w:hAnsi="Calibri"/>
                <w:b/>
                <w:sz w:val="18"/>
              </w:rPr>
              <w:t>**Crane Rental (India)**</w:t>
            </w:r>
          </w:p>
        </w:tc>
        <w:tc>
          <w:tcPr>
            <w:tcW w:type="dxa" w:w="2160"/>
            <w:shd w:fill="E8F0FE"/>
          </w:tcPr>
          <w:p>
            <w:pPr>
              <w:spacing w:before="40" w:after="40"/>
            </w:pPr>
            <w:r>
              <w:rPr>
                <w:rFonts w:ascii="Calibri" w:hAnsi="Calibri"/>
                <w:sz w:val="18"/>
              </w:rPr>
              <w:t>~68% of total revenue</w:t>
            </w:r>
          </w:p>
        </w:tc>
        <w:tc>
          <w:tcPr>
            <w:tcW w:type="dxa" w:w="2160"/>
            <w:shd w:fill="E8F0FE"/>
          </w:tcPr>
          <w:p>
            <w:pPr>
              <w:spacing w:before="40" w:after="40"/>
            </w:pPr>
            <w:r>
              <w:rPr>
                <w:rFonts w:ascii="Calibri" w:hAnsi="Calibri"/>
                <w:sz w:val="18"/>
              </w:rPr>
              <w:t>Maintain leadership, focus on value-added services</w:t>
            </w:r>
          </w:p>
        </w:tc>
        <w:tc>
          <w:tcPr>
            <w:tcW w:type="dxa" w:w="2160"/>
            <w:shd w:fill="E8F0FE"/>
          </w:tcPr>
          <w:p>
            <w:pPr>
              <w:spacing w:before="40" w:after="40"/>
            </w:pPr>
            <w:r>
              <w:rPr>
                <w:rFonts w:ascii="Calibri" w:hAnsi="Calibri"/>
                <w:sz w:val="18"/>
              </w:rPr>
              <w:t>~10-15% growth</w:t>
            </w:r>
          </w:p>
        </w:tc>
      </w:tr>
      <w:tr>
        <w:tc>
          <w:tcPr>
            <w:tcW w:type="dxa" w:w="2160"/>
          </w:tcPr>
          <w:p>
            <w:pPr>
              <w:spacing w:before="40" w:after="40"/>
            </w:pPr>
            <w:r>
              <w:rPr>
                <w:rFonts w:ascii="Calibri" w:hAnsi="Calibri"/>
                <w:b/>
                <w:sz w:val="18"/>
              </w:rPr>
              <w:t>**Wind Energy EPC (SFRPL)**</w:t>
            </w:r>
          </w:p>
        </w:tc>
        <w:tc>
          <w:tcPr>
            <w:tcW w:type="dxa" w:w="2160"/>
          </w:tcPr>
          <w:p>
            <w:pPr>
              <w:spacing w:before="40" w:after="40"/>
            </w:pPr>
            <w:r>
              <w:rPr>
                <w:rFonts w:ascii="Calibri" w:hAnsi="Calibri"/>
                <w:sz w:val="18"/>
              </w:rPr>
              <w:t>~26.7% of total revenue</w:t>
            </w:r>
          </w:p>
        </w:tc>
        <w:tc>
          <w:tcPr>
            <w:tcW w:type="dxa" w:w="2160"/>
          </w:tcPr>
          <w:p>
            <w:pPr>
              <w:spacing w:before="40" w:after="40"/>
            </w:pPr>
            <w:r>
              <w:rPr>
                <w:rFonts w:ascii="Calibri" w:hAnsi="Calibri"/>
                <w:sz w:val="18"/>
              </w:rPr>
              <w:t>Scale to higher order value plays, become a complete renewable platform</w:t>
            </w:r>
          </w:p>
        </w:tc>
        <w:tc>
          <w:tcPr>
            <w:tcW w:type="dxa" w:w="2160"/>
          </w:tcPr>
          <w:p>
            <w:pPr>
              <w:spacing w:before="40" w:after="40"/>
            </w:pPr>
            <w:r>
              <w:rPr>
                <w:rFonts w:ascii="Calibri" w:hAnsi="Calibri"/>
                <w:sz w:val="18"/>
              </w:rPr>
              <w:t>~2x growth</w:t>
            </w:r>
          </w:p>
        </w:tc>
      </w:tr>
      <w:tr>
        <w:tc>
          <w:tcPr>
            <w:tcW w:type="dxa" w:w="2160"/>
            <w:shd w:fill="E8F0FE"/>
          </w:tcPr>
          <w:p>
            <w:pPr>
              <w:spacing w:before="40" w:after="40"/>
            </w:pPr>
            <w:r>
              <w:rPr>
                <w:rFonts w:ascii="Calibri" w:hAnsi="Calibri"/>
                <w:b/>
                <w:sz w:val="18"/>
              </w:rPr>
              <w:t>**International Expansion (SMME - KSA)**</w:t>
            </w:r>
          </w:p>
        </w:tc>
        <w:tc>
          <w:tcPr>
            <w:tcW w:type="dxa" w:w="2160"/>
            <w:shd w:fill="E8F0FE"/>
          </w:tcPr>
          <w:p>
            <w:pPr>
              <w:spacing w:before="40" w:after="40"/>
            </w:pPr>
            <w:r>
              <w:rPr>
                <w:rFonts w:ascii="Calibri" w:hAnsi="Calibri"/>
                <w:sz w:val="18"/>
              </w:rPr>
              <w:t>Initial phase, revenue recognition starting</w:t>
            </w:r>
          </w:p>
        </w:tc>
        <w:tc>
          <w:tcPr>
            <w:tcW w:type="dxa" w:w="2160"/>
            <w:shd w:fill="E8F0FE"/>
          </w:tcPr>
          <w:p>
            <w:pPr>
              <w:spacing w:before="40" w:after="40"/>
            </w:pPr>
            <w:r>
              <w:rPr>
                <w:rFonts w:ascii="Calibri" w:hAnsi="Calibri"/>
                <w:sz w:val="18"/>
              </w:rPr>
              <w:t>Top 5 player in GCC region, parallel to India operations</w:t>
            </w:r>
          </w:p>
        </w:tc>
        <w:tc>
          <w:tcPr>
            <w:tcW w:type="dxa" w:w="2160"/>
            <w:shd w:fill="E8F0FE"/>
          </w:tcPr>
          <w:p>
            <w:pPr>
              <w:spacing w:before="40" w:after="40"/>
            </w:pPr>
            <w:r>
              <w:rPr>
                <w:rFonts w:ascii="Calibri" w:hAnsi="Calibri"/>
                <w:sz w:val="18"/>
              </w:rPr>
              <w:t>Significant growth, targeting higher yields</w:t>
            </w:r>
          </w:p>
        </w:tc>
      </w:tr>
      <w:tr>
        <w:tc>
          <w:tcPr>
            <w:tcW w:type="dxa" w:w="2160"/>
          </w:tcPr>
          <w:p>
            <w:pPr>
              <w:spacing w:before="40" w:after="40"/>
            </w:pPr>
            <w:r>
              <w:rPr>
                <w:rFonts w:ascii="Calibri" w:hAnsi="Calibri"/>
                <w:b/>
                <w:sz w:val="18"/>
              </w:rPr>
              <w:t>**Logistics (SLPL)**</w:t>
            </w:r>
          </w:p>
        </w:tc>
        <w:tc>
          <w:tcPr>
            <w:tcW w:type="dxa" w:w="2160"/>
          </w:tcPr>
          <w:p>
            <w:pPr>
              <w:spacing w:before="40" w:after="40"/>
            </w:pPr>
            <w:r>
              <w:rPr>
                <w:rFonts w:ascii="Calibri" w:hAnsi="Calibri"/>
                <w:sz w:val="18"/>
              </w:rPr>
              <w:t>Ancillary to core businesses</w:t>
            </w:r>
          </w:p>
        </w:tc>
        <w:tc>
          <w:tcPr>
            <w:tcW w:type="dxa" w:w="2160"/>
          </w:tcPr>
          <w:p>
            <w:pPr>
              <w:spacing w:before="40" w:after="40"/>
            </w:pPr>
            <w:r>
              <w:rPr>
                <w:rFonts w:ascii="Calibri" w:hAnsi="Calibri"/>
                <w:sz w:val="18"/>
              </w:rPr>
              <w:t>Expand service offerings</w:t>
            </w:r>
          </w:p>
        </w:tc>
        <w:tc>
          <w:tcPr>
            <w:tcW w:type="dxa" w:w="2160"/>
          </w:tcPr>
          <w:p>
            <w:pPr>
              <w:spacing w:before="40" w:after="40"/>
            </w:pPr>
            <w:r>
              <w:rPr>
                <w:rFonts w:ascii="Calibri" w:hAnsi="Calibri"/>
                <w:sz w:val="18"/>
              </w:rPr>
              <w:t>Growth aligned with core segments</w:t>
            </w:r>
          </w:p>
        </w:tc>
      </w:tr>
    </w:tbl>
    <w:p/>
    <w:p>
      <w:pPr>
        <w:pStyle w:val="Heading2"/>
      </w:pPr>
      <w:r>
        <w:rPr>
          <w:rFonts w:ascii="Calibri" w:hAnsi="Calibri"/>
          <w:color w:val="1F5F8B"/>
          <w:sz w:val="26"/>
        </w:rPr>
        <w:t>6.2 Crane Rental Growth (India)</w:t>
      </w:r>
    </w:p>
    <w:p>
      <w:pPr>
        <w:spacing w:after="80"/>
      </w:pPr>
      <w:r>
        <w:rPr>
          <w:rFonts w:ascii="Calibri" w:hAnsi="Calibri"/>
          <w:color w:val="333333"/>
          <w:sz w:val="20"/>
        </w:rPr>
        <w:t>The strategy for the Indian crane rental business is to reinforce leadership by focusing on customer obsession, value-added products and services, and maintaining healthy EBITDA margins. SML plans to achieve this through continuous fleet reinvestment, particularly in high-capacity cranes to meet the demand from renewables and infrastructure projects. The company aims to outpace industry growth of 14% with a targeted CAGR of 25-30% for the crane rental segment. This growth will be driven by strong demand from India's infrastructure build-out and the renewables sector.</w:t>
      </w:r>
    </w:p>
    <w:p>
      <w:pPr>
        <w:pStyle w:val="Heading2"/>
      </w:pPr>
      <w:r>
        <w:rPr>
          <w:rFonts w:ascii="Calibri" w:hAnsi="Calibri"/>
          <w:color w:val="1F5F8B"/>
          <w:sz w:val="26"/>
        </w:rPr>
        <w:t>6.3 International Expansion (GCC &amp; Africa)</w:t>
      </w:r>
    </w:p>
    <w:p>
      <w:pPr>
        <w:spacing w:after="80"/>
      </w:pPr>
      <w:r>
        <w:rPr>
          <w:rFonts w:ascii="Calibri" w:hAnsi="Calibri"/>
          <w:color w:val="333333"/>
          <w:sz w:val="20"/>
        </w:rPr>
        <w:t>SML's international strategy is spearheaded by its subsidiary, Sanghvi Movers Middle East Limited (SMME), with Saudi Arabia as the primary launchpad for GCC expansion. The company aims to capitalize on the massive infrastructure development under Saudi Vision 2030, which includes giga-projects, stadium construction, and Expo 2030. SML plans to achieve a top-five market position in KSA within five years by leveraging its technical expertise, safety standards, and operational scale. The company also sees opportunities in other GCC countries and has expanded into Botswana, Africa, following key customers. This geographical diversification is expected to smooth out seasonal fluctuations and contribute meaningfully to overall profitability as scale builds.</w:t>
      </w:r>
    </w:p>
    <w:p>
      <w:pPr>
        <w:pStyle w:val="Heading2"/>
      </w:pPr>
      <w:r>
        <w:rPr>
          <w:rFonts w:ascii="Calibri" w:hAnsi="Calibri"/>
          <w:color w:val="1F5F8B"/>
          <w:sz w:val="26"/>
        </w:rPr>
        <w:t>6.4 Renewable Energy EPC (Wind)</w:t>
      </w:r>
    </w:p>
    <w:p>
      <w:pPr>
        <w:spacing w:after="80"/>
      </w:pPr>
      <w:r>
        <w:rPr>
          <w:rFonts w:ascii="Calibri" w:hAnsi="Calibri"/>
          <w:color w:val="333333"/>
          <w:sz w:val="20"/>
        </w:rPr>
        <w:t>Through Sangreen Future Renewables Private Limited (SFRPL), SML aims to become a complete renewable platform, aspiring for leadership in the wind EPC segment. The strategy involves shifting the product mix towards higher-value plays and expanding its service offerings beyond crane rentals to include turnkey solutions from conceptualization to commissioning. The company has a strong track record in wind energy projects and benefits from structural tailwinds in India's renewable energy sector. The target EBITDA margin for this segment is 10-12%, which, while lower than crane rentals, offers a stable and recurring revenue stream.</w:t>
      </w:r>
    </w:p>
    <w:p>
      <w:pPr>
        <w:pStyle w:val="Heading2"/>
      </w:pPr>
      <w:r>
        <w:rPr>
          <w:rFonts w:ascii="Calibri" w:hAnsi="Calibri"/>
          <w:color w:val="1F5F8B"/>
          <w:sz w:val="26"/>
        </w:rPr>
        <w:t>6.5 Product Portfolio Diversification</w:t>
      </w:r>
    </w:p>
    <w:p>
      <w:pPr>
        <w:spacing w:after="80"/>
      </w:pPr>
      <w:r>
        <w:rPr>
          <w:rFonts w:ascii="Calibri" w:hAnsi="Calibri"/>
          <w:color w:val="333333"/>
          <w:sz w:val="20"/>
        </w:rPr>
        <w:t>SML is actively looking beyond traditional crane rental services to add adjacent products and services that cater to evolving customer needs and leverage its existing customer relationships. This includes exploring opportunities in areas like specialized equipment rentals and integrated engineering solutions. The company's "Elevate 2030" framework explicitly mentions product portfolio diversification as a key pillar, indicating a strategic intent to broaden its service offerings and capture more value across the project lifecycle.</w:t>
      </w:r>
    </w:p>
    <w:p>
      <w:pPr>
        <w:pStyle w:val="Heading1"/>
      </w:pPr>
      <w:r>
        <w:rPr>
          <w:rFonts w:ascii="Calibri" w:hAnsi="Calibri"/>
          <w:color w:val="1F5F8B"/>
          <w:sz w:val="32"/>
        </w:rPr>
        <w:t>7. Future Revenue &amp; EBITDA Estimates</w:t>
      </w:r>
    </w:p>
    <w:p>
      <w:pPr>
        <w:spacing w:before="0" w:after="120"/>
      </w:pP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440"/>
        <w:gridCol w:w="1440"/>
        <w:gridCol w:w="1440"/>
        <w:gridCol w:w="1440"/>
        <w:gridCol w:w="1440"/>
        <w:gridCol w:w="1440"/>
      </w:tblGrid>
      <w:tr>
        <w:tc>
          <w:tcPr>
            <w:tcW w:type="dxa" w:w="1440"/>
            <w:shd w:fill="1F5F8B"/>
          </w:tcPr>
          <w:p>
            <w:pPr>
              <w:spacing w:before="40" w:after="40"/>
            </w:pPr>
            <w:r>
              <w:rPr>
                <w:rFonts w:ascii="Calibri" w:hAnsi="Calibri"/>
                <w:b/>
                <w:color w:val="FFFFFF"/>
                <w:sz w:val="18"/>
              </w:rPr>
              <w:t>Particulars</w:t>
            </w:r>
          </w:p>
        </w:tc>
        <w:tc>
          <w:tcPr>
            <w:tcW w:type="dxa" w:w="1440"/>
            <w:shd w:fill="1F5F8B"/>
          </w:tcPr>
          <w:p>
            <w:pPr>
              <w:spacing w:before="40" w:after="40"/>
            </w:pPr>
            <w:r>
              <w:rPr>
                <w:rFonts w:ascii="Calibri" w:hAnsi="Calibri"/>
                <w:b/>
                <w:color w:val="FFFFFF"/>
                <w:sz w:val="18"/>
              </w:rPr>
              <w:t>FY25A</w:t>
            </w:r>
          </w:p>
        </w:tc>
        <w:tc>
          <w:tcPr>
            <w:tcW w:type="dxa" w:w="1440"/>
            <w:shd w:fill="1F5F8B"/>
          </w:tcPr>
          <w:p>
            <w:pPr>
              <w:spacing w:before="40" w:after="40"/>
            </w:pPr>
            <w:r>
              <w:rPr>
                <w:rFonts w:ascii="Calibri" w:hAnsi="Calibri"/>
                <w:b/>
                <w:color w:val="FFFFFF"/>
                <w:sz w:val="18"/>
              </w:rPr>
              <w:t>FY26E</w:t>
            </w:r>
          </w:p>
        </w:tc>
        <w:tc>
          <w:tcPr>
            <w:tcW w:type="dxa" w:w="1440"/>
            <w:shd w:fill="1F5F8B"/>
          </w:tcPr>
          <w:p>
            <w:pPr>
              <w:spacing w:before="40" w:after="40"/>
            </w:pPr>
            <w:r>
              <w:rPr>
                <w:rFonts w:ascii="Calibri" w:hAnsi="Calibri"/>
                <w:b/>
                <w:color w:val="FFFFFF"/>
                <w:sz w:val="18"/>
              </w:rPr>
              <w:t>FY27E</w:t>
            </w:r>
          </w:p>
        </w:tc>
        <w:tc>
          <w:tcPr>
            <w:tcW w:type="dxa" w:w="1440"/>
            <w:shd w:fill="1F5F8B"/>
          </w:tcPr>
          <w:p>
            <w:pPr>
              <w:spacing w:before="40" w:after="40"/>
            </w:pPr>
            <w:r>
              <w:rPr>
                <w:rFonts w:ascii="Calibri" w:hAnsi="Calibri"/>
                <w:b/>
                <w:color w:val="FFFFFF"/>
                <w:sz w:val="18"/>
              </w:rPr>
              <w:t>FY28E</w:t>
            </w:r>
          </w:p>
        </w:tc>
        <w:tc>
          <w:tcPr>
            <w:tcW w:type="dxa" w:w="1440"/>
            <w:shd w:fill="1F5F8B"/>
          </w:tcPr>
          <w:p>
            <w:pPr>
              <w:spacing w:before="40" w:after="40"/>
            </w:pPr>
            <w:r>
              <w:rPr>
                <w:rFonts w:ascii="Calibri" w:hAnsi="Calibri"/>
                <w:b/>
                <w:color w:val="FFFFFF"/>
                <w:sz w:val="18"/>
              </w:rPr>
              <w:t>FY29E</w:t>
            </w:r>
          </w:p>
        </w:tc>
      </w:tr>
      <w:tr>
        <w:tc>
          <w:tcPr>
            <w:tcW w:type="dxa" w:w="1440"/>
          </w:tcPr>
          <w:p>
            <w:pPr>
              <w:spacing w:before="40" w:after="40"/>
            </w:pPr>
            <w:r>
              <w:rPr>
                <w:rFonts w:ascii="Calibri" w:hAnsi="Calibri"/>
                <w:b/>
                <w:sz w:val="18"/>
              </w:rPr>
              <w:t>Revenue from Operations (₹ Cr)</w:t>
            </w:r>
          </w:p>
        </w:tc>
        <w:tc>
          <w:tcPr>
            <w:tcW w:type="dxa" w:w="1440"/>
          </w:tcPr>
          <w:p>
            <w:pPr>
              <w:spacing w:before="40" w:after="40"/>
            </w:pPr>
            <w:r>
              <w:rPr>
                <w:rFonts w:ascii="Calibri" w:hAnsi="Calibri"/>
                <w:sz w:val="18"/>
              </w:rPr>
              <w:t>823</w:t>
            </w:r>
          </w:p>
        </w:tc>
        <w:tc>
          <w:tcPr>
            <w:tcW w:type="dxa" w:w="1440"/>
          </w:tcPr>
          <w:p>
            <w:pPr>
              <w:spacing w:before="40" w:after="40"/>
            </w:pPr>
            <w:r>
              <w:rPr>
                <w:rFonts w:ascii="Calibri" w:hAnsi="Calibri"/>
                <w:sz w:val="18"/>
              </w:rPr>
              <w:t>1,000+</w:t>
            </w:r>
          </w:p>
        </w:tc>
        <w:tc>
          <w:tcPr>
            <w:tcW w:type="dxa" w:w="1440"/>
          </w:tcPr>
          <w:p>
            <w:pPr>
              <w:spacing w:before="40" w:after="40"/>
            </w:pPr>
            <w:r>
              <w:rPr>
                <w:rFonts w:ascii="Calibri" w:hAnsi="Calibri"/>
                <w:sz w:val="18"/>
              </w:rPr>
              <w:t>1,300-1,500</w:t>
            </w:r>
          </w:p>
        </w:tc>
        <w:tc>
          <w:tcPr>
            <w:tcW w:type="dxa" w:w="1440"/>
          </w:tcPr>
          <w:p>
            <w:pPr>
              <w:spacing w:before="40" w:after="40"/>
            </w:pPr>
            <w:r>
              <w:rPr>
                <w:rFonts w:ascii="Calibri" w:hAnsi="Calibri"/>
                <w:sz w:val="18"/>
              </w:rPr>
              <w:t>1,800</w:t>
            </w:r>
          </w:p>
        </w:tc>
        <w:tc>
          <w:tcPr>
            <w:tcW w:type="dxa" w:w="1440"/>
          </w:tcPr>
          <w:p>
            <w:pPr>
              <w:spacing w:before="40" w:after="40"/>
            </w:pPr>
            <w:r>
              <w:rPr>
                <w:rFonts w:ascii="Calibri" w:hAnsi="Calibri"/>
                <w:sz w:val="18"/>
              </w:rPr>
              <w:t>2,000+</w:t>
            </w:r>
          </w:p>
        </w:tc>
      </w:tr>
      <w:tr>
        <w:tc>
          <w:tcPr>
            <w:tcW w:type="dxa" w:w="1440"/>
            <w:shd w:fill="E8F0FE"/>
          </w:tcPr>
          <w:p>
            <w:pPr>
              <w:spacing w:before="40" w:after="40"/>
            </w:pPr>
            <w:r>
              <w:rPr>
                <w:rFonts w:ascii="Calibri" w:hAnsi="Calibri"/>
                <w:b/>
                <w:sz w:val="18"/>
              </w:rPr>
              <w:t>Revenue Growth (%)</w:t>
            </w:r>
          </w:p>
        </w:tc>
        <w:tc>
          <w:tcPr>
            <w:tcW w:type="dxa" w:w="1440"/>
            <w:shd w:fill="E8F0FE"/>
          </w:tcPr>
          <w:p>
            <w:pPr>
              <w:spacing w:before="40" w:after="40"/>
            </w:pPr>
            <w:r>
              <w:rPr>
                <w:rFonts w:ascii="Calibri" w:hAnsi="Calibri"/>
                <w:sz w:val="18"/>
              </w:rPr>
              <w:t>27%</w:t>
            </w:r>
          </w:p>
        </w:tc>
        <w:tc>
          <w:tcPr>
            <w:tcW w:type="dxa" w:w="1440"/>
            <w:shd w:fill="E8F0FE"/>
          </w:tcPr>
          <w:p>
            <w:pPr>
              <w:spacing w:before="40" w:after="40"/>
            </w:pPr>
            <w:r>
              <w:rPr>
                <w:rFonts w:ascii="Calibri" w:hAnsi="Calibri"/>
                <w:sz w:val="18"/>
              </w:rPr>
              <w:t>~20-25%</w:t>
            </w:r>
          </w:p>
        </w:tc>
        <w:tc>
          <w:tcPr>
            <w:tcW w:type="dxa" w:w="1440"/>
            <w:shd w:fill="E8F0FE"/>
          </w:tcPr>
          <w:p>
            <w:pPr>
              <w:spacing w:before="40" w:after="40"/>
            </w:pPr>
            <w:r>
              <w:rPr>
                <w:rFonts w:ascii="Calibri" w:hAnsi="Calibri"/>
                <w:sz w:val="18"/>
              </w:rPr>
              <w:t>~30-50%</w:t>
            </w:r>
          </w:p>
        </w:tc>
        <w:tc>
          <w:tcPr>
            <w:tcW w:type="dxa" w:w="1440"/>
            <w:shd w:fill="E8F0FE"/>
          </w:tcPr>
          <w:p>
            <w:pPr>
              <w:spacing w:before="40" w:after="40"/>
            </w:pPr>
            <w:r>
              <w:rPr>
                <w:rFonts w:ascii="Calibri" w:hAnsi="Calibri"/>
                <w:sz w:val="18"/>
              </w:rPr>
              <w:t>~20-25%</w:t>
            </w:r>
          </w:p>
        </w:tc>
        <w:tc>
          <w:tcPr>
            <w:tcW w:type="dxa" w:w="1440"/>
            <w:shd w:fill="E8F0FE"/>
          </w:tcPr>
          <w:p>
            <w:pPr>
              <w:spacing w:before="40" w:after="40"/>
            </w:pPr>
            <w:r>
              <w:rPr>
                <w:rFonts w:ascii="Calibri" w:hAnsi="Calibri"/>
                <w:sz w:val="18"/>
              </w:rPr>
              <w:t>~10-15%</w:t>
            </w:r>
          </w:p>
        </w:tc>
      </w:tr>
      <w:tr>
        <w:tc>
          <w:tcPr>
            <w:tcW w:type="dxa" w:w="1440"/>
          </w:tcPr>
          <w:p>
            <w:pPr>
              <w:spacing w:before="40" w:after="40"/>
            </w:pPr>
            <w:r>
              <w:rPr>
                <w:rFonts w:ascii="Calibri" w:hAnsi="Calibri"/>
                <w:b/>
                <w:sz w:val="18"/>
              </w:rPr>
              <w:t>Gross Profit (₹ Cr)</w:t>
            </w:r>
          </w:p>
        </w:tc>
        <w:tc>
          <w:tcPr>
            <w:tcW w:type="dxa" w:w="1440"/>
          </w:tcPr>
          <w:p>
            <w:pPr>
              <w:spacing w:before="40" w:after="40"/>
            </w:pPr>
            <w:r>
              <w:rPr>
                <w:rFonts w:ascii="Calibri" w:hAnsi="Calibri"/>
                <w:sz w:val="18"/>
              </w:rPr>
              <w:t>452</w:t>
            </w:r>
          </w:p>
        </w:tc>
        <w:tc>
          <w:tcPr>
            <w:tcW w:type="dxa" w:w="1440"/>
          </w:tcPr>
          <w:p>
            <w:pPr>
              <w:spacing w:before="40" w:after="40"/>
            </w:pPr>
            <w:r>
              <w:rPr>
                <w:rFonts w:ascii="Calibri" w:hAnsi="Calibri"/>
                <w:sz w:val="18"/>
              </w:rPr>
              <w:t>550-600</w:t>
            </w:r>
          </w:p>
        </w:tc>
        <w:tc>
          <w:tcPr>
            <w:tcW w:type="dxa" w:w="1440"/>
          </w:tcPr>
          <w:p>
            <w:pPr>
              <w:spacing w:before="40" w:after="40"/>
            </w:pPr>
            <w:r>
              <w:rPr>
                <w:rFonts w:ascii="Calibri" w:hAnsi="Calibri"/>
                <w:sz w:val="18"/>
              </w:rPr>
              <w:t>750-850</w:t>
            </w:r>
          </w:p>
        </w:tc>
        <w:tc>
          <w:tcPr>
            <w:tcW w:type="dxa" w:w="1440"/>
          </w:tcPr>
          <w:p>
            <w:pPr>
              <w:spacing w:before="40" w:after="40"/>
            </w:pPr>
            <w:r>
              <w:rPr>
                <w:rFonts w:ascii="Calibri" w:hAnsi="Calibri"/>
                <w:sz w:val="18"/>
              </w:rPr>
              <w:t>1,000-1,100</w:t>
            </w:r>
          </w:p>
        </w:tc>
        <w:tc>
          <w:tcPr>
            <w:tcW w:type="dxa" w:w="1440"/>
          </w:tcPr>
          <w:p>
            <w:pPr>
              <w:spacing w:before="40" w:after="40"/>
            </w:pPr>
            <w:r>
              <w:rPr>
                <w:rFonts w:ascii="Calibri" w:hAnsi="Calibri"/>
                <w:sz w:val="18"/>
              </w:rPr>
              <w:t>1,150-1,250</w:t>
            </w:r>
          </w:p>
        </w:tc>
      </w:tr>
      <w:tr>
        <w:tc>
          <w:tcPr>
            <w:tcW w:type="dxa" w:w="1440"/>
            <w:shd w:fill="E8F0FE"/>
          </w:tcPr>
          <w:p>
            <w:pPr>
              <w:spacing w:before="40" w:after="40"/>
            </w:pPr>
            <w:r>
              <w:rPr>
                <w:rFonts w:ascii="Calibri" w:hAnsi="Calibri"/>
                <w:b/>
                <w:sz w:val="18"/>
              </w:rPr>
              <w:t>Gross Margin (%)</w:t>
            </w:r>
          </w:p>
        </w:tc>
        <w:tc>
          <w:tcPr>
            <w:tcW w:type="dxa" w:w="1440"/>
            <w:shd w:fill="E8F0FE"/>
          </w:tcPr>
          <w:p>
            <w:pPr>
              <w:spacing w:before="40" w:after="40"/>
            </w:pPr>
            <w:r>
              <w:rPr>
                <w:rFonts w:ascii="Calibri" w:hAnsi="Calibri"/>
                <w:sz w:val="18"/>
              </w:rPr>
              <w:t>55%</w:t>
            </w:r>
          </w:p>
        </w:tc>
        <w:tc>
          <w:tcPr>
            <w:tcW w:type="dxa" w:w="1440"/>
            <w:shd w:fill="E8F0FE"/>
          </w:tcPr>
          <w:p>
            <w:pPr>
              <w:spacing w:before="40" w:after="40"/>
            </w:pPr>
            <w:r>
              <w:rPr>
                <w:rFonts w:ascii="Calibri" w:hAnsi="Calibri"/>
                <w:sz w:val="18"/>
              </w:rPr>
              <w:t>55-60%</w:t>
            </w:r>
          </w:p>
        </w:tc>
        <w:tc>
          <w:tcPr>
            <w:tcW w:type="dxa" w:w="1440"/>
            <w:shd w:fill="E8F0FE"/>
          </w:tcPr>
          <w:p>
            <w:pPr>
              <w:spacing w:before="40" w:after="40"/>
            </w:pPr>
            <w:r>
              <w:rPr>
                <w:rFonts w:ascii="Calibri" w:hAnsi="Calibri"/>
                <w:sz w:val="18"/>
              </w:rPr>
              <w:t>57-60%</w:t>
            </w:r>
          </w:p>
        </w:tc>
        <w:tc>
          <w:tcPr>
            <w:tcW w:type="dxa" w:w="1440"/>
            <w:shd w:fill="E8F0FE"/>
          </w:tcPr>
          <w:p>
            <w:pPr>
              <w:spacing w:before="40" w:after="40"/>
            </w:pPr>
            <w:r>
              <w:rPr>
                <w:rFonts w:ascii="Calibri" w:hAnsi="Calibri"/>
                <w:sz w:val="18"/>
              </w:rPr>
              <w:t>55-60%</w:t>
            </w:r>
          </w:p>
        </w:tc>
        <w:tc>
          <w:tcPr>
            <w:tcW w:type="dxa" w:w="1440"/>
            <w:shd w:fill="E8F0FE"/>
          </w:tcPr>
          <w:p>
            <w:pPr>
              <w:spacing w:before="40" w:after="40"/>
            </w:pPr>
            <w:r>
              <w:rPr>
                <w:rFonts w:ascii="Calibri" w:hAnsi="Calibri"/>
                <w:sz w:val="18"/>
              </w:rPr>
              <w:t>55-60%</w:t>
            </w:r>
          </w:p>
        </w:tc>
      </w:tr>
      <w:tr>
        <w:tc>
          <w:tcPr>
            <w:tcW w:type="dxa" w:w="1440"/>
          </w:tcPr>
          <w:p>
            <w:pPr>
              <w:spacing w:before="40" w:after="40"/>
            </w:pPr>
            <w:r>
              <w:rPr>
                <w:rFonts w:ascii="Calibri" w:hAnsi="Calibri"/>
                <w:b/>
                <w:sz w:val="18"/>
              </w:rPr>
              <w:t>EBITDA (Operating) (₹ Cr)</w:t>
            </w:r>
          </w:p>
        </w:tc>
        <w:tc>
          <w:tcPr>
            <w:tcW w:type="dxa" w:w="1440"/>
          </w:tcPr>
          <w:p>
            <w:pPr>
              <w:spacing w:before="40" w:after="40"/>
            </w:pPr>
            <w:r>
              <w:rPr>
                <w:rFonts w:ascii="Calibri" w:hAnsi="Calibri"/>
                <w:sz w:val="18"/>
              </w:rPr>
              <w:t>371</w:t>
            </w:r>
          </w:p>
        </w:tc>
        <w:tc>
          <w:tcPr>
            <w:tcW w:type="dxa" w:w="1440"/>
          </w:tcPr>
          <w:p>
            <w:pPr>
              <w:spacing w:before="40" w:after="40"/>
            </w:pPr>
            <w:r>
              <w:rPr>
                <w:rFonts w:ascii="Calibri" w:hAnsi="Calibri"/>
                <w:sz w:val="18"/>
              </w:rPr>
              <w:t>450-500</w:t>
            </w:r>
          </w:p>
        </w:tc>
        <w:tc>
          <w:tcPr>
            <w:tcW w:type="dxa" w:w="1440"/>
          </w:tcPr>
          <w:p>
            <w:pPr>
              <w:spacing w:before="40" w:after="40"/>
            </w:pPr>
            <w:r>
              <w:rPr>
                <w:rFonts w:ascii="Calibri" w:hAnsi="Calibri"/>
                <w:sz w:val="18"/>
              </w:rPr>
              <w:t>650-750</w:t>
            </w:r>
          </w:p>
        </w:tc>
        <w:tc>
          <w:tcPr>
            <w:tcW w:type="dxa" w:w="1440"/>
          </w:tcPr>
          <w:p>
            <w:pPr>
              <w:spacing w:before="40" w:after="40"/>
            </w:pPr>
            <w:r>
              <w:rPr>
                <w:rFonts w:ascii="Calibri" w:hAnsi="Calibri"/>
                <w:sz w:val="18"/>
              </w:rPr>
              <w:t>850-950</w:t>
            </w:r>
          </w:p>
        </w:tc>
        <w:tc>
          <w:tcPr>
            <w:tcW w:type="dxa" w:w="1440"/>
          </w:tcPr>
          <w:p>
            <w:pPr>
              <w:spacing w:before="40" w:after="40"/>
            </w:pPr>
            <w:r>
              <w:rPr>
                <w:rFonts w:ascii="Calibri" w:hAnsi="Calibri"/>
                <w:sz w:val="18"/>
              </w:rPr>
              <w:t>950-1,050</w:t>
            </w:r>
          </w:p>
        </w:tc>
      </w:tr>
      <w:tr>
        <w:tc>
          <w:tcPr>
            <w:tcW w:type="dxa" w:w="1440"/>
            <w:shd w:fill="E8F0FE"/>
          </w:tcPr>
          <w:p>
            <w:pPr>
              <w:spacing w:before="40" w:after="40"/>
            </w:pPr>
            <w:r>
              <w:rPr>
                <w:rFonts w:ascii="Calibri" w:hAnsi="Calibri"/>
                <w:b/>
                <w:sz w:val="18"/>
              </w:rPr>
              <w:t>EBITDA Margin (%)</w:t>
            </w:r>
          </w:p>
        </w:tc>
        <w:tc>
          <w:tcPr>
            <w:tcW w:type="dxa" w:w="1440"/>
            <w:shd w:fill="E8F0FE"/>
          </w:tcPr>
          <w:p>
            <w:pPr>
              <w:spacing w:before="40" w:after="40"/>
            </w:pPr>
            <w:r>
              <w:rPr>
                <w:rFonts w:ascii="Calibri" w:hAnsi="Calibri"/>
                <w:sz w:val="18"/>
              </w:rPr>
              <w:t>45%</w:t>
            </w:r>
          </w:p>
        </w:tc>
        <w:tc>
          <w:tcPr>
            <w:tcW w:type="dxa" w:w="1440"/>
            <w:shd w:fill="E8F0FE"/>
          </w:tcPr>
          <w:p>
            <w:pPr>
              <w:spacing w:before="40" w:after="40"/>
            </w:pPr>
            <w:r>
              <w:rPr>
                <w:rFonts w:ascii="Calibri" w:hAnsi="Calibri"/>
                <w:sz w:val="18"/>
              </w:rPr>
              <w:t>45-50%</w:t>
            </w:r>
          </w:p>
        </w:tc>
        <w:tc>
          <w:tcPr>
            <w:tcW w:type="dxa" w:w="1440"/>
            <w:shd w:fill="E8F0FE"/>
          </w:tcPr>
          <w:p>
            <w:pPr>
              <w:spacing w:before="40" w:after="40"/>
            </w:pPr>
            <w:r>
              <w:rPr>
                <w:rFonts w:ascii="Calibri" w:hAnsi="Calibri"/>
                <w:sz w:val="18"/>
              </w:rPr>
              <w:t>48-52%</w:t>
            </w:r>
          </w:p>
        </w:tc>
        <w:tc>
          <w:tcPr>
            <w:tcW w:type="dxa" w:w="1440"/>
            <w:shd w:fill="E8F0FE"/>
          </w:tcPr>
          <w:p>
            <w:pPr>
              <w:spacing w:before="40" w:after="40"/>
            </w:pPr>
            <w:r>
              <w:rPr>
                <w:rFonts w:ascii="Calibri" w:hAnsi="Calibri"/>
                <w:sz w:val="18"/>
              </w:rPr>
              <w:t>50-55%</w:t>
            </w:r>
          </w:p>
        </w:tc>
        <w:tc>
          <w:tcPr>
            <w:tcW w:type="dxa" w:w="1440"/>
            <w:shd w:fill="E8F0FE"/>
          </w:tcPr>
          <w:p>
            <w:pPr>
              <w:spacing w:before="40" w:after="40"/>
            </w:pPr>
            <w:r>
              <w:rPr>
                <w:rFonts w:ascii="Calibri" w:hAnsi="Calibri"/>
                <w:sz w:val="18"/>
              </w:rPr>
              <w:t>50-55%</w:t>
            </w:r>
          </w:p>
        </w:tc>
      </w:tr>
      <w:tr>
        <w:tc>
          <w:tcPr>
            <w:tcW w:type="dxa" w:w="1440"/>
          </w:tcPr>
          <w:p>
            <w:pPr>
              <w:spacing w:before="40" w:after="40"/>
            </w:pPr>
            <w:r>
              <w:rPr>
                <w:rFonts w:ascii="Calibri" w:hAnsi="Calibri"/>
                <w:b/>
                <w:sz w:val="18"/>
              </w:rPr>
              <w:t>Depreciation (₹ Cr)</w:t>
            </w:r>
          </w:p>
        </w:tc>
        <w:tc>
          <w:tcPr>
            <w:tcW w:type="dxa" w:w="1440"/>
          </w:tcPr>
          <w:p>
            <w:pPr>
              <w:spacing w:before="40" w:after="40"/>
            </w:pPr>
            <w:r>
              <w:rPr>
                <w:rFonts w:ascii="Calibri" w:hAnsi="Calibri"/>
                <w:sz w:val="18"/>
              </w:rPr>
              <w:t>1285</w:t>
            </w:r>
          </w:p>
        </w:tc>
        <w:tc>
          <w:tcPr>
            <w:tcW w:type="dxa" w:w="1440"/>
          </w:tcPr>
          <w:p>
            <w:pPr>
              <w:spacing w:before="40" w:after="40"/>
            </w:pPr>
            <w:r>
              <w:rPr>
                <w:rFonts w:ascii="Calibri" w:hAnsi="Calibri"/>
                <w:sz w:val="18"/>
              </w:rPr>
              <w:t>1350-1450</w:t>
            </w:r>
          </w:p>
        </w:tc>
        <w:tc>
          <w:tcPr>
            <w:tcW w:type="dxa" w:w="1440"/>
          </w:tcPr>
          <w:p>
            <w:pPr>
              <w:spacing w:before="40" w:after="40"/>
            </w:pPr>
            <w:r>
              <w:rPr>
                <w:rFonts w:ascii="Calibri" w:hAnsi="Calibri"/>
                <w:sz w:val="18"/>
              </w:rPr>
              <w:t>1500-1600</w:t>
            </w:r>
          </w:p>
        </w:tc>
        <w:tc>
          <w:tcPr>
            <w:tcW w:type="dxa" w:w="1440"/>
          </w:tcPr>
          <w:p>
            <w:pPr>
              <w:spacing w:before="40" w:after="40"/>
            </w:pPr>
            <w:r>
              <w:rPr>
                <w:rFonts w:ascii="Calibri" w:hAnsi="Calibri"/>
                <w:sz w:val="18"/>
              </w:rPr>
              <w:t>1700-1800</w:t>
            </w:r>
          </w:p>
        </w:tc>
        <w:tc>
          <w:tcPr>
            <w:tcW w:type="dxa" w:w="1440"/>
          </w:tcPr>
          <w:p>
            <w:pPr>
              <w:spacing w:before="40" w:after="40"/>
            </w:pPr>
            <w:r>
              <w:rPr>
                <w:rFonts w:ascii="Calibri" w:hAnsi="Calibri"/>
                <w:sz w:val="18"/>
              </w:rPr>
              <w:t>1800-1900</w:t>
            </w:r>
          </w:p>
        </w:tc>
      </w:tr>
      <w:tr>
        <w:tc>
          <w:tcPr>
            <w:tcW w:type="dxa" w:w="1440"/>
            <w:shd w:fill="E8F0FE"/>
          </w:tcPr>
          <w:p>
            <w:pPr>
              <w:spacing w:before="40" w:after="40"/>
            </w:pPr>
            <w:r>
              <w:rPr>
                <w:rFonts w:ascii="Calibri" w:hAnsi="Calibri"/>
                <w:b/>
                <w:sz w:val="18"/>
              </w:rPr>
              <w:t>Finance Cost (₹ Cr)</w:t>
            </w:r>
          </w:p>
        </w:tc>
        <w:tc>
          <w:tcPr>
            <w:tcW w:type="dxa" w:w="1440"/>
            <w:shd w:fill="E8F0FE"/>
          </w:tcPr>
          <w:p>
            <w:pPr>
              <w:spacing w:before="40" w:after="40"/>
            </w:pPr>
            <w:r>
              <w:rPr>
                <w:rFonts w:ascii="Calibri" w:hAnsi="Calibri"/>
                <w:sz w:val="18"/>
              </w:rPr>
              <w:t>259</w:t>
            </w:r>
          </w:p>
        </w:tc>
        <w:tc>
          <w:tcPr>
            <w:tcW w:type="dxa" w:w="1440"/>
            <w:shd w:fill="E8F0FE"/>
          </w:tcPr>
          <w:p>
            <w:pPr>
              <w:spacing w:before="40" w:after="40"/>
            </w:pPr>
            <w:r>
              <w:rPr>
                <w:rFonts w:ascii="Calibri" w:hAnsi="Calibri"/>
                <w:sz w:val="18"/>
              </w:rPr>
              <w:t>250-270</w:t>
            </w:r>
          </w:p>
        </w:tc>
        <w:tc>
          <w:tcPr>
            <w:tcW w:type="dxa" w:w="1440"/>
            <w:shd w:fill="E8F0FE"/>
          </w:tcPr>
          <w:p>
            <w:pPr>
              <w:spacing w:before="40" w:after="40"/>
            </w:pPr>
            <w:r>
              <w:rPr>
                <w:rFonts w:ascii="Calibri" w:hAnsi="Calibri"/>
                <w:sz w:val="18"/>
              </w:rPr>
              <w:t>280-300</w:t>
            </w:r>
          </w:p>
        </w:tc>
        <w:tc>
          <w:tcPr>
            <w:tcW w:type="dxa" w:w="1440"/>
            <w:shd w:fill="E8F0FE"/>
          </w:tcPr>
          <w:p>
            <w:pPr>
              <w:spacing w:before="40" w:after="40"/>
            </w:pPr>
            <w:r>
              <w:rPr>
                <w:rFonts w:ascii="Calibri" w:hAnsi="Calibri"/>
                <w:sz w:val="18"/>
              </w:rPr>
              <w:t>300-320</w:t>
            </w:r>
          </w:p>
        </w:tc>
        <w:tc>
          <w:tcPr>
            <w:tcW w:type="dxa" w:w="1440"/>
            <w:shd w:fill="E8F0FE"/>
          </w:tcPr>
          <w:p>
            <w:pPr>
              <w:spacing w:before="40" w:after="40"/>
            </w:pPr>
            <w:r>
              <w:rPr>
                <w:rFonts w:ascii="Calibri" w:hAnsi="Calibri"/>
                <w:sz w:val="18"/>
              </w:rPr>
              <w:t>320-340</w:t>
            </w:r>
          </w:p>
        </w:tc>
      </w:tr>
      <w:tr>
        <w:tc>
          <w:tcPr>
            <w:tcW w:type="dxa" w:w="1440"/>
          </w:tcPr>
          <w:p>
            <w:pPr>
              <w:spacing w:before="40" w:after="40"/>
            </w:pPr>
            <w:r>
              <w:rPr>
                <w:rFonts w:ascii="Calibri" w:hAnsi="Calibri"/>
                <w:b/>
                <w:sz w:val="18"/>
              </w:rPr>
              <w:t>PBT (Operating) (₹ Cr)</w:t>
            </w:r>
          </w:p>
        </w:tc>
        <w:tc>
          <w:tcPr>
            <w:tcW w:type="dxa" w:w="1440"/>
          </w:tcPr>
          <w:p>
            <w:pPr>
              <w:spacing w:before="40" w:after="40"/>
            </w:pPr>
            <w:r>
              <w:rPr>
                <w:rFonts w:ascii="Calibri" w:hAnsi="Calibri"/>
                <w:sz w:val="18"/>
              </w:rPr>
              <w:t>1779</w:t>
            </w:r>
          </w:p>
        </w:tc>
        <w:tc>
          <w:tcPr>
            <w:tcW w:type="dxa" w:w="1440"/>
          </w:tcPr>
          <w:p>
            <w:pPr>
              <w:spacing w:before="40" w:after="40"/>
            </w:pPr>
            <w:r>
              <w:rPr>
                <w:rFonts w:ascii="Calibri" w:hAnsi="Calibri"/>
                <w:sz w:val="18"/>
              </w:rPr>
              <w:t>2900-3280</w:t>
            </w:r>
          </w:p>
        </w:tc>
        <w:tc>
          <w:tcPr>
            <w:tcW w:type="dxa" w:w="1440"/>
          </w:tcPr>
          <w:p>
            <w:pPr>
              <w:spacing w:before="40" w:after="40"/>
            </w:pPr>
            <w:r>
              <w:rPr>
                <w:rFonts w:ascii="Calibri" w:hAnsi="Calibri"/>
                <w:sz w:val="18"/>
              </w:rPr>
              <w:t>4720-5600</w:t>
            </w:r>
          </w:p>
        </w:tc>
        <w:tc>
          <w:tcPr>
            <w:tcW w:type="dxa" w:w="1440"/>
          </w:tcPr>
          <w:p>
            <w:pPr>
              <w:spacing w:before="40" w:after="40"/>
            </w:pPr>
            <w:r>
              <w:rPr>
                <w:rFonts w:ascii="Calibri" w:hAnsi="Calibri"/>
                <w:sz w:val="18"/>
              </w:rPr>
              <w:t>6500-7380</w:t>
            </w:r>
          </w:p>
        </w:tc>
        <w:tc>
          <w:tcPr>
            <w:tcW w:type="dxa" w:w="1440"/>
          </w:tcPr>
          <w:p>
            <w:pPr>
              <w:spacing w:before="40" w:after="40"/>
            </w:pPr>
            <w:r>
              <w:rPr>
                <w:rFonts w:ascii="Calibri" w:hAnsi="Calibri"/>
                <w:sz w:val="18"/>
              </w:rPr>
              <w:t>7400-8160</w:t>
            </w:r>
          </w:p>
        </w:tc>
      </w:tr>
      <w:tr>
        <w:tc>
          <w:tcPr>
            <w:tcW w:type="dxa" w:w="1440"/>
            <w:shd w:fill="E8F0FE"/>
          </w:tcPr>
          <w:p>
            <w:pPr>
              <w:spacing w:before="40" w:after="40"/>
            </w:pPr>
            <w:r>
              <w:rPr>
                <w:rFonts w:ascii="Calibri" w:hAnsi="Calibri"/>
                <w:b/>
                <w:sz w:val="18"/>
              </w:rPr>
              <w:t>Tax (₹ Cr)</w:t>
            </w:r>
          </w:p>
        </w:tc>
        <w:tc>
          <w:tcPr>
            <w:tcW w:type="dxa" w:w="1440"/>
            <w:shd w:fill="E8F0FE"/>
          </w:tcPr>
          <w:p>
            <w:pPr>
              <w:spacing w:before="40" w:after="40"/>
            </w:pPr>
            <w:r>
              <w:rPr>
                <w:rFonts w:ascii="Calibri" w:hAnsi="Calibri"/>
                <w:sz w:val="18"/>
              </w:rPr>
              <w:t>503</w:t>
            </w:r>
          </w:p>
        </w:tc>
        <w:tc>
          <w:tcPr>
            <w:tcW w:type="dxa" w:w="1440"/>
            <w:shd w:fill="E8F0FE"/>
          </w:tcPr>
          <w:p>
            <w:pPr>
              <w:spacing w:before="40" w:after="40"/>
            </w:pPr>
            <w:r>
              <w:rPr>
                <w:rFonts w:ascii="Calibri" w:hAnsi="Calibri"/>
                <w:sz w:val="18"/>
              </w:rPr>
              <w:t>700-800</w:t>
            </w:r>
          </w:p>
        </w:tc>
        <w:tc>
          <w:tcPr>
            <w:tcW w:type="dxa" w:w="1440"/>
            <w:shd w:fill="E8F0FE"/>
          </w:tcPr>
          <w:p>
            <w:pPr>
              <w:spacing w:before="40" w:after="40"/>
            </w:pPr>
            <w:r>
              <w:rPr>
                <w:rFonts w:ascii="Calibri" w:hAnsi="Calibri"/>
                <w:sz w:val="18"/>
              </w:rPr>
              <w:t>1100-1300</w:t>
            </w:r>
          </w:p>
        </w:tc>
        <w:tc>
          <w:tcPr>
            <w:tcW w:type="dxa" w:w="1440"/>
            <w:shd w:fill="E8F0FE"/>
          </w:tcPr>
          <w:p>
            <w:pPr>
              <w:spacing w:before="40" w:after="40"/>
            </w:pPr>
            <w:r>
              <w:rPr>
                <w:rFonts w:ascii="Calibri" w:hAnsi="Calibri"/>
                <w:sz w:val="18"/>
              </w:rPr>
              <w:t>1500-1700</w:t>
            </w:r>
          </w:p>
        </w:tc>
        <w:tc>
          <w:tcPr>
            <w:tcW w:type="dxa" w:w="1440"/>
            <w:shd w:fill="E8F0FE"/>
          </w:tcPr>
          <w:p>
            <w:pPr>
              <w:spacing w:before="40" w:after="40"/>
            </w:pPr>
            <w:r>
              <w:rPr>
                <w:rFonts w:ascii="Calibri" w:hAnsi="Calibri"/>
                <w:sz w:val="18"/>
              </w:rPr>
              <w:t>1600-1800</w:t>
            </w:r>
          </w:p>
        </w:tc>
      </w:tr>
      <w:tr>
        <w:tc>
          <w:tcPr>
            <w:tcW w:type="dxa" w:w="1440"/>
          </w:tcPr>
          <w:p>
            <w:pPr>
              <w:spacing w:before="40" w:after="40"/>
            </w:pPr>
            <w:r>
              <w:rPr>
                <w:rFonts w:ascii="Calibri" w:hAnsi="Calibri"/>
                <w:b/>
                <w:sz w:val="18"/>
              </w:rPr>
              <w:t>PAT (Operating) (₹ Cr)</w:t>
            </w:r>
          </w:p>
        </w:tc>
        <w:tc>
          <w:tcPr>
            <w:tcW w:type="dxa" w:w="1440"/>
          </w:tcPr>
          <w:p>
            <w:pPr>
              <w:spacing w:before="40" w:after="40"/>
            </w:pPr>
            <w:r>
              <w:rPr>
                <w:rFonts w:ascii="Calibri" w:hAnsi="Calibri"/>
                <w:sz w:val="18"/>
              </w:rPr>
              <w:t>1276</w:t>
            </w:r>
          </w:p>
        </w:tc>
        <w:tc>
          <w:tcPr>
            <w:tcW w:type="dxa" w:w="1440"/>
          </w:tcPr>
          <w:p>
            <w:pPr>
              <w:spacing w:before="40" w:after="40"/>
            </w:pPr>
            <w:r>
              <w:rPr>
                <w:rFonts w:ascii="Calibri" w:hAnsi="Calibri"/>
                <w:sz w:val="18"/>
              </w:rPr>
              <w:t>2200-2480</w:t>
            </w:r>
          </w:p>
        </w:tc>
        <w:tc>
          <w:tcPr>
            <w:tcW w:type="dxa" w:w="1440"/>
          </w:tcPr>
          <w:p>
            <w:pPr>
              <w:spacing w:before="40" w:after="40"/>
            </w:pPr>
            <w:r>
              <w:rPr>
                <w:rFonts w:ascii="Calibri" w:hAnsi="Calibri"/>
                <w:sz w:val="18"/>
              </w:rPr>
              <w:t>3620-4300</w:t>
            </w:r>
          </w:p>
        </w:tc>
        <w:tc>
          <w:tcPr>
            <w:tcW w:type="dxa" w:w="1440"/>
          </w:tcPr>
          <w:p>
            <w:pPr>
              <w:spacing w:before="40" w:after="40"/>
            </w:pPr>
            <w:r>
              <w:rPr>
                <w:rFonts w:ascii="Calibri" w:hAnsi="Calibri"/>
                <w:sz w:val="18"/>
              </w:rPr>
              <w:t>5000-5680</w:t>
            </w:r>
          </w:p>
        </w:tc>
        <w:tc>
          <w:tcPr>
            <w:tcW w:type="dxa" w:w="1440"/>
          </w:tcPr>
          <w:p>
            <w:pPr>
              <w:spacing w:before="40" w:after="40"/>
            </w:pPr>
            <w:r>
              <w:rPr>
                <w:rFonts w:ascii="Calibri" w:hAnsi="Calibri"/>
                <w:sz w:val="18"/>
              </w:rPr>
              <w:t>5600-6360</w:t>
            </w:r>
          </w:p>
        </w:tc>
      </w:tr>
      <w:tr>
        <w:tc>
          <w:tcPr>
            <w:tcW w:type="dxa" w:w="1440"/>
            <w:shd w:fill="E8F0FE"/>
          </w:tcPr>
          <w:p>
            <w:pPr>
              <w:spacing w:before="40" w:after="40"/>
            </w:pPr>
            <w:r>
              <w:rPr>
                <w:rFonts w:ascii="Calibri" w:hAnsi="Calibri"/>
                <w:b/>
                <w:sz w:val="18"/>
              </w:rPr>
              <w:t>EPS (Operating) (₹)</w:t>
            </w:r>
          </w:p>
        </w:tc>
        <w:tc>
          <w:tcPr>
            <w:tcW w:type="dxa" w:w="1440"/>
            <w:shd w:fill="E8F0FE"/>
          </w:tcPr>
          <w:p>
            <w:pPr>
              <w:spacing w:before="40" w:after="40"/>
            </w:pPr>
            <w:r>
              <w:rPr>
                <w:rFonts w:ascii="Calibri" w:hAnsi="Calibri"/>
                <w:sz w:val="18"/>
              </w:rPr>
              <w:t>14.74</w:t>
            </w:r>
          </w:p>
        </w:tc>
        <w:tc>
          <w:tcPr>
            <w:tcW w:type="dxa" w:w="1440"/>
            <w:shd w:fill="E8F0FE"/>
          </w:tcPr>
          <w:p>
            <w:pPr>
              <w:spacing w:before="40" w:after="40"/>
            </w:pPr>
            <w:r>
              <w:rPr>
                <w:rFonts w:ascii="Calibri" w:hAnsi="Calibri"/>
                <w:sz w:val="18"/>
              </w:rPr>
              <w:t>25-28</w:t>
            </w:r>
          </w:p>
        </w:tc>
        <w:tc>
          <w:tcPr>
            <w:tcW w:type="dxa" w:w="1440"/>
            <w:shd w:fill="E8F0FE"/>
          </w:tcPr>
          <w:p>
            <w:pPr>
              <w:spacing w:before="40" w:after="40"/>
            </w:pPr>
            <w:r>
              <w:rPr>
                <w:rFonts w:ascii="Calibri" w:hAnsi="Calibri"/>
                <w:sz w:val="18"/>
              </w:rPr>
              <w:t>41-49</w:t>
            </w:r>
          </w:p>
        </w:tc>
        <w:tc>
          <w:tcPr>
            <w:tcW w:type="dxa" w:w="1440"/>
            <w:shd w:fill="E8F0FE"/>
          </w:tcPr>
          <w:p>
            <w:pPr>
              <w:spacing w:before="40" w:after="40"/>
            </w:pPr>
            <w:r>
              <w:rPr>
                <w:rFonts w:ascii="Calibri" w:hAnsi="Calibri"/>
                <w:sz w:val="18"/>
              </w:rPr>
              <w:t>57-65</w:t>
            </w:r>
          </w:p>
        </w:tc>
        <w:tc>
          <w:tcPr>
            <w:tcW w:type="dxa" w:w="1440"/>
            <w:shd w:fill="E8F0FE"/>
          </w:tcPr>
          <w:p>
            <w:pPr>
              <w:spacing w:before="40" w:after="40"/>
            </w:pPr>
            <w:r>
              <w:rPr>
                <w:rFonts w:ascii="Calibri" w:hAnsi="Calibri"/>
                <w:sz w:val="18"/>
              </w:rPr>
              <w:t>64-73</w:t>
            </w:r>
          </w:p>
        </w:tc>
      </w:tr>
    </w:tbl>
    <w:p/>
    <w:p>
      <w:pPr>
        <w:pStyle w:val="Heading2"/>
      </w:pPr>
      <w:r>
        <w:rPr>
          <w:rFonts w:ascii="Calibri" w:hAnsi="Calibri"/>
          <w:color w:val="1F5F8B"/>
          <w:sz w:val="26"/>
        </w:rPr>
        <w:t>7.1 Key Assumptions Behind Estimates</w:t>
      </w:r>
    </w:p>
    <w:p>
      <w:pPr>
        <w:pStyle w:val="ListBullet"/>
        <w:spacing w:after="80"/>
      </w:pPr>
      <w:r>
        <w:rPr>
          <w:rFonts w:ascii="Calibri" w:hAnsi="Calibri"/>
          <w:color w:val="333333"/>
          <w:sz w:val="20"/>
        </w:rPr>
        <w:t xml:space="preserve">  </w:t>
      </w:r>
      <w:r>
        <w:rPr>
          <w:rFonts w:ascii="Calibri" w:hAnsi="Calibri"/>
          <w:b/>
          <w:color w:val="333333"/>
          <w:sz w:val="20"/>
        </w:rPr>
        <w:t>Revenue Growth:</w:t>
      </w:r>
      <w:r>
        <w:rPr>
          <w:rFonts w:ascii="Calibri" w:hAnsi="Calibri"/>
          <w:color w:val="333333"/>
          <w:sz w:val="20"/>
        </w:rPr>
        <w:t xml:space="preserve"> Assumes continued strong execution of the existing order book and successful acquisition of new orders driven by India's infrastructure spending and global expansion in Saudi Arabia. A gradual ramp-up in international operations and a steady contribution from the renewables segment are factored in.</w:t>
      </w:r>
    </w:p>
    <w:p>
      <w:pPr>
        <w:pStyle w:val="ListBullet"/>
        <w:spacing w:after="80"/>
      </w:pPr>
      <w:r>
        <w:rPr>
          <w:rFonts w:ascii="Calibri" w:hAnsi="Calibri"/>
          <w:color w:val="333333"/>
          <w:sz w:val="20"/>
        </w:rPr>
        <w:t xml:space="preserve">  </w:t>
      </w:r>
      <w:r>
        <w:rPr>
          <w:rFonts w:ascii="Calibri" w:hAnsi="Calibri"/>
          <w:b/>
          <w:color w:val="333333"/>
          <w:sz w:val="20"/>
        </w:rPr>
        <w:t>Gross Margin:</w:t>
      </w:r>
      <w:r>
        <w:rPr>
          <w:rFonts w:ascii="Calibri" w:hAnsi="Calibri"/>
          <w:color w:val="333333"/>
          <w:sz w:val="20"/>
        </w:rPr>
        <w:t xml:space="preserve"> Assumes stable gross margins for the crane rental business, with slight improvements due to better utilization and operational efficiencies. Renewables EPC margins are assumed to stabilize within the guided range of 10-12%.</w:t>
      </w:r>
    </w:p>
    <w:p>
      <w:pPr>
        <w:pStyle w:val="ListBullet"/>
        <w:spacing w:after="80"/>
      </w:pPr>
      <w:r>
        <w:rPr>
          <w:rFonts w:ascii="Calibri" w:hAnsi="Calibri"/>
          <w:color w:val="333333"/>
          <w:sz w:val="20"/>
        </w:rPr>
        <w:t xml:space="preserve">  </w:t>
      </w:r>
      <w:r>
        <w:rPr>
          <w:rFonts w:ascii="Calibri" w:hAnsi="Calibri"/>
          <w:b/>
          <w:color w:val="333333"/>
          <w:sz w:val="20"/>
        </w:rPr>
        <w:t>EBITDA Margin:</w:t>
      </w:r>
      <w:r>
        <w:rPr>
          <w:rFonts w:ascii="Calibri" w:hAnsi="Calibri"/>
          <w:color w:val="333333"/>
          <w:sz w:val="20"/>
        </w:rPr>
        <w:t xml:space="preserve"> Assumes a gradual improvement in blended EBITDA margins as the company scales its international operations and benefits from operating leverage. The crane rental segment's high margins are expected to partially offset the lower margins in EPC.</w:t>
      </w:r>
    </w:p>
    <w:p>
      <w:pPr>
        <w:pStyle w:val="ListBullet"/>
        <w:spacing w:after="80"/>
      </w:pPr>
      <w:r>
        <w:rPr>
          <w:rFonts w:ascii="Calibri" w:hAnsi="Calibri"/>
          <w:color w:val="333333"/>
          <w:sz w:val="20"/>
        </w:rPr>
        <w:t xml:space="preserve">  </w:t>
      </w:r>
      <w:r>
        <w:rPr>
          <w:rFonts w:ascii="Calibri" w:hAnsi="Calibri"/>
          <w:b/>
          <w:color w:val="333333"/>
          <w:sz w:val="20"/>
        </w:rPr>
        <w:t>Capex:</w:t>
      </w:r>
      <w:r>
        <w:rPr>
          <w:rFonts w:ascii="Calibri" w:hAnsi="Calibri"/>
          <w:color w:val="333333"/>
          <w:sz w:val="20"/>
        </w:rPr>
        <w:t xml:space="preserve"> Assumes continued strategic capex for fleet expansion and modernization, phased in line with confirmed order books to protect return ratios.</w:t>
      </w:r>
    </w:p>
    <w:p>
      <w:pPr>
        <w:pStyle w:val="ListBullet"/>
        <w:spacing w:after="80"/>
      </w:pPr>
      <w:r>
        <w:rPr>
          <w:rFonts w:ascii="Calibri" w:hAnsi="Calibri"/>
          <w:color w:val="333333"/>
          <w:sz w:val="20"/>
        </w:rPr>
        <w:t xml:space="preserve">  </w:t>
      </w:r>
      <w:r>
        <w:rPr>
          <w:rFonts w:ascii="Calibri" w:hAnsi="Calibri"/>
          <w:b/>
          <w:color w:val="333333"/>
          <w:sz w:val="20"/>
        </w:rPr>
        <w:t>Working Capital:</w:t>
      </w:r>
      <w:r>
        <w:rPr>
          <w:rFonts w:ascii="Calibri" w:hAnsi="Calibri"/>
          <w:color w:val="333333"/>
          <w:sz w:val="20"/>
        </w:rPr>
        <w:t xml:space="preserve"> Assumes normalization of working capital metrics to historical levels, with improvements in DSO as collections accelerate.</w:t>
      </w:r>
    </w:p>
    <w:p>
      <w:pPr>
        <w:pStyle w:val="ListBullet"/>
        <w:spacing w:after="80"/>
      </w:pPr>
      <w:r>
        <w:rPr>
          <w:rFonts w:ascii="Calibri" w:hAnsi="Calibri"/>
          <w:color w:val="333333"/>
          <w:sz w:val="20"/>
        </w:rPr>
        <w:t xml:space="preserve">  </w:t>
      </w:r>
      <w:r>
        <w:rPr>
          <w:rFonts w:ascii="Calibri" w:hAnsi="Calibri"/>
          <w:b/>
          <w:color w:val="333333"/>
          <w:sz w:val="20"/>
        </w:rPr>
        <w:t>Tax Rate:</w:t>
      </w:r>
      <w:r>
        <w:rPr>
          <w:rFonts w:ascii="Calibri" w:hAnsi="Calibri"/>
          <w:color w:val="333333"/>
          <w:sz w:val="20"/>
        </w:rPr>
        <w:t xml:space="preserve"> Assumes a normalized effective tax rate based on current corporate tax regulations.</w:t>
      </w:r>
    </w:p>
    <w:p>
      <w:pPr>
        <w:pStyle w:val="ListBullet"/>
        <w:spacing w:after="80"/>
      </w:pPr>
      <w:r>
        <w:rPr>
          <w:rFonts w:ascii="Calibri" w:hAnsi="Calibri"/>
          <w:color w:val="333333"/>
          <w:sz w:val="20"/>
        </w:rPr>
        <w:t xml:space="preserve">  </w:t>
      </w:r>
      <w:r>
        <w:rPr>
          <w:rFonts w:ascii="Calibri" w:hAnsi="Calibri"/>
          <w:b/>
          <w:color w:val="333333"/>
          <w:sz w:val="20"/>
        </w:rPr>
        <w:t>Share Count:</w:t>
      </w:r>
      <w:r>
        <w:rPr>
          <w:rFonts w:ascii="Calibri" w:hAnsi="Calibri"/>
          <w:color w:val="333333"/>
          <w:sz w:val="20"/>
        </w:rPr>
        <w:t xml:space="preserve"> Assumes a stable share count, with no significant dilution from equity issuances.</w:t>
      </w:r>
    </w:p>
    <w:p>
      <w:pPr>
        <w:pStyle w:val="Heading1"/>
      </w:pPr>
      <w:r>
        <w:rPr>
          <w:rFonts w:ascii="Calibri" w:hAnsi="Calibri"/>
          <w:color w:val="1F5F8B"/>
          <w:sz w:val="32"/>
        </w:rPr>
        <w:t>8. Capex &amp; Management Guidance Summary</w:t>
      </w:r>
    </w:p>
    <w:p>
      <w:pPr>
        <w:spacing w:before="0" w:after="120"/>
      </w:pP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880"/>
        <w:gridCol w:w="2880"/>
        <w:gridCol w:w="2880"/>
      </w:tblGrid>
      <w:tr>
        <w:tc>
          <w:tcPr>
            <w:tcW w:type="dxa" w:w="2880"/>
            <w:shd w:fill="1F5F8B"/>
          </w:tcPr>
          <w:p>
            <w:pPr>
              <w:spacing w:before="40" w:after="40"/>
            </w:pPr>
            <w:r>
              <w:rPr>
                <w:rFonts w:ascii="Calibri" w:hAnsi="Calibri"/>
                <w:b/>
                <w:color w:val="FFFFFF"/>
                <w:sz w:val="18"/>
              </w:rPr>
              <w:t>Guidance Parameter</w:t>
            </w:r>
          </w:p>
        </w:tc>
        <w:tc>
          <w:tcPr>
            <w:tcW w:type="dxa" w:w="2880"/>
            <w:shd w:fill="1F5F8B"/>
          </w:tcPr>
          <w:p>
            <w:pPr>
              <w:spacing w:before="40" w:after="40"/>
            </w:pPr>
            <w:r>
              <w:rPr>
                <w:rFonts w:ascii="Calibri" w:hAnsi="Calibri"/>
                <w:b/>
                <w:color w:val="FFFFFF"/>
                <w:sz w:val="18"/>
              </w:rPr>
              <w:t>Target</w:t>
            </w:r>
          </w:p>
        </w:tc>
        <w:tc>
          <w:tcPr>
            <w:tcW w:type="dxa" w:w="2880"/>
            <w:shd w:fill="1F5F8B"/>
          </w:tcPr>
          <w:p>
            <w:pPr>
              <w:spacing w:before="40" w:after="40"/>
            </w:pPr>
            <w:r>
              <w:rPr>
                <w:rFonts w:ascii="Calibri" w:hAnsi="Calibri"/>
                <w:b/>
                <w:color w:val="FFFFFF"/>
                <w:sz w:val="18"/>
              </w:rPr>
              <w:t>Timeline</w:t>
            </w:r>
          </w:p>
        </w:tc>
      </w:tr>
      <w:tr>
        <w:tc>
          <w:tcPr>
            <w:tcW w:type="dxa" w:w="2880"/>
          </w:tcPr>
          <w:p>
            <w:pPr>
              <w:spacing w:before="40" w:after="40"/>
            </w:pPr>
            <w:r>
              <w:rPr>
                <w:rFonts w:ascii="Calibri" w:hAnsi="Calibri"/>
                <w:b/>
                <w:sz w:val="18"/>
              </w:rPr>
              <w:t>Revenue Target</w:t>
            </w:r>
          </w:p>
        </w:tc>
        <w:tc>
          <w:tcPr>
            <w:tcW w:type="dxa" w:w="2880"/>
          </w:tcPr>
          <w:p>
            <w:pPr>
              <w:spacing w:before="40" w:after="40"/>
            </w:pPr>
            <w:r>
              <w:rPr>
                <w:rFonts w:ascii="Calibri" w:hAnsi="Calibri"/>
                <w:sz w:val="18"/>
              </w:rPr>
              <w:t>₹1,800 Cr</w:t>
            </w:r>
          </w:p>
        </w:tc>
        <w:tc>
          <w:tcPr>
            <w:tcW w:type="dxa" w:w="2880"/>
          </w:tcPr>
          <w:p>
            <w:pPr>
              <w:spacing w:before="40" w:after="40"/>
            </w:pPr>
            <w:r>
              <w:rPr>
                <w:rFonts w:ascii="Calibri" w:hAnsi="Calibri"/>
                <w:sz w:val="18"/>
              </w:rPr>
              <w:t>By FY28</w:t>
            </w:r>
          </w:p>
        </w:tc>
      </w:tr>
      <w:tr>
        <w:tc>
          <w:tcPr>
            <w:tcW w:type="dxa" w:w="2880"/>
            <w:shd w:fill="E8F0FE"/>
          </w:tcPr>
          <w:p>
            <w:pPr>
              <w:spacing w:before="40" w:after="40"/>
            </w:pPr>
            <w:r>
              <w:rPr>
                <w:rFonts w:ascii="Calibri" w:hAnsi="Calibri"/>
                <w:b/>
                <w:sz w:val="18"/>
              </w:rPr>
              <w:t>Revenue CAGR</w:t>
            </w:r>
          </w:p>
        </w:tc>
        <w:tc>
          <w:tcPr>
            <w:tcW w:type="dxa" w:w="2880"/>
            <w:shd w:fill="E8F0FE"/>
          </w:tcPr>
          <w:p>
            <w:pPr>
              <w:spacing w:before="40" w:after="40"/>
            </w:pPr>
            <w:r>
              <w:rPr>
                <w:rFonts w:ascii="Calibri" w:hAnsi="Calibri"/>
                <w:sz w:val="18"/>
              </w:rPr>
              <w:t>~25-30%</w:t>
            </w:r>
          </w:p>
        </w:tc>
        <w:tc>
          <w:tcPr>
            <w:tcW w:type="dxa" w:w="2880"/>
            <w:shd w:fill="E8F0FE"/>
          </w:tcPr>
          <w:p>
            <w:pPr>
              <w:spacing w:before="40" w:after="40"/>
            </w:pPr>
            <w:r>
              <w:rPr>
                <w:rFonts w:ascii="Calibri" w:hAnsi="Calibri"/>
                <w:sz w:val="18"/>
              </w:rPr>
              <w:t>FY25-FY28</w:t>
            </w:r>
          </w:p>
        </w:tc>
      </w:tr>
      <w:tr>
        <w:tc>
          <w:tcPr>
            <w:tcW w:type="dxa" w:w="2880"/>
          </w:tcPr>
          <w:p>
            <w:pPr>
              <w:spacing w:before="40" w:after="40"/>
            </w:pPr>
            <w:r>
              <w:rPr>
                <w:rFonts w:ascii="Calibri" w:hAnsi="Calibri"/>
                <w:b/>
                <w:sz w:val="18"/>
              </w:rPr>
              <w:t>Key Segment Targets</w:t>
            </w:r>
          </w:p>
        </w:tc>
        <w:tc>
          <w:tcPr>
            <w:tcW w:type="dxa" w:w="2880"/>
          </w:tcPr>
          <w:p>
            <w:pPr>
              <w:spacing w:before="40" w:after="40"/>
            </w:pPr>
            <w:r>
              <w:rPr>
                <w:rFonts w:ascii="Calibri" w:hAnsi="Calibri"/>
                <w:sz w:val="18"/>
              </w:rPr>
              <w:t>Crane Rental: Maintain leadership; Renewables EPC: Scale to higher order value; KSA Operations: Top 5 player in GCC</w:t>
            </w:r>
          </w:p>
        </w:tc>
        <w:tc>
          <w:tcPr>
            <w:tcW w:type="dxa" w:w="2880"/>
          </w:tcPr>
          <w:p>
            <w:pPr>
              <w:spacing w:before="40" w:after="40"/>
            </w:pPr>
            <w:r>
              <w:rPr>
                <w:rFonts w:ascii="Calibri" w:hAnsi="Calibri"/>
                <w:sz w:val="18"/>
              </w:rPr>
              <w:t>Ongoing &amp; FY27-FY28</w:t>
            </w:r>
          </w:p>
        </w:tc>
      </w:tr>
      <w:tr>
        <w:tc>
          <w:tcPr>
            <w:tcW w:type="dxa" w:w="2880"/>
            <w:shd w:fill="E8F0FE"/>
          </w:tcPr>
          <w:p>
            <w:pPr>
              <w:spacing w:before="40" w:after="40"/>
            </w:pPr>
            <w:r>
              <w:rPr>
                <w:rFonts w:ascii="Calibri" w:hAnsi="Calibri"/>
                <w:b/>
                <w:sz w:val="18"/>
              </w:rPr>
              <w:t>EBITDA Margin Target</w:t>
            </w:r>
          </w:p>
        </w:tc>
        <w:tc>
          <w:tcPr>
            <w:tcW w:type="dxa" w:w="2880"/>
            <w:shd w:fill="E8F0FE"/>
          </w:tcPr>
          <w:p>
            <w:pPr>
              <w:spacing w:before="40" w:after="40"/>
            </w:pPr>
            <w:r>
              <w:rPr>
                <w:rFonts w:ascii="Calibri" w:hAnsi="Calibri"/>
                <w:sz w:val="18"/>
              </w:rPr>
              <w:t>Crane Rental: 50-55%; Renewables EPC: 10-12%</w:t>
            </w:r>
          </w:p>
        </w:tc>
        <w:tc>
          <w:tcPr>
            <w:tcW w:type="dxa" w:w="2880"/>
            <w:shd w:fill="E8F0FE"/>
          </w:tcPr>
          <w:p>
            <w:pPr>
              <w:spacing w:before="40" w:after="40"/>
            </w:pPr>
            <w:r>
              <w:rPr>
                <w:rFonts w:ascii="Calibri" w:hAnsi="Calibri"/>
                <w:sz w:val="18"/>
              </w:rPr>
              <w:t>Ongoing</w:t>
            </w:r>
          </w:p>
        </w:tc>
      </w:tr>
      <w:tr>
        <w:tc>
          <w:tcPr>
            <w:tcW w:type="dxa" w:w="2880"/>
          </w:tcPr>
          <w:p>
            <w:pPr>
              <w:spacing w:before="40" w:after="40"/>
            </w:pPr>
            <w:r>
              <w:rPr>
                <w:rFonts w:ascii="Calibri" w:hAnsi="Calibri"/>
                <w:b/>
                <w:sz w:val="18"/>
              </w:rPr>
              <w:t>Capex Plans</w:t>
            </w:r>
          </w:p>
        </w:tc>
        <w:tc>
          <w:tcPr>
            <w:tcW w:type="dxa" w:w="2880"/>
          </w:tcPr>
          <w:p>
            <w:pPr>
              <w:spacing w:before="40" w:after="40"/>
            </w:pPr>
            <w:r>
              <w:rPr>
                <w:rFonts w:ascii="Calibri" w:hAnsi="Calibri"/>
                <w:sz w:val="18"/>
              </w:rPr>
              <w:t>~₹500 Cr planned capital outlay (subject to BOD approval) for next 2 years</w:t>
            </w:r>
          </w:p>
        </w:tc>
        <w:tc>
          <w:tcPr>
            <w:tcW w:type="dxa" w:w="2880"/>
          </w:tcPr>
          <w:p>
            <w:pPr>
              <w:spacing w:before="40" w:after="40"/>
            </w:pPr>
            <w:r>
              <w:rPr>
                <w:rFonts w:ascii="Calibri" w:hAnsi="Calibri"/>
                <w:sz w:val="18"/>
              </w:rPr>
              <w:t>FY27-FY28</w:t>
            </w:r>
          </w:p>
        </w:tc>
      </w:tr>
      <w:tr>
        <w:tc>
          <w:tcPr>
            <w:tcW w:type="dxa" w:w="2880"/>
            <w:shd w:fill="E8F0FE"/>
          </w:tcPr>
          <w:p>
            <w:pPr>
              <w:spacing w:before="40" w:after="40"/>
            </w:pPr>
            <w:r>
              <w:rPr>
                <w:rFonts w:ascii="Calibri" w:hAnsi="Calibri"/>
                <w:b/>
                <w:sz w:val="18"/>
              </w:rPr>
              <w:t>Dividend Policy</w:t>
            </w:r>
          </w:p>
        </w:tc>
        <w:tc>
          <w:tcPr>
            <w:tcW w:type="dxa" w:w="2880"/>
            <w:shd w:fill="E8F0FE"/>
          </w:tcPr>
          <w:p>
            <w:pPr>
              <w:spacing w:before="40" w:after="40"/>
            </w:pPr>
            <w:r>
              <w:rPr>
                <w:rFonts w:ascii="Calibri" w:hAnsi="Calibri"/>
                <w:sz w:val="18"/>
              </w:rPr>
              <w:t>Recommended ₹2 per share for FY25 (200% payout)</w:t>
            </w:r>
          </w:p>
        </w:tc>
        <w:tc>
          <w:tcPr>
            <w:tcW w:type="dxa" w:w="2880"/>
            <w:shd w:fill="E8F0FE"/>
          </w:tcPr>
          <w:p>
            <w:pPr>
              <w:spacing w:before="40" w:after="40"/>
            </w:pPr>
            <w:r>
              <w:rPr>
                <w:rFonts w:ascii="Calibri" w:hAnsi="Calibri"/>
                <w:sz w:val="18"/>
              </w:rPr>
              <w:t>Subject to AGM approval</w:t>
            </w:r>
          </w:p>
        </w:tc>
      </w:tr>
      <w:tr>
        <w:tc>
          <w:tcPr>
            <w:tcW w:type="dxa" w:w="2880"/>
          </w:tcPr>
          <w:p>
            <w:pPr>
              <w:spacing w:before="40" w:after="40"/>
            </w:pPr>
            <w:r>
              <w:rPr>
                <w:rFonts w:ascii="Calibri" w:hAnsi="Calibri"/>
                <w:b/>
                <w:sz w:val="18"/>
              </w:rPr>
              <w:t>Debt Status</w:t>
            </w:r>
          </w:p>
        </w:tc>
        <w:tc>
          <w:tcPr>
            <w:tcW w:type="dxa" w:w="2880"/>
          </w:tcPr>
          <w:p>
            <w:pPr>
              <w:spacing w:before="40" w:after="40"/>
            </w:pPr>
            <w:r>
              <w:rPr>
                <w:rFonts w:ascii="Calibri" w:hAnsi="Calibri"/>
                <w:sz w:val="18"/>
              </w:rPr>
              <w:t>Maintain Debt-to-Equity below 0.5x; Target ~0.35x</w:t>
            </w:r>
          </w:p>
        </w:tc>
        <w:tc>
          <w:tcPr>
            <w:tcW w:type="dxa" w:w="2880"/>
          </w:tcPr>
          <w:p>
            <w:pPr>
              <w:spacing w:before="40" w:after="40"/>
            </w:pPr>
            <w:r>
              <w:rPr>
                <w:rFonts w:ascii="Calibri" w:hAnsi="Calibri"/>
                <w:sz w:val="18"/>
              </w:rPr>
              <w:t>Ongoing</w:t>
            </w:r>
          </w:p>
        </w:tc>
      </w:tr>
    </w:tbl>
    <w:p/>
    <w:p>
      <w:pPr>
        <w:pStyle w:val="Heading1"/>
      </w:pPr>
      <w:r>
        <w:rPr>
          <w:rFonts w:ascii="Calibri" w:hAnsi="Calibri"/>
          <w:color w:val="1F5F8B"/>
          <w:sz w:val="32"/>
        </w:rPr>
        <w:t>9. Conclusion &amp; Investment Summary</w:t>
      </w:r>
    </w:p>
    <w:p>
      <w:pPr>
        <w:spacing w:before="0" w:after="120"/>
      </w:pPr>
    </w:p>
    <w:p>
      <w:pPr>
        <w:pStyle w:val="Heading2"/>
      </w:pPr>
      <w:r>
        <w:rPr>
          <w:rFonts w:ascii="Calibri" w:hAnsi="Calibri"/>
          <w:color w:val="1F5F8B"/>
          <w:sz w:val="26"/>
        </w:rPr>
        <w:t>Bull Case</w:t>
      </w:r>
    </w:p>
    <w:p>
      <w:pPr>
        <w:spacing w:after="80"/>
      </w:pPr>
      <w:r>
        <w:rPr>
          <w:rFonts w:ascii="Calibri" w:hAnsi="Calibri"/>
          <w:color w:val="333333"/>
          <w:sz w:val="20"/>
        </w:rPr>
        <w:t>Sanghvi Movers Limited presents a compelling investment case driven by its strong market position in India, strategic international expansion into high-growth markets like Saudi Arabia, and diversification into the burgeoning renewable energy EPC sector. The company's "Elevate 2030" strategy, coupled with a revitalized leadership team and a focus on operational efficiency and financial discipline, positions it for significant growth. The robust order book, healthy inquiry pipeline, and substantial government spending on infrastructure in India provide strong revenue visibility. The higher yields and large project pipeline in Saudi Arabia offer a significant upside potential. With a disciplined approach to capital allocation and a commitment to deleveraging, SML is well-poised to capitalize on these growth catalysts, leading to sustained revenue growth, margin expansion, and attractive returns for shareholders. The company's ability to leverage its legacy expertise while embracing new growth avenues makes it a strong contender in the infrastructure services sector.</w:t>
      </w:r>
    </w:p>
    <w:p>
      <w:pPr>
        <w:pStyle w:val="Heading2"/>
      </w:pPr>
      <w:r>
        <w:rPr>
          <w:rFonts w:ascii="Calibri" w:hAnsi="Calibri"/>
          <w:color w:val="1F5F8B"/>
          <w:sz w:val="26"/>
        </w:rPr>
        <w:t>Bear Case</w:t>
      </w:r>
    </w:p>
    <w:p>
      <w:pPr>
        <w:spacing w:after="80"/>
      </w:pPr>
      <w:r>
        <w:rPr>
          <w:rFonts w:ascii="Calibri" w:hAnsi="Calibri"/>
          <w:color w:val="333333"/>
          <w:sz w:val="20"/>
        </w:rPr>
        <w:t>Despite the positive outlook, potential risks could impact Sanghvi Movers Limited's performance. Execution risk in international markets, particularly in Saudi Arabia, remains a key concern, given the complexities of regulatory environments and operational adaptations. The capital-intensive nature of the crane rental business necessitates continuous capex, which, if not optimally deployed, could strain the balance sheet. While margins are expected to improve, intense competition in certain segments could exert downward pressure on pricing and profitability. Furthermore, the company's performance is closely linked to government spending on infrastructure and the cyclical nature of industrial projects, making it susceptible to macroeconomic slowdowns or policy shifts. Any significant delays in project execution or a slowdown in order book conversion could impact near-term financial performance. Additionally, the company's reliance on debt for funding its capex plans requires careful monitoring of its leverage ratios and interest coverage.</w:t>
      </w:r>
    </w:p>
    <w:p>
      <w:pPr>
        <w:pStyle w:val="Heading2"/>
      </w:pPr>
      <w:r>
        <w:rPr>
          <w:rFonts w:ascii="Calibri" w:hAnsi="Calibri"/>
          <w:color w:val="1F5F8B"/>
          <w:sz w:val="26"/>
        </w:rPr>
        <w:t>Key Monitorables</w:t>
      </w:r>
    </w:p>
    <w:p>
      <w:pPr>
        <w:pStyle w:val="ListNumber"/>
        <w:spacing w:after="80"/>
      </w:pPr>
      <w:r>
        <w:rPr>
          <w:rFonts w:ascii="Calibri" w:hAnsi="Calibri"/>
          <w:b/>
          <w:color w:val="333333"/>
          <w:sz w:val="20"/>
        </w:rPr>
        <w:t>Saudi Arabia Operations Performance:</w:t>
      </w:r>
      <w:r>
        <w:rPr>
          <w:rFonts w:ascii="Calibri" w:hAnsi="Calibri"/>
          <w:color w:val="333333"/>
          <w:sz w:val="20"/>
        </w:rPr>
        <w:t xml:space="preserve"> Track revenue growth, utilization rates, and profitability of SMME to assess the success of international expansion.</w:t>
      </w:r>
    </w:p>
    <w:p>
      <w:pPr>
        <w:pStyle w:val="ListNumber"/>
        <w:spacing w:after="80"/>
      </w:pPr>
      <w:r>
        <w:rPr>
          <w:rFonts w:ascii="Calibri" w:hAnsi="Calibri"/>
          <w:b/>
          <w:color w:val="333333"/>
          <w:sz w:val="20"/>
        </w:rPr>
        <w:t>Order Book Growth and Execution:</w:t>
      </w:r>
      <w:r>
        <w:rPr>
          <w:rFonts w:ascii="Calibri" w:hAnsi="Calibri"/>
          <w:color w:val="333333"/>
          <w:sz w:val="20"/>
        </w:rPr>
        <w:t xml:space="preserve"> Monitor the growth and conversion of the order book across all segments, particularly for new international contracts and renewable EPC projects.</w:t>
      </w:r>
    </w:p>
    <w:p>
      <w:pPr>
        <w:pStyle w:val="ListNumber"/>
        <w:spacing w:after="80"/>
      </w:pPr>
      <w:r>
        <w:rPr>
          <w:rFonts w:ascii="Calibri" w:hAnsi="Calibri"/>
          <w:b/>
          <w:color w:val="333333"/>
          <w:sz w:val="20"/>
        </w:rPr>
        <w:t>Crane Rental Utilization and Yields:</w:t>
      </w:r>
      <w:r>
        <w:rPr>
          <w:rFonts w:ascii="Calibri" w:hAnsi="Calibri"/>
          <w:color w:val="333333"/>
          <w:sz w:val="20"/>
        </w:rPr>
        <w:t xml:space="preserve"> Keep a close watch on capacity utilization and average yields, especially in India, to gauge market demand and pricing power.</w:t>
      </w:r>
    </w:p>
    <w:p>
      <w:pPr>
        <w:pStyle w:val="ListNumber"/>
        <w:spacing w:after="80"/>
      </w:pPr>
      <w:r>
        <w:rPr>
          <w:rFonts w:ascii="Calibri" w:hAnsi="Calibri"/>
          <w:b/>
          <w:color w:val="333333"/>
          <w:sz w:val="20"/>
        </w:rPr>
        <w:t>Renewable EPC Segment Performance:</w:t>
      </w:r>
      <w:r>
        <w:rPr>
          <w:rFonts w:ascii="Calibri" w:hAnsi="Calibri"/>
          <w:color w:val="333333"/>
          <w:sz w:val="20"/>
        </w:rPr>
        <w:t xml:space="preserve"> Track the revenue contribution and margin profile of SFRPL, assessing its ability to scale and achieve targeted profitability.</w:t>
      </w:r>
    </w:p>
    <w:p>
      <w:pPr>
        <w:pStyle w:val="ListNumber"/>
        <w:spacing w:after="80"/>
      </w:pPr>
      <w:r>
        <w:rPr>
          <w:rFonts w:ascii="Calibri" w:hAnsi="Calibri"/>
          <w:b/>
          <w:color w:val="333333"/>
          <w:sz w:val="20"/>
        </w:rPr>
        <w:t>Debt Management and Leverage Ratios:</w:t>
      </w:r>
      <w:r>
        <w:rPr>
          <w:rFonts w:ascii="Calibri" w:hAnsi="Calibri"/>
          <w:color w:val="333333"/>
          <w:sz w:val="20"/>
        </w:rPr>
        <w:t xml:space="preserve"> Monitor the Debt-to-Equity ratio and interest coverage to ensure financial stability amidst ongoing capex.</w:t>
      </w:r>
    </w:p>
    <w:p>
      <w:pPr>
        <w:pStyle w:val="ListNumber"/>
        <w:spacing w:after="80"/>
      </w:pPr>
      <w:r>
        <w:rPr>
          <w:rFonts w:ascii="Calibri" w:hAnsi="Calibri"/>
          <w:b/>
          <w:color w:val="333333"/>
          <w:sz w:val="20"/>
        </w:rPr>
        <w:t>Working Capital Management:</w:t>
      </w:r>
      <w:r>
        <w:rPr>
          <w:rFonts w:ascii="Calibri" w:hAnsi="Calibri"/>
          <w:color w:val="333333"/>
          <w:sz w:val="20"/>
        </w:rPr>
        <w:t xml:space="preserve"> Track Days Sales Outstanding (DSO) and inventory turnover to assess efficiency in managing working capital.</w:t>
      </w:r>
    </w:p>
    <w:p>
      <w:pPr>
        <w:pStyle w:val="ListNumber"/>
        <w:spacing w:after="80"/>
      </w:pPr>
      <w:r>
        <w:rPr>
          <w:rFonts w:ascii="Calibri" w:hAnsi="Calibri"/>
          <w:b/>
          <w:color w:val="333333"/>
          <w:sz w:val="20"/>
        </w:rPr>
        <w:t>Capex Deployment and Returns:</w:t>
      </w:r>
      <w:r>
        <w:rPr>
          <w:rFonts w:ascii="Calibri" w:hAnsi="Calibri"/>
          <w:color w:val="333333"/>
          <w:sz w:val="20"/>
        </w:rPr>
        <w:t xml:space="preserve"> Monitor the deployment of planned capex and the returns generated on new asset additions.</w:t>
      </w:r>
    </w:p>
    <w:p>
      <w:pPr>
        <w:pStyle w:val="ListNumber"/>
        <w:spacing w:after="80"/>
      </w:pPr>
      <w:r>
        <w:rPr>
          <w:rFonts w:ascii="Calibri" w:hAnsi="Calibri"/>
          <w:b/>
          <w:color w:val="333333"/>
          <w:sz w:val="20"/>
        </w:rPr>
        <w:t>Competitive Landscape:</w:t>
      </w:r>
      <w:r>
        <w:rPr>
          <w:rFonts w:ascii="Calibri" w:hAnsi="Calibri"/>
          <w:color w:val="333333"/>
          <w:sz w:val="20"/>
        </w:rPr>
        <w:t xml:space="preserve"> Assess any changes in competitive intensity and pricing dynamics in key markets.</w:t>
      </w:r>
    </w:p>
    <w:p>
      <w:pPr>
        <w:pStyle w:val="ListNumber"/>
        <w:spacing w:after="80"/>
      </w:pPr>
      <w:r>
        <w:rPr>
          <w:rFonts w:ascii="Calibri" w:hAnsi="Calibri"/>
          <w:b/>
          <w:color w:val="333333"/>
          <w:sz w:val="20"/>
        </w:rPr>
        <w:t>Management Guidance Adherence:</w:t>
      </w:r>
      <w:r>
        <w:rPr>
          <w:rFonts w:ascii="Calibri" w:hAnsi="Calibri"/>
          <w:color w:val="333333"/>
          <w:sz w:val="20"/>
        </w:rPr>
        <w:t xml:space="preserve"> Track the company's performance against its stated revenue, EBITDA, and margin targets.</w:t>
      </w:r>
    </w:p>
    <w:p>
      <w:pPr>
        <w:pStyle w:val="ListNumber"/>
        <w:spacing w:after="80"/>
      </w:pPr>
      <w:r>
        <w:rPr>
          <w:rFonts w:ascii="Calibri" w:hAnsi="Calibri"/>
          <w:b/>
          <w:color w:val="333333"/>
          <w:sz w:val="20"/>
        </w:rPr>
        <w:t>Regulatory Environment:</w:t>
      </w:r>
      <w:r>
        <w:rPr>
          <w:rFonts w:ascii="Calibri" w:hAnsi="Calibri"/>
          <w:color w:val="333333"/>
          <w:sz w:val="20"/>
        </w:rPr>
        <w:t xml:space="preserve"> Stay updated on any changes in regulations impacting the crane rental, infrastructure, or renewable energy sectors.</w:t>
      </w:r>
    </w:p>
    <w:p>
      <w:pPr>
        <w:spacing w:after="80"/>
      </w:pPr>
      <w:r>
        <w:rPr>
          <w:rFonts w:ascii="Calibri" w:hAnsi="Calibri"/>
          <w:b/>
          <w:color w:val="333333"/>
          <w:sz w:val="20"/>
        </w:rPr>
        <w:t>Disclaimer:</w:t>
      </w:r>
      <w:r>
        <w:rPr>
          <w:rFonts w:ascii="Calibri" w:hAnsi="Calibri"/>
          <w:color w:val="333333"/>
          <w:sz w:val="20"/>
        </w:rPr>
        <w:t xml:space="preserve"> This analysis is for informational purposes only and does not constitute investment advice. Please consult a registered financial advisor before making investment decisions.</w:t>
      </w:r>
    </w:p>
    <w:sectPr w:rsidR="00FC693F" w:rsidRPr="0006063C" w:rsidSect="00034616">
      <w:headerReference w:type="default" r:id="rId9"/>
      <w:footerReference w:type="default" r:id="rId10"/>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4"/>
      </w:rPr>
      <w:t>Disclaimer: For informational purposes only. Not investment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66666"/>
        <w:sz w:val="16"/>
      </w:rPr>
      <w:t>Sanghvi Movers Ltd | Comprehensive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5F8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5F8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F5F8B"/>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5F8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