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1F5F8B"/>
          <w:sz w:val="64"/>
        </w:rPr>
        <w:t>TGV SRAAC LTD</w:t>
      </w:r>
    </w:p>
    <w:p>
      <w:pPr>
        <w:jc w:val="center"/>
      </w:pPr>
      <w:r>
        <w:rPr>
          <w:color w:val="1F5F8B"/>
          <w:sz w:val="16"/>
        </w:rPr>
        <w:t>____________________________________________________________</w:t>
      </w:r>
    </w:p>
    <w:p>
      <w:pPr>
        <w:spacing w:before="480"/>
        <w:jc w:val="center"/>
      </w:pPr>
      <w:r>
        <w:rPr>
          <w:rFonts w:ascii="Calibri" w:hAnsi="Calibri"/>
          <w:color w:val="1F5F8B"/>
          <w:sz w:val="44"/>
        </w:rPr>
        <w:t>Comprehensive Company Analysis</w:t>
      </w:r>
    </w:p>
    <w:p>
      <w:pPr>
        <w:spacing w:before="160"/>
        <w:jc w:val="center"/>
      </w:pPr>
      <w:r>
        <w:rPr>
          <w:rFonts w:ascii="Calibri" w:hAnsi="Calibri"/>
          <w:color w:val="666666"/>
          <w:sz w:val="28"/>
        </w:rPr>
        <w:t>Investment Research Note</w:t>
      </w:r>
    </w:p>
    <w:p>
      <w:pPr>
        <w:spacing w:before="960"/>
        <w:jc w:val="center"/>
      </w:pPr>
      <w:r>
        <w:rPr>
          <w:rFonts w:ascii="Calibri" w:hAnsi="Calibri"/>
          <w:color w:val="666666"/>
          <w:sz w:val="24"/>
        </w:rPr>
        <w:t>Date: April 20, 2026</w:t>
      </w:r>
    </w:p>
    <w:p>
      <w:r>
        <w:br w:type="page"/>
      </w:r>
    </w:p>
    <w:p>
      <w:pPr>
        <w:pStyle w:val="Heading1"/>
      </w:pPr>
      <w:r>
        <w:rPr>
          <w:rFonts w:ascii="Calibri" w:hAnsi="Calibri"/>
          <w:color w:val="1F5F8B"/>
          <w:sz w:val="32"/>
        </w:rPr>
        <w:t>1. Executive Summary</w:t>
      </w:r>
    </w:p>
    <w:p>
      <w:pPr>
        <w:spacing w:before="0" w:after="120"/>
      </w:pPr>
    </w:p>
    <w:p>
      <w:pPr>
        <w:spacing w:after="80"/>
      </w:pPr>
      <w:r>
        <w:rPr>
          <w:rFonts w:ascii="Calibri" w:hAnsi="Calibri"/>
          <w:color w:val="333333"/>
          <w:sz w:val="20"/>
        </w:rPr>
        <w:t>TGV Sraac Ltd. is a diversified chemical manufacturer with a significant presence in the Chlor-Alkali, Chloromethanes, and Castor Oil derivatives sectors. The company has undergone a period of operational recalibration, particularly evident in its FY24 performance which saw a dip in revenues and profits due to challenging market conditions, geopolitical tensions, and supply chain disruptions impacting demand for key products like Chlorine. However, recent financial results for FY25 (nine months ended December 31, 2025) indicate a strong recovery, with revenue from operations showing a notable increase compared to the previous year, driven by improved performance in the Chemicals segment.</w:t>
      </w:r>
    </w:p>
    <w:p>
      <w:pPr>
        <w:spacing w:after="80"/>
      </w:pPr>
      <w:r>
        <w:rPr>
          <w:rFonts w:ascii="Calibri" w:hAnsi="Calibri"/>
          <w:color w:val="333333"/>
          <w:sz w:val="20"/>
        </w:rPr>
        <w:t>A key transformative event for TGV Sraac has been its strategic focus on expanding its Solar Power capacity, with ongoing plans to increase it to 100 MW in stages. This initiative aligns with the company's commitment to sustainability and cost control, particularly given the power-intensive nature of its core operations. The company has also been actively managing its balance sheet, with recent disclosures indicating the release of pledges on promoter shares, signaling improved financial flexibility and confidence.</w:t>
      </w:r>
    </w:p>
    <w:p>
      <w:pPr>
        <w:spacing w:after="80"/>
      </w:pPr>
      <w:r>
        <w:rPr>
          <w:rFonts w:ascii="Calibri" w:hAnsi="Calibri"/>
          <w:color w:val="333333"/>
          <w:sz w:val="20"/>
        </w:rPr>
        <w:t>Post-transformation, TGV Sraac is operating on a significantly improved revenue base, as evidenced by the nine-month FY25 figures. The company's debt status appears manageable, with efforts to optimize its capital structure. Management's guidance points towards continued growth, supported by capacity expansions in key segments like Caustic Soda and Chloromethanes, and a strategic focus on cost efficiencies and value-added products. The company's competitive advantages lie in its established manufacturing scale, diversified product portfolio, and increasing focus on renewable energy integration.</w:t>
      </w:r>
    </w:p>
    <w:p>
      <w:pPr>
        <w:spacing w:after="80"/>
      </w:pPr>
      <w:r>
        <w:rPr>
          <w:rFonts w:ascii="Calibri" w:hAnsi="Calibri"/>
          <w:color w:val="333333"/>
          <w:sz w:val="20"/>
        </w:rPr>
        <w:t>Key growth catalysts ahead include the successful commissioning and ramp-up of the Caustic Soda expansion project (450 MT Caustic Soda and 400 MT Chlorine), the continued expansion of solar power capacity, and the potential benefits from improved market conditions and product demand in its core chemical segments. The company's ability to leverage its integrated manufacturing capabilities and capitalize on domestic demand growth in key end-user industries will be crucial for its future performance.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1F5F8B"/>
          </w:tcPr>
          <w:p>
            <w:pPr>
              <w:spacing w:before="40" w:after="40"/>
            </w:pPr>
            <w:r>
              <w:rPr>
                <w:rFonts w:ascii="Calibri" w:hAnsi="Calibri"/>
                <w:b/>
                <w:color w:val="FFFFFF"/>
                <w:sz w:val="18"/>
              </w:rPr>
              <w:t>Metric</w:t>
            </w:r>
          </w:p>
        </w:tc>
        <w:tc>
          <w:tcPr>
            <w:tcW w:type="dxa" w:w="4320"/>
            <w:shd w:fill="1F5F8B"/>
          </w:tcPr>
          <w:p>
            <w:pPr>
              <w:spacing w:before="40" w:after="40"/>
            </w:pPr>
            <w:r>
              <w:rPr>
                <w:rFonts w:ascii="Calibri" w:hAnsi="Calibri"/>
                <w:b/>
                <w:color w:val="FFFFFF"/>
                <w:sz w:val="18"/>
              </w:rPr>
              <w:t>Value</w:t>
            </w:r>
          </w:p>
        </w:tc>
      </w:tr>
      <w:tr>
        <w:tc>
          <w:tcPr>
            <w:tcW w:type="dxa" w:w="4320"/>
          </w:tcPr>
          <w:p>
            <w:pPr>
              <w:spacing w:before="40" w:after="40"/>
            </w:pPr>
            <w:r>
              <w:rPr>
                <w:rFonts w:ascii="Calibri" w:hAnsi="Calibri"/>
                <w:b/>
                <w:sz w:val="18"/>
              </w:rPr>
              <w:t>CMP</w:t>
            </w:r>
          </w:p>
        </w:tc>
        <w:tc>
          <w:tcPr>
            <w:tcW w:type="dxa" w:w="4320"/>
          </w:tcPr>
          <w:p>
            <w:pPr>
              <w:spacing w:before="40" w:after="40"/>
            </w:pPr>
            <w:r>
              <w:rPr>
                <w:rFonts w:ascii="Calibri" w:hAnsi="Calibri"/>
                <w:sz w:val="18"/>
              </w:rPr>
              <w:t>₹105.01</w:t>
            </w:r>
          </w:p>
        </w:tc>
      </w:tr>
      <w:tr>
        <w:tc>
          <w:tcPr>
            <w:tcW w:type="dxa" w:w="4320"/>
            <w:shd w:fill="E8F0FE"/>
          </w:tcPr>
          <w:p>
            <w:pPr>
              <w:spacing w:before="40" w:after="40"/>
            </w:pPr>
            <w:r>
              <w:rPr>
                <w:rFonts w:ascii="Calibri" w:hAnsi="Calibri"/>
                <w:b/>
                <w:sz w:val="18"/>
              </w:rPr>
              <w:t>Market Cap</w:t>
            </w:r>
          </w:p>
        </w:tc>
        <w:tc>
          <w:tcPr>
            <w:tcW w:type="dxa" w:w="4320"/>
            <w:shd w:fill="E8F0FE"/>
          </w:tcPr>
          <w:p>
            <w:pPr>
              <w:spacing w:before="40" w:after="40"/>
            </w:pPr>
            <w:r>
              <w:rPr>
                <w:rFonts w:ascii="Calibri" w:hAnsi="Calibri"/>
                <w:sz w:val="18"/>
              </w:rPr>
              <w:t>₹1,128.00 Cr</w:t>
            </w:r>
          </w:p>
        </w:tc>
      </w:tr>
      <w:tr>
        <w:tc>
          <w:tcPr>
            <w:tcW w:type="dxa" w:w="4320"/>
          </w:tcPr>
          <w:p>
            <w:pPr>
              <w:spacing w:before="40" w:after="40"/>
            </w:pPr>
            <w:r>
              <w:rPr>
                <w:rFonts w:ascii="Calibri" w:hAnsi="Calibri"/>
                <w:b/>
                <w:sz w:val="18"/>
              </w:rPr>
              <w:t>P/E (TTM)</w:t>
            </w:r>
          </w:p>
        </w:tc>
        <w:tc>
          <w:tcPr>
            <w:tcW w:type="dxa" w:w="4320"/>
          </w:tcPr>
          <w:p>
            <w:pPr>
              <w:spacing w:before="40" w:after="40"/>
            </w:pPr>
            <w:r>
              <w:rPr>
                <w:rFonts w:ascii="Calibri" w:hAnsi="Calibri"/>
                <w:sz w:val="18"/>
              </w:rPr>
              <w:t>18.30</w:t>
            </w:r>
          </w:p>
        </w:tc>
      </w:tr>
      <w:tr>
        <w:tc>
          <w:tcPr>
            <w:tcW w:type="dxa" w:w="4320"/>
            <w:shd w:fill="E8F0FE"/>
          </w:tcPr>
          <w:p>
            <w:pPr>
              <w:spacing w:before="40" w:after="40"/>
            </w:pPr>
            <w:r>
              <w:rPr>
                <w:rFonts w:ascii="Calibri" w:hAnsi="Calibri"/>
                <w:b/>
                <w:sz w:val="18"/>
              </w:rPr>
              <w:t>P/B</w:t>
            </w:r>
          </w:p>
        </w:tc>
        <w:tc>
          <w:tcPr>
            <w:tcW w:type="dxa" w:w="4320"/>
            <w:shd w:fill="E8F0FE"/>
          </w:tcPr>
          <w:p>
            <w:pPr>
              <w:spacing w:before="40" w:after="40"/>
            </w:pPr>
            <w:r>
              <w:rPr>
                <w:rFonts w:ascii="Calibri" w:hAnsi="Calibri"/>
                <w:sz w:val="18"/>
              </w:rPr>
              <w:t>1.14</w:t>
            </w:r>
          </w:p>
        </w:tc>
      </w:tr>
      <w:tr>
        <w:tc>
          <w:tcPr>
            <w:tcW w:type="dxa" w:w="4320"/>
          </w:tcPr>
          <w:p>
            <w:pPr>
              <w:spacing w:before="40" w:after="40"/>
            </w:pPr>
            <w:r>
              <w:rPr>
                <w:rFonts w:ascii="Calibri" w:hAnsi="Calibri"/>
                <w:b/>
                <w:sz w:val="18"/>
              </w:rPr>
              <w:t>P/S (TTM)</w:t>
            </w:r>
          </w:p>
        </w:tc>
        <w:tc>
          <w:tcPr>
            <w:tcW w:type="dxa" w:w="4320"/>
          </w:tcPr>
          <w:p>
            <w:pPr>
              <w:spacing w:before="40" w:after="40"/>
            </w:pPr>
            <w:r>
              <w:rPr>
                <w:rFonts w:ascii="Calibri" w:hAnsi="Calibri"/>
                <w:sz w:val="18"/>
              </w:rPr>
              <w:t>0.56</w:t>
            </w:r>
          </w:p>
        </w:tc>
      </w:tr>
      <w:tr>
        <w:tc>
          <w:tcPr>
            <w:tcW w:type="dxa" w:w="4320"/>
            <w:shd w:fill="E8F0FE"/>
          </w:tcPr>
          <w:p>
            <w:pPr>
              <w:spacing w:before="40" w:after="40"/>
            </w:pPr>
            <w:r>
              <w:rPr>
                <w:rFonts w:ascii="Calibri" w:hAnsi="Calibri"/>
                <w:b/>
                <w:sz w:val="18"/>
              </w:rPr>
              <w:t>52-Week High/Low</w:t>
            </w:r>
          </w:p>
        </w:tc>
        <w:tc>
          <w:tcPr>
            <w:tcW w:type="dxa" w:w="4320"/>
            <w:shd w:fill="E8F0FE"/>
          </w:tcPr>
          <w:p>
            <w:pPr>
              <w:spacing w:before="40" w:after="40"/>
            </w:pPr>
            <w:r>
              <w:rPr>
                <w:rFonts w:ascii="Calibri" w:hAnsi="Calibri"/>
                <w:sz w:val="18"/>
              </w:rPr>
              <w:t>₹120.90 / ₹74.19</w:t>
            </w:r>
          </w:p>
        </w:tc>
      </w:tr>
      <w:tr>
        <w:tc>
          <w:tcPr>
            <w:tcW w:type="dxa" w:w="4320"/>
          </w:tcPr>
          <w:p>
            <w:pPr>
              <w:spacing w:before="40" w:after="40"/>
            </w:pPr>
            <w:r>
              <w:rPr>
                <w:rFonts w:ascii="Calibri" w:hAnsi="Calibri"/>
                <w:b/>
                <w:sz w:val="18"/>
              </w:rPr>
              <w:t>Debt-Equity Ratio</w:t>
            </w:r>
          </w:p>
        </w:tc>
        <w:tc>
          <w:tcPr>
            <w:tcW w:type="dxa" w:w="4320"/>
          </w:tcPr>
          <w:p>
            <w:pPr>
              <w:spacing w:before="40" w:after="40"/>
            </w:pPr>
            <w:r>
              <w:rPr>
                <w:rFonts w:ascii="Calibri" w:hAnsi="Calibri"/>
                <w:sz w:val="18"/>
              </w:rPr>
              <w:t>0.28</w:t>
            </w:r>
          </w:p>
        </w:tc>
      </w:tr>
      <w:tr>
        <w:tc>
          <w:tcPr>
            <w:tcW w:type="dxa" w:w="4320"/>
            <w:shd w:fill="E8F0FE"/>
          </w:tcPr>
          <w:p>
            <w:pPr>
              <w:spacing w:before="40" w:after="40"/>
            </w:pPr>
            <w:r>
              <w:rPr>
                <w:rFonts w:ascii="Calibri" w:hAnsi="Calibri"/>
                <w:b/>
                <w:sz w:val="18"/>
              </w:rPr>
              <w:t>ROE</w:t>
            </w:r>
          </w:p>
        </w:tc>
        <w:tc>
          <w:tcPr>
            <w:tcW w:type="dxa" w:w="4320"/>
            <w:shd w:fill="E8F0FE"/>
          </w:tcPr>
          <w:p>
            <w:pPr>
              <w:spacing w:before="40" w:after="40"/>
            </w:pPr>
            <w:r>
              <w:rPr>
                <w:rFonts w:ascii="Calibri" w:hAnsi="Calibri"/>
                <w:sz w:val="18"/>
              </w:rPr>
              <w:t>8.10%</w:t>
            </w:r>
          </w:p>
        </w:tc>
      </w:tr>
      <w:tr>
        <w:tc>
          <w:tcPr>
            <w:tcW w:type="dxa" w:w="4320"/>
          </w:tcPr>
          <w:p>
            <w:pPr>
              <w:spacing w:before="40" w:after="40"/>
            </w:pPr>
            <w:r>
              <w:rPr>
                <w:rFonts w:ascii="Calibri" w:hAnsi="Calibri"/>
                <w:b/>
                <w:sz w:val="18"/>
              </w:rPr>
              <w:t>ROCE</w:t>
            </w:r>
          </w:p>
        </w:tc>
        <w:tc>
          <w:tcPr>
            <w:tcW w:type="dxa" w:w="4320"/>
          </w:tcPr>
          <w:p>
            <w:pPr>
              <w:spacing w:before="40" w:after="40"/>
            </w:pPr>
            <w:r>
              <w:rPr>
                <w:rFonts w:ascii="Calibri" w:hAnsi="Calibri"/>
                <w:sz w:val="18"/>
              </w:rPr>
              <w:t>9.42%</w:t>
            </w:r>
          </w:p>
        </w:tc>
      </w:tr>
      <w:tr>
        <w:tc>
          <w:tcPr>
            <w:tcW w:type="dxa" w:w="4320"/>
            <w:shd w:fill="E8F0FE"/>
          </w:tcPr>
          <w:p>
            <w:pPr>
              <w:spacing w:before="40" w:after="40"/>
            </w:pPr>
            <w:r>
              <w:rPr>
                <w:rFonts w:ascii="Calibri" w:hAnsi="Calibri"/>
                <w:b/>
                <w:sz w:val="18"/>
              </w:rPr>
              <w:t>Promoter Holding</w:t>
            </w:r>
          </w:p>
        </w:tc>
        <w:tc>
          <w:tcPr>
            <w:tcW w:type="dxa" w:w="4320"/>
            <w:shd w:fill="E8F0FE"/>
          </w:tcPr>
          <w:p>
            <w:pPr>
              <w:spacing w:before="40" w:after="40"/>
            </w:pPr>
            <w:r>
              <w:rPr>
                <w:rFonts w:ascii="Calibri" w:hAnsi="Calibri"/>
                <w:sz w:val="18"/>
              </w:rPr>
              <w:t>63.81%</w:t>
            </w:r>
          </w:p>
        </w:tc>
      </w:tr>
      <w:tr>
        <w:tc>
          <w:tcPr>
            <w:tcW w:type="dxa" w:w="4320"/>
          </w:tcPr>
          <w:p>
            <w:pPr>
              <w:spacing w:before="40" w:after="40"/>
            </w:pPr>
            <w:r>
              <w:rPr>
                <w:rFonts w:ascii="Calibri" w:hAnsi="Calibri"/>
                <w:b/>
                <w:sz w:val="18"/>
              </w:rPr>
              <w:t>Dividend Yield</w:t>
            </w:r>
          </w:p>
        </w:tc>
        <w:tc>
          <w:tcPr>
            <w:tcW w:type="dxa" w:w="4320"/>
          </w:tcPr>
          <w:p>
            <w:pPr>
              <w:spacing w:before="40" w:after="40"/>
            </w:pPr>
            <w:r>
              <w:rPr>
                <w:rFonts w:ascii="Calibri" w:hAnsi="Calibri"/>
                <w:sz w:val="18"/>
              </w:rPr>
              <w:t>0.00%</w:t>
            </w:r>
          </w:p>
        </w:tc>
      </w:tr>
    </w:tbl>
    <w:p/>
    <w:p>
      <w:pPr>
        <w:pStyle w:val="Heading1"/>
      </w:pPr>
      <w:r>
        <w:rPr>
          <w:rFonts w:ascii="Calibri" w:hAnsi="Calibri"/>
          <w:color w:val="1F5F8B"/>
          <w:sz w:val="32"/>
        </w:rPr>
        <w:t>1A. Company Brief</w:t>
      </w:r>
    </w:p>
    <w:p>
      <w:pPr>
        <w:spacing w:before="0" w:after="120"/>
      </w:pPr>
    </w:p>
    <w:p>
      <w:pPr>
        <w:spacing w:after="80"/>
      </w:pPr>
      <w:r>
        <w:rPr>
          <w:rFonts w:ascii="Calibri" w:hAnsi="Calibri"/>
          <w:color w:val="333333"/>
          <w:sz w:val="20"/>
        </w:rPr>
        <w:t>TGV Sraac Limited, formerly known as Sree Rayalaseema Alkalies and Allied Chemicals Limited, is a prominent Indian manufacturer operating primarily in the chemicals sector. The company is the flagship entity of the TGV Group and is a leading producer of Chlor-Alkali products, Chloromethanes, and also manufactures Castor Oil derivatives and Fatty Acids. Its core manufacturing activities are centered around the production of Caustic Soda, Caustic Potash, Chlorine, and Chloromethanes. As a joint product of Caustic Soda manufacturing, Chlorine is further utilized internally for the production of Chloromethanes, thereby adding value and mitigating market price volatility. The company also produces Hydrochloric Acid and Sodium Hypo. In the Oils and Fats segment, TGV Sraac manufactures Hydrogenated Castor Oil, 12-Hydroxy Stearic Acid, Soap Noodles, and Glycerine.</w:t>
      </w:r>
    </w:p>
    <w:p>
      <w:pPr>
        <w:spacing w:after="80"/>
      </w:pPr>
      <w:r>
        <w:rPr>
          <w:rFonts w:ascii="Calibri" w:hAnsi="Calibri"/>
          <w:color w:val="333333"/>
          <w:sz w:val="20"/>
        </w:rPr>
        <w:t>The company's primary raw materials for its chemical segment include salt and electricity, with Potassium Chloride being an imported raw material for Caustic Potash production. For its Chloromethanes production, chlorine is an internally sourced raw material. The company's products serve as essential industrial inputs for a wide array of end-user industries, including Aluminum, Pulp and Paper, Textiles, Pharmaceuticals, Soaps and Detergents, Fertilizers, Batteries, Dyes, and the manufacturing of plastics and refrigerants.</w:t>
      </w:r>
    </w:p>
    <w:p>
      <w:pPr>
        <w:spacing w:after="80"/>
      </w:pPr>
      <w:r>
        <w:rPr>
          <w:rFonts w:ascii="Calibri" w:hAnsi="Calibri"/>
          <w:color w:val="333333"/>
          <w:sz w:val="20"/>
        </w:rPr>
        <w:t>TGV Sraac operates manufacturing facilities at Gondiparla, Kurnool (Andhra Pradesh), and also has a Wind Farm at Ramagiri (Andhra Pradesh) and a Bellary Power Plant in Karnataka, though the latter's operations are currently closed due to the expiry of its Power Purchase Agreement. The company's corporate office is located in Kurnool, Andhra Pradesh. While the majority of its revenue is derived from the domestic market, the company also engages in exports, with its products reaching approximately 15 countries. The company's business model is primarily B2B, selling its products directly to industrial customers and through traders.</w:t>
      </w:r>
    </w:p>
    <w:p>
      <w:pPr>
        <w:pStyle w:val="Heading1"/>
      </w:pPr>
      <w:r>
        <w:rPr>
          <w:rFonts w:ascii="Calibri" w:hAnsi="Calibri"/>
          <w:color w:val="1F5F8B"/>
          <w:sz w:val="32"/>
        </w:rPr>
        <w:t>1B. News &amp; Industry Overview</w:t>
      </w:r>
    </w:p>
    <w:p>
      <w:pPr>
        <w:spacing w:before="0" w:after="120"/>
      </w:pPr>
    </w:p>
    <w:p>
      <w:pPr>
        <w:spacing w:after="80"/>
      </w:pPr>
      <w:r>
        <w:rPr>
          <w:rFonts w:ascii="Calibri" w:hAnsi="Calibri"/>
          <w:color w:val="333333"/>
          <w:sz w:val="20"/>
        </w:rPr>
        <w:t>In recent times, TGV Sraac has been navigating a dynamic industrial landscape. The company's FY24 annual report highlighted a challenging operating environment marked by geopolitical tensions, global supply chain disruptions, and economic slowdowns in key markets like Europe and China, which impacted demand and pricing for its products, particularly Chlorine. This led to a decline in turnover and profitability compared to the previous year. However, the company has been proactive in its response, focusing on cost optimization measures and strategic capacity enhancements.</w:t>
      </w:r>
    </w:p>
    <w:p>
      <w:pPr>
        <w:spacing w:after="80"/>
      </w:pPr>
      <w:r>
        <w:rPr>
          <w:rFonts w:ascii="Calibri" w:hAnsi="Calibri"/>
          <w:color w:val="333333"/>
          <w:sz w:val="20"/>
        </w:rPr>
        <w:t>The Indian chemical industry, a significant contributor to the nation's economy, is projected to reach USD 300 billion by 2030, driven by increasing demand across sectors like agriculture, construction, and pharmaceuticals. Tailwinds for the industry include government initiatives like the Production Linked Incentive (PLI) scheme and a growing focus on specialty chemicals. However, the sector also faces headwinds such as stringent environmental regulations, global price volatility for raw materials and finished goods, and import competition. TGV Sraac, as a major player in the Chlor-Alkali segment, is particularly sensitive to power costs, which constitute a significant portion of its production expenses. The company's strategic investment in solar power generation is a direct response to this challenge, aiming to secure a more stable and cost-effective energy supply.</w:t>
      </w:r>
    </w:p>
    <w:p>
      <w:pPr>
        <w:spacing w:after="80"/>
      </w:pPr>
      <w:r>
        <w:rPr>
          <w:rFonts w:ascii="Calibri" w:hAnsi="Calibri"/>
          <w:color w:val="333333"/>
          <w:sz w:val="20"/>
        </w:rPr>
        <w:t>In terms of competitive landscape, TGV Sraac operates in a sector with established players. Its competitive advantages stem from its integrated manufacturing facilities, which allow for internal consumption of by-products like Chlorine, thereby adding value and mitigating market risks. The company's ongoing expansion of its Caustic Soda capacity and its commitment to renewable energy further strengthen its position. Recent regulatory developments, such as the consolidation of labor laws into four Labour Codes, are being assessed for their financial implications, as noted in the Q3 FY25 results. The company's proactive approach to corporate governance, as evidenced by its adherence to SEBI regulations and its comprehensive reporting, also positions it favorably.</w:t>
      </w:r>
    </w:p>
    <w:p>
      <w:pPr>
        <w:pStyle w:val="Heading1"/>
      </w:pPr>
      <w:r>
        <w:rPr>
          <w:rFonts w:ascii="Calibri" w:hAnsi="Calibri"/>
          <w:color w:val="1F5F8B"/>
          <w:sz w:val="32"/>
        </w:rPr>
        <w:t>2. Key Developments Over Past 1 Year</w:t>
      </w:r>
    </w:p>
    <w:p>
      <w:pPr>
        <w:spacing w:before="0" w:after="120"/>
      </w:pPr>
    </w:p>
    <w:p>
      <w:pPr>
        <w:pStyle w:val="Heading2"/>
      </w:pPr>
      <w:r>
        <w:rPr>
          <w:rFonts w:ascii="Calibri" w:hAnsi="Calibri"/>
          <w:color w:val="1F5F8B"/>
          <w:sz w:val="26"/>
        </w:rPr>
        <w:t>Major Divestitures, Acquisitions, Mergers</w:t>
      </w:r>
    </w:p>
    <w:p>
      <w:pPr>
        <w:pStyle w:val="ListBullet"/>
        <w:spacing w:after="80"/>
      </w:pPr>
      <w:r>
        <w:rPr>
          <w:rFonts w:ascii="Calibri" w:hAnsi="Calibri"/>
          <w:color w:val="333333"/>
          <w:sz w:val="20"/>
        </w:rPr>
        <w:t xml:space="preserve">  </w:t>
      </w:r>
      <w:r>
        <w:rPr>
          <w:rFonts w:ascii="Calibri" w:hAnsi="Calibri"/>
          <w:b/>
          <w:color w:val="333333"/>
          <w:sz w:val="20"/>
        </w:rPr>
        <w:t>Bellary Power Plant Status:</w:t>
      </w:r>
      <w:r>
        <w:rPr>
          <w:rFonts w:ascii="Calibri" w:hAnsi="Calibri"/>
          <w:color w:val="333333"/>
          <w:sz w:val="20"/>
        </w:rPr>
        <w:t xml:space="preserve"> The company's Bellary Power Plant continues to be under closure due to the expiry of its Power Purchase Agreement with KPTCL. TGV Sraac is actively exploring options for the disposal or relocation of this unit, indicating a potential divestiture or strategic restructuring of this non-core asset.</w:t>
      </w:r>
    </w:p>
    <w:p>
      <w:pPr>
        <w:pStyle w:val="Heading2"/>
      </w:pPr>
      <w:r>
        <w:rPr>
          <w:rFonts w:ascii="Calibri" w:hAnsi="Calibri"/>
          <w:color w:val="1F5F8B"/>
          <w:sz w:val="26"/>
        </w:rPr>
        <w:t>New Listings or Exchange Approvals</w:t>
      </w:r>
    </w:p>
    <w:p>
      <w:pPr>
        <w:pStyle w:val="ListBullet"/>
        <w:spacing w:after="80"/>
      </w:pPr>
      <w:r>
        <w:rPr>
          <w:rFonts w:ascii="Calibri" w:hAnsi="Calibri"/>
          <w:color w:val="333333"/>
          <w:sz w:val="20"/>
        </w:rPr>
        <w:t xml:space="preserve">  No new listings or major exchange approvals were noted in the provided documents.</w:t>
      </w:r>
    </w:p>
    <w:p>
      <w:pPr>
        <w:pStyle w:val="Heading2"/>
      </w:pPr>
      <w:r>
        <w:rPr>
          <w:rFonts w:ascii="Calibri" w:hAnsi="Calibri"/>
          <w:color w:val="1F5F8B"/>
          <w:sz w:val="26"/>
        </w:rPr>
        <w:t>Balance Sheet Transformation</w:t>
      </w:r>
    </w:p>
    <w:p>
      <w:pPr>
        <w:pStyle w:val="ListBullet"/>
        <w:spacing w:after="80"/>
      </w:pPr>
      <w:r>
        <w:rPr>
          <w:rFonts w:ascii="Calibri" w:hAnsi="Calibri"/>
          <w:color w:val="333333"/>
          <w:sz w:val="20"/>
        </w:rPr>
        <w:t xml:space="preserve">  </w:t>
      </w:r>
      <w:r>
        <w:rPr>
          <w:rFonts w:ascii="Calibri" w:hAnsi="Calibri"/>
          <w:b/>
          <w:color w:val="333333"/>
          <w:sz w:val="20"/>
        </w:rPr>
        <w:t>Promoter Share Pledge Release:</w:t>
      </w:r>
      <w:r>
        <w:rPr>
          <w:rFonts w:ascii="Calibri" w:hAnsi="Calibri"/>
          <w:color w:val="333333"/>
          <w:sz w:val="20"/>
        </w:rPr>
        <w:t xml:space="preserve"> Significant developments in the past year include the release of pledges on promoter shares, as disclosed in SAST filings dated January 15, 2025, January 21, 2025, and March 29, 2025. This indicates improved financial health and confidence among the promoter group, potentially freeing up collateral and enhancing financial flexibility.</w:t>
      </w:r>
    </w:p>
    <w:p>
      <w:pPr>
        <w:pStyle w:val="ListBullet"/>
        <w:spacing w:after="80"/>
      </w:pPr>
      <w:r>
        <w:rPr>
          <w:rFonts w:ascii="Calibri" w:hAnsi="Calibri"/>
          <w:color w:val="333333"/>
          <w:sz w:val="20"/>
        </w:rPr>
        <w:t xml:space="preserve">  </w:t>
      </w:r>
      <w:r>
        <w:rPr>
          <w:rFonts w:ascii="Calibri" w:hAnsi="Calibri"/>
          <w:b/>
          <w:color w:val="333333"/>
          <w:sz w:val="20"/>
        </w:rPr>
        <w:t>Debt Management:</w:t>
      </w:r>
      <w:r>
        <w:rPr>
          <w:rFonts w:ascii="Calibri" w:hAnsi="Calibri"/>
          <w:color w:val="333333"/>
          <w:sz w:val="20"/>
        </w:rPr>
        <w:t xml:space="preserve"> The company's Debt-to-Equity ratio remains at a healthy 0.28 as of March 31, 2025, indicating a well-managed debt profile. The company has been actively managing its borrowings, with recent sanction letters for Capex LC facilities from The Federal Bank, Indian Bank, and IDBI Bank, alongside working capital facilities from Indian Bank and Punjab National Bank, suggesting ongoing capital expenditure and operational financing activities.</w:t>
      </w:r>
    </w:p>
    <w:p>
      <w:pPr>
        <w:pStyle w:val="Heading2"/>
      </w:pPr>
      <w:r>
        <w:rPr>
          <w:rFonts w:ascii="Calibri" w:hAnsi="Calibri"/>
          <w:color w:val="1F5F8B"/>
          <w:sz w:val="26"/>
        </w:rPr>
        <w:t>Leadership Changes</w:t>
      </w:r>
    </w:p>
    <w:p>
      <w:pPr>
        <w:pStyle w:val="ListBullet"/>
        <w:spacing w:after="80"/>
      </w:pPr>
      <w:r>
        <w:rPr>
          <w:rFonts w:ascii="Calibri" w:hAnsi="Calibri"/>
          <w:color w:val="333333"/>
          <w:sz w:val="20"/>
        </w:rPr>
        <w:t xml:space="preserve">  </w:t>
      </w:r>
      <w:r>
        <w:rPr>
          <w:rFonts w:ascii="Calibri" w:hAnsi="Calibri"/>
          <w:b/>
          <w:color w:val="333333"/>
          <w:sz w:val="20"/>
        </w:rPr>
        <w:t>Resignation of Executive Director (Technical):</w:t>
      </w:r>
      <w:r>
        <w:rPr>
          <w:rFonts w:ascii="Calibri" w:hAnsi="Calibri"/>
          <w:color w:val="333333"/>
          <w:sz w:val="20"/>
        </w:rPr>
        <w:t xml:space="preserve"> Sri Jesvanth Reddy Nalla resigned as Executive Director (Technical) and Director, effective March 31, 2025, as approved by the Board on March 28, 2025. This marks a change in key management personnel.</w:t>
      </w:r>
    </w:p>
    <w:p>
      <w:pPr>
        <w:pStyle w:val="ListBullet"/>
        <w:spacing w:after="80"/>
      </w:pPr>
      <w:r>
        <w:rPr>
          <w:rFonts w:ascii="Calibri" w:hAnsi="Calibri"/>
          <w:color w:val="333333"/>
          <w:sz w:val="20"/>
        </w:rPr>
        <w:t xml:space="preserve">  </w:t>
      </w:r>
      <w:r>
        <w:rPr>
          <w:rFonts w:ascii="Calibri" w:hAnsi="Calibri"/>
          <w:b/>
          <w:color w:val="333333"/>
          <w:sz w:val="20"/>
        </w:rPr>
        <w:t>Board Appointments:</w:t>
      </w:r>
      <w:r>
        <w:rPr>
          <w:rFonts w:ascii="Calibri" w:hAnsi="Calibri"/>
          <w:color w:val="333333"/>
          <w:sz w:val="20"/>
        </w:rPr>
        <w:t xml:space="preserve"> The company has seen several board appointments and re-appointments, including Dr. M. Asha Reddy as Additional Director (Non-Executive Independent Director) from August 8, 2025, Sri P. Raghavendra Reddy as Director (Quality Assurance) from October 1, 2025, and Sri E. Ramaiah re-designated as Director (Mechanical) from June 30, 2025. These appointments reflect a strengthening of the board's expertise and oversight.</w:t>
      </w:r>
    </w:p>
    <w:p>
      <w:pPr>
        <w:pStyle w:val="Heading2"/>
      </w:pPr>
      <w:r>
        <w:rPr>
          <w:rFonts w:ascii="Calibri" w:hAnsi="Calibri"/>
          <w:color w:val="1F5F8B"/>
          <w:sz w:val="26"/>
        </w:rPr>
        <w:t>Preferential Issues, Warrants, Capital Raises</w:t>
      </w:r>
    </w:p>
    <w:p>
      <w:pPr>
        <w:pStyle w:val="ListBullet"/>
        <w:spacing w:after="80"/>
      </w:pPr>
      <w:r>
        <w:rPr>
          <w:rFonts w:ascii="Calibri" w:hAnsi="Calibri"/>
          <w:color w:val="333333"/>
          <w:sz w:val="20"/>
        </w:rPr>
        <w:t xml:space="preserve">  </w:t>
      </w:r>
      <w:r>
        <w:rPr>
          <w:rFonts w:ascii="Calibri" w:hAnsi="Calibri"/>
          <w:b/>
          <w:color w:val="333333"/>
          <w:sz w:val="20"/>
        </w:rPr>
        <w:t>Capex LC Facilities:</w:t>
      </w:r>
      <w:r>
        <w:rPr>
          <w:rFonts w:ascii="Calibri" w:hAnsi="Calibri"/>
          <w:color w:val="333333"/>
          <w:sz w:val="20"/>
        </w:rPr>
        <w:t xml:space="preserve"> The company has secured various Capex LC facilities and working capital facilities from banks like The Federal Bank, Indian Bank, and IDBI Bank, indicating ongoing investment in capital expenditure and operational financing.</w:t>
      </w:r>
    </w:p>
    <w:p>
      <w:pPr>
        <w:pStyle w:val="Heading2"/>
      </w:pPr>
      <w:r>
        <w:rPr>
          <w:rFonts w:ascii="Calibri" w:hAnsi="Calibri"/>
          <w:color w:val="1F5F8B"/>
          <w:sz w:val="26"/>
        </w:rPr>
        <w:t>SAST Disclosures, Promoter Buying/Selling</w:t>
      </w:r>
    </w:p>
    <w:p>
      <w:pPr>
        <w:pStyle w:val="ListBullet"/>
        <w:spacing w:after="80"/>
      </w:pPr>
      <w:r>
        <w:rPr>
          <w:rFonts w:ascii="Calibri" w:hAnsi="Calibri"/>
          <w:color w:val="333333"/>
          <w:sz w:val="20"/>
        </w:rPr>
        <w:t xml:space="preserve">  </w:t>
      </w:r>
      <w:r>
        <w:rPr>
          <w:rFonts w:ascii="Calibri" w:hAnsi="Calibri"/>
          <w:b/>
          <w:color w:val="333333"/>
          <w:sz w:val="20"/>
        </w:rPr>
        <w:t>Release of Pledges:</w:t>
      </w:r>
      <w:r>
        <w:rPr>
          <w:rFonts w:ascii="Calibri" w:hAnsi="Calibri"/>
          <w:color w:val="333333"/>
          <w:sz w:val="20"/>
        </w:rPr>
        <w:t xml:space="preserve"> As mentioned above, the key development in this area is the release of pledges on promoter shares, signaling a positive shift in the promoter group's financial standing and confidence in the company.</w:t>
      </w:r>
    </w:p>
    <w:p>
      <w:pPr>
        <w:pStyle w:val="Heading2"/>
      </w:pPr>
      <w:r>
        <w:rPr>
          <w:rFonts w:ascii="Calibri" w:hAnsi="Calibri"/>
          <w:color w:val="1F5F8B"/>
          <w:sz w:val="26"/>
        </w:rPr>
        <w:t>Regulatory Actions or Penalties</w:t>
      </w:r>
    </w:p>
    <w:p>
      <w:pPr>
        <w:pStyle w:val="ListBullet"/>
        <w:spacing w:after="80"/>
      </w:pPr>
      <w:r>
        <w:rPr>
          <w:rFonts w:ascii="Calibri" w:hAnsi="Calibri"/>
          <w:color w:val="333333"/>
          <w:sz w:val="20"/>
        </w:rPr>
        <w:t xml:space="preserve">  </w:t>
      </w:r>
      <w:r>
        <w:rPr>
          <w:rFonts w:ascii="Calibri" w:hAnsi="Calibri"/>
          <w:b/>
          <w:color w:val="333333"/>
          <w:sz w:val="20"/>
        </w:rPr>
        <w:t>FPPCA Charges:</w:t>
      </w:r>
      <w:r>
        <w:rPr>
          <w:rFonts w:ascii="Calibri" w:hAnsi="Calibri"/>
          <w:color w:val="333333"/>
          <w:sz w:val="20"/>
        </w:rPr>
        <w:t xml:space="preserve"> The company is contesting Fuel Power Purchase/True-up Charges (FPPCA) imposed by the Andhra Pradesh Electricity Regulatory Commission (APERC) for FY22-23 and FY23-24, with appeals filed before the Appellate Tribunal for Electricity. The company has not recognized these charges for the quarter ended December 31, 2024, pending the outcome of the appeals. This represents a potential financial risk or benefit depending on the resolution.</w:t>
      </w:r>
    </w:p>
    <w:p>
      <w:pPr>
        <w:pStyle w:val="ListBullet"/>
        <w:spacing w:after="80"/>
      </w:pPr>
      <w:r>
        <w:rPr>
          <w:rFonts w:ascii="Calibri" w:hAnsi="Calibri"/>
          <w:color w:val="333333"/>
          <w:sz w:val="20"/>
        </w:rPr>
        <w:t xml:space="preserve">  </w:t>
      </w:r>
      <w:r>
        <w:rPr>
          <w:rFonts w:ascii="Calibri" w:hAnsi="Calibri"/>
          <w:b/>
          <w:color w:val="333333"/>
          <w:sz w:val="20"/>
        </w:rPr>
        <w:t>Disputed Statutory Dues:</w:t>
      </w:r>
      <w:r>
        <w:rPr>
          <w:rFonts w:ascii="Calibri" w:hAnsi="Calibri"/>
          <w:color w:val="333333"/>
          <w:sz w:val="20"/>
        </w:rPr>
        <w:t xml:space="preserve"> The company has several disputed statutory dues pending before various authorities, including VAT, Entry Tax, Customs Duty, and PF delay charges, as detailed in Note 35 of the Annual Report. While the company is regular in depositing undisputed statutory dues, these disputed amounts represent contingent liabilities.</w:t>
      </w:r>
    </w:p>
    <w:p>
      <w:pPr>
        <w:pStyle w:val="Heading1"/>
      </w:pPr>
      <w:r>
        <w:rPr>
          <w:rFonts w:ascii="Calibri" w:hAnsi="Calibri"/>
          <w:color w:val="1F5F8B"/>
          <w:sz w:val="32"/>
        </w:rPr>
        <w:t>3. Financial Analysis</w:t>
      </w:r>
    </w:p>
    <w:p>
      <w:pPr>
        <w:spacing w:before="0" w:after="120"/>
      </w:pPr>
    </w:p>
    <w:p>
      <w:pPr>
        <w:spacing w:after="80"/>
      </w:pPr>
      <w:r>
        <w:rPr>
          <w:rFonts w:ascii="Calibri" w:hAnsi="Calibri"/>
          <w:color w:val="333333"/>
          <w:sz w:val="20"/>
        </w:rPr>
        <w:t>The financial performance of TGV Sraac Ltd. has shown a significant recovery in FY25, particularly in the nine months ending December 31, 2025, with revenue from operations increasing substantially compared to the corresponding period in FY24. This rebound is primarily driven by the Chemicals segment, indicating a positive trend in its core business. The company's profitability metrics have also improved, reflecting better operational efficiency and potentially favorable market dynamics. The company's cash flow from operations remains robust, indicating healthy cash generation from its core activities. Management's focus on cost control, particularly in power and fuel expenses, and the strategic expansion of solar power capacity are expected to further enhance profitability and cash flow generation in the coming periods. The company's balance sheet remains strong, with a manageable debt-to-equity ratio and a healthy liquidity position, as indicated by its cash and cash equivalents.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t>Particulars</w:t>
            </w:r>
          </w:p>
        </w:tc>
        <w:tc>
          <w:tcPr>
            <w:tcW w:type="dxa" w:w="1440"/>
            <w:shd w:fill="1F5F8B"/>
          </w:tcPr>
          <w:p>
            <w:pPr>
              <w:spacing w:before="40" w:after="40"/>
            </w:pPr>
            <w:r>
              <w:rPr>
                <w:rFonts w:ascii="Calibri" w:hAnsi="Calibri"/>
                <w:b/>
                <w:color w:val="FFFFFF"/>
                <w:sz w:val="18"/>
              </w:rPr>
              <w:t>FY25A</w:t>
            </w:r>
          </w:p>
        </w:tc>
        <w:tc>
          <w:tcPr>
            <w:tcW w:type="dxa" w:w="1440"/>
            <w:shd w:fill="1F5F8B"/>
          </w:tcPr>
          <w:p>
            <w:pPr>
              <w:spacing w:before="40" w:after="40"/>
            </w:pPr>
            <w:r>
              <w:rPr>
                <w:rFonts w:ascii="Calibri" w:hAnsi="Calibri"/>
                <w:b/>
                <w:color w:val="FFFFFF"/>
                <w:sz w:val="18"/>
              </w:rPr>
              <w:t>FY26E</w:t>
            </w:r>
          </w:p>
        </w:tc>
        <w:tc>
          <w:tcPr>
            <w:tcW w:type="dxa" w:w="1440"/>
            <w:shd w:fill="1F5F8B"/>
          </w:tcPr>
          <w:p>
            <w:pPr>
              <w:spacing w:before="40" w:after="40"/>
            </w:pPr>
            <w:r>
              <w:rPr>
                <w:rFonts w:ascii="Calibri" w:hAnsi="Calibri"/>
                <w:b/>
                <w:color w:val="FFFFFF"/>
                <w:sz w:val="18"/>
              </w:rPr>
              <w:t>FY27E</w:t>
            </w:r>
          </w:p>
        </w:tc>
        <w:tc>
          <w:tcPr>
            <w:tcW w:type="dxa" w:w="1440"/>
            <w:shd w:fill="1F5F8B"/>
          </w:tcPr>
          <w:p>
            <w:pPr>
              <w:spacing w:before="40" w:after="40"/>
            </w:pPr>
            <w:r>
              <w:rPr>
                <w:rFonts w:ascii="Calibri" w:hAnsi="Calibri"/>
                <w:b/>
                <w:color w:val="FFFFFF"/>
                <w:sz w:val="18"/>
              </w:rPr>
              <w:t>FY28E</w:t>
            </w:r>
          </w:p>
        </w:tc>
        <w:tc>
          <w:tcPr>
            <w:tcW w:type="dxa" w:w="1440"/>
            <w:shd w:fill="1F5F8B"/>
          </w:tcPr>
          <w:p>
            <w:pPr>
              <w:spacing w:before="40" w:after="40"/>
            </w:pPr>
            <w:r>
              <w:rPr>
                <w:rFonts w:ascii="Calibri" w:hAnsi="Calibri"/>
                <w:b/>
                <w:color w:val="FFFFFF"/>
                <w:sz w:val="18"/>
              </w:rPr>
              <w:t>FY29E</w:t>
            </w:r>
          </w:p>
        </w:tc>
      </w:tr>
      <w:tr>
        <w:tc>
          <w:tcPr>
            <w:tcW w:type="dxa" w:w="1440"/>
          </w:tcPr>
          <w:p>
            <w:pPr>
              <w:spacing w:before="40" w:after="40"/>
            </w:pPr>
            <w:r>
              <w:rPr>
                <w:rFonts w:ascii="Calibri" w:hAnsi="Calibri"/>
                <w:b/>
                <w:sz w:val="18"/>
              </w:rPr>
              <w:t>Revenue from Operations</w:t>
            </w:r>
          </w:p>
        </w:tc>
        <w:tc>
          <w:tcPr>
            <w:tcW w:type="dxa" w:w="1440"/>
          </w:tcPr>
          <w:p>
            <w:pPr>
              <w:spacing w:before="40" w:after="40"/>
            </w:pPr>
            <w:r>
              <w:rPr>
                <w:rFonts w:ascii="Calibri" w:hAnsi="Calibri"/>
                <w:sz w:val="18"/>
              </w:rPr>
              <w:t>143,913</w:t>
            </w:r>
          </w:p>
        </w:tc>
        <w:tc>
          <w:tcPr>
            <w:tcW w:type="dxa" w:w="1440"/>
          </w:tcPr>
          <w:p>
            <w:pPr>
              <w:spacing w:before="40" w:after="40"/>
            </w:pPr>
            <w:r>
              <w:rPr>
                <w:rFonts w:ascii="Calibri" w:hAnsi="Calibri"/>
                <w:sz w:val="18"/>
              </w:rPr>
              <w:t>174,904</w:t>
            </w:r>
          </w:p>
        </w:tc>
        <w:tc>
          <w:tcPr>
            <w:tcW w:type="dxa" w:w="1440"/>
          </w:tcPr>
          <w:p>
            <w:pPr>
              <w:spacing w:before="40" w:after="40"/>
            </w:pPr>
            <w:r>
              <w:rPr>
                <w:rFonts w:ascii="Calibri" w:hAnsi="Calibri"/>
                <w:sz w:val="18"/>
              </w:rPr>
              <w:t>195,000</w:t>
            </w:r>
          </w:p>
        </w:tc>
        <w:tc>
          <w:tcPr>
            <w:tcW w:type="dxa" w:w="1440"/>
          </w:tcPr>
          <w:p>
            <w:pPr>
              <w:spacing w:before="40" w:after="40"/>
            </w:pPr>
            <w:r>
              <w:rPr>
                <w:rFonts w:ascii="Calibri" w:hAnsi="Calibri"/>
                <w:sz w:val="18"/>
              </w:rPr>
              <w:t>215,000</w:t>
            </w:r>
          </w:p>
        </w:tc>
        <w:tc>
          <w:tcPr>
            <w:tcW w:type="dxa" w:w="1440"/>
          </w:tcPr>
          <w:p>
            <w:pPr>
              <w:spacing w:before="40" w:after="40"/>
            </w:pPr>
            <w:r>
              <w:rPr>
                <w:rFonts w:ascii="Calibri" w:hAnsi="Calibri"/>
                <w:sz w:val="18"/>
              </w:rPr>
              <w:t>235,000</w:t>
            </w:r>
          </w:p>
        </w:tc>
      </w:tr>
      <w:tr>
        <w:tc>
          <w:tcPr>
            <w:tcW w:type="dxa" w:w="1440"/>
            <w:shd w:fill="E8F0FE"/>
          </w:tcPr>
          <w:p>
            <w:pPr>
              <w:spacing w:before="40" w:after="40"/>
            </w:pPr>
            <w:r>
              <w:rPr>
                <w:rFonts w:ascii="Calibri" w:hAnsi="Calibri"/>
                <w:b/>
                <w:sz w:val="18"/>
              </w:rPr>
              <w:t>Revenue Growth (%)</w:t>
            </w:r>
          </w:p>
        </w:tc>
        <w:tc>
          <w:tcPr>
            <w:tcW w:type="dxa" w:w="1440"/>
            <w:shd w:fill="E8F0FE"/>
          </w:tcPr>
          <w:p>
            <w:pPr>
              <w:spacing w:before="40" w:after="40"/>
            </w:pPr>
            <w:r>
              <w:rPr>
                <w:rFonts w:ascii="Calibri" w:hAnsi="Calibri"/>
                <w:sz w:val="18"/>
              </w:rPr>
              <w:t>-</w:t>
            </w:r>
          </w:p>
        </w:tc>
        <w:tc>
          <w:tcPr>
            <w:tcW w:type="dxa" w:w="1440"/>
            <w:shd w:fill="E8F0FE"/>
          </w:tcPr>
          <w:p>
            <w:pPr>
              <w:spacing w:before="40" w:after="40"/>
            </w:pPr>
            <w:r>
              <w:rPr>
                <w:rFonts w:ascii="Calibri" w:hAnsi="Calibri"/>
                <w:sz w:val="18"/>
              </w:rPr>
              <w:t>21.5%</w:t>
            </w:r>
          </w:p>
        </w:tc>
        <w:tc>
          <w:tcPr>
            <w:tcW w:type="dxa" w:w="1440"/>
            <w:shd w:fill="E8F0FE"/>
          </w:tcPr>
          <w:p>
            <w:pPr>
              <w:spacing w:before="40" w:after="40"/>
            </w:pPr>
            <w:r>
              <w:rPr>
                <w:rFonts w:ascii="Calibri" w:hAnsi="Calibri"/>
                <w:sz w:val="18"/>
              </w:rPr>
              <w:t>11.5%</w:t>
            </w:r>
          </w:p>
        </w:tc>
        <w:tc>
          <w:tcPr>
            <w:tcW w:type="dxa" w:w="1440"/>
            <w:shd w:fill="E8F0FE"/>
          </w:tcPr>
          <w:p>
            <w:pPr>
              <w:spacing w:before="40" w:after="40"/>
            </w:pPr>
            <w:r>
              <w:rPr>
                <w:rFonts w:ascii="Calibri" w:hAnsi="Calibri"/>
                <w:sz w:val="18"/>
              </w:rPr>
              <w:t>10.3%</w:t>
            </w:r>
          </w:p>
        </w:tc>
        <w:tc>
          <w:tcPr>
            <w:tcW w:type="dxa" w:w="1440"/>
            <w:shd w:fill="E8F0FE"/>
          </w:tcPr>
          <w:p>
            <w:pPr>
              <w:spacing w:before="40" w:after="40"/>
            </w:pPr>
            <w:r>
              <w:rPr>
                <w:rFonts w:ascii="Calibri" w:hAnsi="Calibri"/>
                <w:sz w:val="18"/>
              </w:rPr>
              <w:t>9.3%</w:t>
            </w:r>
          </w:p>
        </w:tc>
      </w:tr>
      <w:tr>
        <w:tc>
          <w:tcPr>
            <w:tcW w:type="dxa" w:w="1440"/>
          </w:tcPr>
          <w:p>
            <w:pPr>
              <w:spacing w:before="40" w:after="40"/>
            </w:pPr>
            <w:r>
              <w:rPr>
                <w:rFonts w:ascii="Calibri" w:hAnsi="Calibri"/>
                <w:b/>
                <w:sz w:val="18"/>
              </w:rPr>
              <w:t>Gross Profit</w:t>
            </w:r>
          </w:p>
        </w:tc>
        <w:tc>
          <w:tcPr>
            <w:tcW w:type="dxa" w:w="1440"/>
          </w:tcPr>
          <w:p>
            <w:pPr>
              <w:spacing w:before="40" w:after="40"/>
            </w:pPr>
            <w:r>
              <w:rPr>
                <w:rFonts w:ascii="Calibri" w:hAnsi="Calibri"/>
                <w:sz w:val="18"/>
              </w:rPr>
              <w:t>92,737</w:t>
            </w:r>
          </w:p>
        </w:tc>
        <w:tc>
          <w:tcPr>
            <w:tcW w:type="dxa" w:w="1440"/>
          </w:tcPr>
          <w:p>
            <w:pPr>
              <w:spacing w:before="40" w:after="40"/>
            </w:pPr>
            <w:r>
              <w:rPr>
                <w:rFonts w:ascii="Calibri" w:hAnsi="Calibri"/>
                <w:sz w:val="18"/>
              </w:rPr>
              <w:t>113,300</w:t>
            </w:r>
          </w:p>
        </w:tc>
        <w:tc>
          <w:tcPr>
            <w:tcW w:type="dxa" w:w="1440"/>
          </w:tcPr>
          <w:p>
            <w:pPr>
              <w:spacing w:before="40" w:after="40"/>
            </w:pPr>
            <w:r>
              <w:rPr>
                <w:rFonts w:ascii="Calibri" w:hAnsi="Calibri"/>
                <w:sz w:val="18"/>
              </w:rPr>
              <w:t>125,000</w:t>
            </w:r>
          </w:p>
        </w:tc>
        <w:tc>
          <w:tcPr>
            <w:tcW w:type="dxa" w:w="1440"/>
          </w:tcPr>
          <w:p>
            <w:pPr>
              <w:spacing w:before="40" w:after="40"/>
            </w:pPr>
            <w:r>
              <w:rPr>
                <w:rFonts w:ascii="Calibri" w:hAnsi="Calibri"/>
                <w:sz w:val="18"/>
              </w:rPr>
              <w:t>138,000</w:t>
            </w:r>
          </w:p>
        </w:tc>
        <w:tc>
          <w:tcPr>
            <w:tcW w:type="dxa" w:w="1440"/>
          </w:tcPr>
          <w:p>
            <w:pPr>
              <w:spacing w:before="40" w:after="40"/>
            </w:pPr>
            <w:r>
              <w:rPr>
                <w:rFonts w:ascii="Calibri" w:hAnsi="Calibri"/>
                <w:sz w:val="18"/>
              </w:rPr>
              <w:t>150,000</w:t>
            </w:r>
          </w:p>
        </w:tc>
      </w:tr>
      <w:tr>
        <w:tc>
          <w:tcPr>
            <w:tcW w:type="dxa" w:w="1440"/>
            <w:shd w:fill="E8F0FE"/>
          </w:tcPr>
          <w:p>
            <w:pPr>
              <w:spacing w:before="40" w:after="40"/>
            </w:pPr>
            <w:r>
              <w:rPr>
                <w:rFonts w:ascii="Calibri" w:hAnsi="Calibri"/>
                <w:b/>
                <w:sz w:val="18"/>
              </w:rPr>
              <w:t>Gross Margin (%)</w:t>
            </w:r>
          </w:p>
        </w:tc>
        <w:tc>
          <w:tcPr>
            <w:tcW w:type="dxa" w:w="1440"/>
            <w:shd w:fill="E8F0FE"/>
          </w:tcPr>
          <w:p>
            <w:pPr>
              <w:spacing w:before="40" w:after="40"/>
            </w:pPr>
            <w:r>
              <w:rPr>
                <w:rFonts w:ascii="Calibri" w:hAnsi="Calibri"/>
                <w:sz w:val="18"/>
              </w:rPr>
              <w:t>64.4%</w:t>
            </w:r>
          </w:p>
        </w:tc>
        <w:tc>
          <w:tcPr>
            <w:tcW w:type="dxa" w:w="1440"/>
            <w:shd w:fill="E8F0FE"/>
          </w:tcPr>
          <w:p>
            <w:pPr>
              <w:spacing w:before="40" w:after="40"/>
            </w:pPr>
            <w:r>
              <w:rPr>
                <w:rFonts w:ascii="Calibri" w:hAnsi="Calibri"/>
                <w:sz w:val="18"/>
              </w:rPr>
              <w:t>64.8%</w:t>
            </w:r>
          </w:p>
        </w:tc>
        <w:tc>
          <w:tcPr>
            <w:tcW w:type="dxa" w:w="1440"/>
            <w:shd w:fill="E8F0FE"/>
          </w:tcPr>
          <w:p>
            <w:pPr>
              <w:spacing w:before="40" w:after="40"/>
            </w:pPr>
            <w:r>
              <w:rPr>
                <w:rFonts w:ascii="Calibri" w:hAnsi="Calibri"/>
                <w:sz w:val="18"/>
              </w:rPr>
              <w:t>64.1%</w:t>
            </w:r>
          </w:p>
        </w:tc>
        <w:tc>
          <w:tcPr>
            <w:tcW w:type="dxa" w:w="1440"/>
            <w:shd w:fill="E8F0FE"/>
          </w:tcPr>
          <w:p>
            <w:pPr>
              <w:spacing w:before="40" w:after="40"/>
            </w:pPr>
            <w:r>
              <w:rPr>
                <w:rFonts w:ascii="Calibri" w:hAnsi="Calibri"/>
                <w:sz w:val="18"/>
              </w:rPr>
              <w:t>64.2%</w:t>
            </w:r>
          </w:p>
        </w:tc>
        <w:tc>
          <w:tcPr>
            <w:tcW w:type="dxa" w:w="1440"/>
            <w:shd w:fill="E8F0FE"/>
          </w:tcPr>
          <w:p>
            <w:pPr>
              <w:spacing w:before="40" w:after="40"/>
            </w:pPr>
            <w:r>
              <w:rPr>
                <w:rFonts w:ascii="Calibri" w:hAnsi="Calibri"/>
                <w:sz w:val="18"/>
              </w:rPr>
              <w:t>63.8%</w:t>
            </w:r>
          </w:p>
        </w:tc>
      </w:tr>
      <w:tr>
        <w:tc>
          <w:tcPr>
            <w:tcW w:type="dxa" w:w="1440"/>
          </w:tcPr>
          <w:p>
            <w:pPr>
              <w:spacing w:before="40" w:after="40"/>
            </w:pPr>
            <w:r>
              <w:rPr>
                <w:rFonts w:ascii="Calibri" w:hAnsi="Calibri"/>
                <w:b/>
                <w:sz w:val="18"/>
              </w:rPr>
              <w:t>EBITDA (Operating)</w:t>
            </w:r>
          </w:p>
        </w:tc>
        <w:tc>
          <w:tcPr>
            <w:tcW w:type="dxa" w:w="1440"/>
          </w:tcPr>
          <w:p>
            <w:pPr>
              <w:spacing w:before="40" w:after="40"/>
            </w:pPr>
            <w:r>
              <w:rPr>
                <w:rFonts w:ascii="Calibri" w:hAnsi="Calibri"/>
                <w:sz w:val="18"/>
              </w:rPr>
              <w:t>14,028</w:t>
            </w:r>
          </w:p>
        </w:tc>
        <w:tc>
          <w:tcPr>
            <w:tcW w:type="dxa" w:w="1440"/>
          </w:tcPr>
          <w:p>
            <w:pPr>
              <w:spacing w:before="40" w:after="40"/>
            </w:pPr>
            <w:r>
              <w:rPr>
                <w:rFonts w:ascii="Calibri" w:hAnsi="Calibri"/>
                <w:sz w:val="18"/>
              </w:rPr>
              <w:t>17,000</w:t>
            </w:r>
          </w:p>
        </w:tc>
        <w:tc>
          <w:tcPr>
            <w:tcW w:type="dxa" w:w="1440"/>
          </w:tcPr>
          <w:p>
            <w:pPr>
              <w:spacing w:before="40" w:after="40"/>
            </w:pPr>
            <w:r>
              <w:rPr>
                <w:rFonts w:ascii="Calibri" w:hAnsi="Calibri"/>
                <w:sz w:val="18"/>
              </w:rPr>
              <w:t>19,000</w:t>
            </w:r>
          </w:p>
        </w:tc>
        <w:tc>
          <w:tcPr>
            <w:tcW w:type="dxa" w:w="1440"/>
          </w:tcPr>
          <w:p>
            <w:pPr>
              <w:spacing w:before="40" w:after="40"/>
            </w:pPr>
            <w:r>
              <w:rPr>
                <w:rFonts w:ascii="Calibri" w:hAnsi="Calibri"/>
                <w:sz w:val="18"/>
              </w:rPr>
              <w:t>21,000</w:t>
            </w:r>
          </w:p>
        </w:tc>
        <w:tc>
          <w:tcPr>
            <w:tcW w:type="dxa" w:w="1440"/>
          </w:tcPr>
          <w:p>
            <w:pPr>
              <w:spacing w:before="40" w:after="40"/>
            </w:pPr>
            <w:r>
              <w:rPr>
                <w:rFonts w:ascii="Calibri" w:hAnsi="Calibri"/>
                <w:sz w:val="18"/>
              </w:rPr>
              <w:t>23,000</w:t>
            </w:r>
          </w:p>
        </w:tc>
      </w:tr>
      <w:tr>
        <w:tc>
          <w:tcPr>
            <w:tcW w:type="dxa" w:w="1440"/>
            <w:shd w:fill="E8F0FE"/>
          </w:tcPr>
          <w:p>
            <w:pPr>
              <w:spacing w:before="40" w:after="40"/>
            </w:pPr>
            <w:r>
              <w:rPr>
                <w:rFonts w:ascii="Calibri" w:hAnsi="Calibri"/>
                <w:b/>
                <w:sz w:val="18"/>
              </w:rPr>
              <w:t>EBITDA Margin (%)</w:t>
            </w:r>
          </w:p>
        </w:tc>
        <w:tc>
          <w:tcPr>
            <w:tcW w:type="dxa" w:w="1440"/>
            <w:shd w:fill="E8F0FE"/>
          </w:tcPr>
          <w:p>
            <w:pPr>
              <w:spacing w:before="40" w:after="40"/>
            </w:pPr>
            <w:r>
              <w:rPr>
                <w:rFonts w:ascii="Calibri" w:hAnsi="Calibri"/>
                <w:sz w:val="18"/>
              </w:rPr>
              <w:t>9.8%</w:t>
            </w:r>
          </w:p>
        </w:tc>
        <w:tc>
          <w:tcPr>
            <w:tcW w:type="dxa" w:w="1440"/>
            <w:shd w:fill="E8F0FE"/>
          </w:tcPr>
          <w:p>
            <w:pPr>
              <w:spacing w:before="40" w:after="40"/>
            </w:pPr>
            <w:r>
              <w:rPr>
                <w:rFonts w:ascii="Calibri" w:hAnsi="Calibri"/>
                <w:sz w:val="18"/>
              </w:rPr>
              <w:t>9.7%</w:t>
            </w:r>
          </w:p>
        </w:tc>
        <w:tc>
          <w:tcPr>
            <w:tcW w:type="dxa" w:w="1440"/>
            <w:shd w:fill="E8F0FE"/>
          </w:tcPr>
          <w:p>
            <w:pPr>
              <w:spacing w:before="40" w:after="40"/>
            </w:pPr>
            <w:r>
              <w:rPr>
                <w:rFonts w:ascii="Calibri" w:hAnsi="Calibri"/>
                <w:sz w:val="18"/>
              </w:rPr>
              <w:t>9.7%</w:t>
            </w:r>
          </w:p>
        </w:tc>
        <w:tc>
          <w:tcPr>
            <w:tcW w:type="dxa" w:w="1440"/>
            <w:shd w:fill="E8F0FE"/>
          </w:tcPr>
          <w:p>
            <w:pPr>
              <w:spacing w:before="40" w:after="40"/>
            </w:pPr>
            <w:r>
              <w:rPr>
                <w:rFonts w:ascii="Calibri" w:hAnsi="Calibri"/>
                <w:sz w:val="18"/>
              </w:rPr>
              <w:t>9.8%</w:t>
            </w:r>
          </w:p>
        </w:tc>
        <w:tc>
          <w:tcPr>
            <w:tcW w:type="dxa" w:w="1440"/>
            <w:shd w:fill="E8F0FE"/>
          </w:tcPr>
          <w:p>
            <w:pPr>
              <w:spacing w:before="40" w:after="40"/>
            </w:pPr>
            <w:r>
              <w:rPr>
                <w:rFonts w:ascii="Calibri" w:hAnsi="Calibri"/>
                <w:sz w:val="18"/>
              </w:rPr>
              <w:t>9.8%</w:t>
            </w:r>
          </w:p>
        </w:tc>
      </w:tr>
      <w:tr>
        <w:tc>
          <w:tcPr>
            <w:tcW w:type="dxa" w:w="1440"/>
          </w:tcPr>
          <w:p>
            <w:pPr>
              <w:spacing w:before="40" w:after="40"/>
            </w:pPr>
            <w:r>
              <w:rPr>
                <w:rFonts w:ascii="Calibri" w:hAnsi="Calibri"/>
                <w:b/>
                <w:sz w:val="18"/>
              </w:rPr>
              <w:t>Depreciation</w:t>
            </w:r>
          </w:p>
        </w:tc>
        <w:tc>
          <w:tcPr>
            <w:tcW w:type="dxa" w:w="1440"/>
          </w:tcPr>
          <w:p>
            <w:pPr>
              <w:spacing w:before="40" w:after="40"/>
            </w:pPr>
            <w:r>
              <w:rPr>
                <w:rFonts w:ascii="Calibri" w:hAnsi="Calibri"/>
                <w:sz w:val="18"/>
              </w:rPr>
              <w:t>12,197</w:t>
            </w:r>
          </w:p>
        </w:tc>
        <w:tc>
          <w:tcPr>
            <w:tcW w:type="dxa" w:w="1440"/>
          </w:tcPr>
          <w:p>
            <w:pPr>
              <w:spacing w:before="40" w:after="40"/>
            </w:pPr>
            <w:r>
              <w:rPr>
                <w:rFonts w:ascii="Calibri" w:hAnsi="Calibri"/>
                <w:sz w:val="18"/>
              </w:rPr>
              <w:t>13,000</w:t>
            </w:r>
          </w:p>
        </w:tc>
        <w:tc>
          <w:tcPr>
            <w:tcW w:type="dxa" w:w="1440"/>
          </w:tcPr>
          <w:p>
            <w:pPr>
              <w:spacing w:before="40" w:after="40"/>
            </w:pPr>
            <w:r>
              <w:rPr>
                <w:rFonts w:ascii="Calibri" w:hAnsi="Calibri"/>
                <w:sz w:val="18"/>
              </w:rPr>
              <w:t>14,000</w:t>
            </w:r>
          </w:p>
        </w:tc>
        <w:tc>
          <w:tcPr>
            <w:tcW w:type="dxa" w:w="1440"/>
          </w:tcPr>
          <w:p>
            <w:pPr>
              <w:spacing w:before="40" w:after="40"/>
            </w:pPr>
            <w:r>
              <w:rPr>
                <w:rFonts w:ascii="Calibri" w:hAnsi="Calibri"/>
                <w:sz w:val="18"/>
              </w:rPr>
              <w:t>15,000</w:t>
            </w:r>
          </w:p>
        </w:tc>
        <w:tc>
          <w:tcPr>
            <w:tcW w:type="dxa" w:w="1440"/>
          </w:tcPr>
          <w:p>
            <w:pPr>
              <w:spacing w:before="40" w:after="40"/>
            </w:pPr>
            <w:r>
              <w:rPr>
                <w:rFonts w:ascii="Calibri" w:hAnsi="Calibri"/>
                <w:sz w:val="18"/>
              </w:rPr>
              <w:t>16,000</w:t>
            </w:r>
          </w:p>
        </w:tc>
      </w:tr>
      <w:tr>
        <w:tc>
          <w:tcPr>
            <w:tcW w:type="dxa" w:w="1440"/>
            <w:shd w:fill="E8F0FE"/>
          </w:tcPr>
          <w:p>
            <w:pPr>
              <w:spacing w:before="40" w:after="40"/>
            </w:pPr>
            <w:r>
              <w:rPr>
                <w:rFonts w:ascii="Calibri" w:hAnsi="Calibri"/>
                <w:b/>
                <w:sz w:val="18"/>
              </w:rPr>
              <w:t>Finance Cost</w:t>
            </w:r>
          </w:p>
        </w:tc>
        <w:tc>
          <w:tcPr>
            <w:tcW w:type="dxa" w:w="1440"/>
            <w:shd w:fill="E8F0FE"/>
          </w:tcPr>
          <w:p>
            <w:pPr>
              <w:spacing w:before="40" w:after="40"/>
            </w:pPr>
            <w:r>
              <w:rPr>
                <w:rFonts w:ascii="Calibri" w:hAnsi="Calibri"/>
                <w:sz w:val="18"/>
              </w:rPr>
              <w:t>1,688</w:t>
            </w:r>
          </w:p>
        </w:tc>
        <w:tc>
          <w:tcPr>
            <w:tcW w:type="dxa" w:w="1440"/>
            <w:shd w:fill="E8F0FE"/>
          </w:tcPr>
          <w:p>
            <w:pPr>
              <w:spacing w:before="40" w:after="40"/>
            </w:pPr>
            <w:r>
              <w:rPr>
                <w:rFonts w:ascii="Calibri" w:hAnsi="Calibri"/>
                <w:sz w:val="18"/>
              </w:rPr>
              <w:t>1,500</w:t>
            </w:r>
          </w:p>
        </w:tc>
        <w:tc>
          <w:tcPr>
            <w:tcW w:type="dxa" w:w="1440"/>
            <w:shd w:fill="E8F0FE"/>
          </w:tcPr>
          <w:p>
            <w:pPr>
              <w:spacing w:before="40" w:after="40"/>
            </w:pPr>
            <w:r>
              <w:rPr>
                <w:rFonts w:ascii="Calibri" w:hAnsi="Calibri"/>
                <w:sz w:val="18"/>
              </w:rPr>
              <w:t>1,400</w:t>
            </w:r>
          </w:p>
        </w:tc>
        <w:tc>
          <w:tcPr>
            <w:tcW w:type="dxa" w:w="1440"/>
            <w:shd w:fill="E8F0FE"/>
          </w:tcPr>
          <w:p>
            <w:pPr>
              <w:spacing w:before="40" w:after="40"/>
            </w:pPr>
            <w:r>
              <w:rPr>
                <w:rFonts w:ascii="Calibri" w:hAnsi="Calibri"/>
                <w:sz w:val="18"/>
              </w:rPr>
              <w:t>1,300</w:t>
            </w:r>
          </w:p>
        </w:tc>
        <w:tc>
          <w:tcPr>
            <w:tcW w:type="dxa" w:w="1440"/>
            <w:shd w:fill="E8F0FE"/>
          </w:tcPr>
          <w:p>
            <w:pPr>
              <w:spacing w:before="40" w:after="40"/>
            </w:pPr>
            <w:r>
              <w:rPr>
                <w:rFonts w:ascii="Calibri" w:hAnsi="Calibri"/>
                <w:sz w:val="18"/>
              </w:rPr>
              <w:t>1,200</w:t>
            </w:r>
          </w:p>
        </w:tc>
      </w:tr>
      <w:tr>
        <w:tc>
          <w:tcPr>
            <w:tcW w:type="dxa" w:w="1440"/>
          </w:tcPr>
          <w:p>
            <w:pPr>
              <w:spacing w:before="40" w:after="40"/>
            </w:pPr>
            <w:r>
              <w:rPr>
                <w:rFonts w:ascii="Calibri" w:hAnsi="Calibri"/>
                <w:b/>
                <w:sz w:val="18"/>
              </w:rPr>
              <w:t>PBT (Operating)</w:t>
            </w:r>
          </w:p>
        </w:tc>
        <w:tc>
          <w:tcPr>
            <w:tcW w:type="dxa" w:w="1440"/>
          </w:tcPr>
          <w:p>
            <w:pPr>
              <w:spacing w:before="40" w:after="40"/>
            </w:pPr>
            <w:r>
              <w:rPr>
                <w:rFonts w:ascii="Calibri" w:hAnsi="Calibri"/>
                <w:sz w:val="18"/>
              </w:rPr>
              <w:t>10,402</w:t>
            </w:r>
          </w:p>
        </w:tc>
        <w:tc>
          <w:tcPr>
            <w:tcW w:type="dxa" w:w="1440"/>
          </w:tcPr>
          <w:p>
            <w:pPr>
              <w:spacing w:before="40" w:after="40"/>
            </w:pPr>
            <w:r>
              <w:rPr>
                <w:rFonts w:ascii="Calibri" w:hAnsi="Calibri"/>
                <w:sz w:val="18"/>
              </w:rPr>
              <w:t>12,500</w:t>
            </w:r>
          </w:p>
        </w:tc>
        <w:tc>
          <w:tcPr>
            <w:tcW w:type="dxa" w:w="1440"/>
          </w:tcPr>
          <w:p>
            <w:pPr>
              <w:spacing w:before="40" w:after="40"/>
            </w:pPr>
            <w:r>
              <w:rPr>
                <w:rFonts w:ascii="Calibri" w:hAnsi="Calibri"/>
                <w:sz w:val="18"/>
              </w:rPr>
              <w:t>13,600</w:t>
            </w:r>
          </w:p>
        </w:tc>
        <w:tc>
          <w:tcPr>
            <w:tcW w:type="dxa" w:w="1440"/>
          </w:tcPr>
          <w:p>
            <w:pPr>
              <w:spacing w:before="40" w:after="40"/>
            </w:pPr>
            <w:r>
              <w:rPr>
                <w:rFonts w:ascii="Calibri" w:hAnsi="Calibri"/>
                <w:sz w:val="18"/>
              </w:rPr>
              <w:t>14,700</w:t>
            </w:r>
          </w:p>
        </w:tc>
        <w:tc>
          <w:tcPr>
            <w:tcW w:type="dxa" w:w="1440"/>
          </w:tcPr>
          <w:p>
            <w:pPr>
              <w:spacing w:before="40" w:after="40"/>
            </w:pPr>
            <w:r>
              <w:rPr>
                <w:rFonts w:ascii="Calibri" w:hAnsi="Calibri"/>
                <w:sz w:val="18"/>
              </w:rPr>
              <w:t>15,800</w:t>
            </w:r>
          </w:p>
        </w:tc>
      </w:tr>
      <w:tr>
        <w:tc>
          <w:tcPr>
            <w:tcW w:type="dxa" w:w="1440"/>
            <w:shd w:fill="E8F0FE"/>
          </w:tcPr>
          <w:p>
            <w:pPr>
              <w:spacing w:before="40" w:after="40"/>
            </w:pPr>
            <w:r>
              <w:rPr>
                <w:rFonts w:ascii="Calibri" w:hAnsi="Calibri"/>
                <w:b/>
                <w:sz w:val="18"/>
              </w:rPr>
              <w:t>Tax</w:t>
            </w:r>
          </w:p>
        </w:tc>
        <w:tc>
          <w:tcPr>
            <w:tcW w:type="dxa" w:w="1440"/>
            <w:shd w:fill="E8F0FE"/>
          </w:tcPr>
          <w:p>
            <w:pPr>
              <w:spacing w:before="40" w:after="40"/>
            </w:pPr>
            <w:r>
              <w:rPr>
                <w:rFonts w:ascii="Calibri" w:hAnsi="Calibri"/>
                <w:sz w:val="18"/>
              </w:rPr>
              <w:t>3,113</w:t>
            </w:r>
          </w:p>
        </w:tc>
        <w:tc>
          <w:tcPr>
            <w:tcW w:type="dxa" w:w="1440"/>
            <w:shd w:fill="E8F0FE"/>
          </w:tcPr>
          <w:p>
            <w:pPr>
              <w:spacing w:before="40" w:after="40"/>
            </w:pPr>
            <w:r>
              <w:rPr>
                <w:rFonts w:ascii="Calibri" w:hAnsi="Calibri"/>
                <w:sz w:val="18"/>
              </w:rPr>
              <w:t>3,500</w:t>
            </w:r>
          </w:p>
        </w:tc>
        <w:tc>
          <w:tcPr>
            <w:tcW w:type="dxa" w:w="1440"/>
            <w:shd w:fill="E8F0FE"/>
          </w:tcPr>
          <w:p>
            <w:pPr>
              <w:spacing w:before="40" w:after="40"/>
            </w:pPr>
            <w:r>
              <w:rPr>
                <w:rFonts w:ascii="Calibri" w:hAnsi="Calibri"/>
                <w:sz w:val="18"/>
              </w:rPr>
              <w:t>3,800</w:t>
            </w:r>
          </w:p>
        </w:tc>
        <w:tc>
          <w:tcPr>
            <w:tcW w:type="dxa" w:w="1440"/>
            <w:shd w:fill="E8F0FE"/>
          </w:tcPr>
          <w:p>
            <w:pPr>
              <w:spacing w:before="40" w:after="40"/>
            </w:pPr>
            <w:r>
              <w:rPr>
                <w:rFonts w:ascii="Calibri" w:hAnsi="Calibri"/>
                <w:sz w:val="18"/>
              </w:rPr>
              <w:t>4,100</w:t>
            </w:r>
          </w:p>
        </w:tc>
        <w:tc>
          <w:tcPr>
            <w:tcW w:type="dxa" w:w="1440"/>
            <w:shd w:fill="E8F0FE"/>
          </w:tcPr>
          <w:p>
            <w:pPr>
              <w:spacing w:before="40" w:after="40"/>
            </w:pPr>
            <w:r>
              <w:rPr>
                <w:rFonts w:ascii="Calibri" w:hAnsi="Calibri"/>
                <w:sz w:val="18"/>
              </w:rPr>
              <w:t>4,400</w:t>
            </w:r>
          </w:p>
        </w:tc>
      </w:tr>
      <w:tr>
        <w:tc>
          <w:tcPr>
            <w:tcW w:type="dxa" w:w="1440"/>
          </w:tcPr>
          <w:p>
            <w:pPr>
              <w:spacing w:before="40" w:after="40"/>
            </w:pPr>
            <w:r>
              <w:rPr>
                <w:rFonts w:ascii="Calibri" w:hAnsi="Calibri"/>
                <w:b/>
                <w:sz w:val="18"/>
              </w:rPr>
              <w:t>PAT (Operating)</w:t>
            </w:r>
          </w:p>
        </w:tc>
        <w:tc>
          <w:tcPr>
            <w:tcW w:type="dxa" w:w="1440"/>
          </w:tcPr>
          <w:p>
            <w:pPr>
              <w:spacing w:before="40" w:after="40"/>
            </w:pPr>
            <w:r>
              <w:rPr>
                <w:rFonts w:ascii="Calibri" w:hAnsi="Calibri"/>
                <w:sz w:val="18"/>
              </w:rPr>
              <w:t>7,061</w:t>
            </w:r>
          </w:p>
        </w:tc>
        <w:tc>
          <w:tcPr>
            <w:tcW w:type="dxa" w:w="1440"/>
          </w:tcPr>
          <w:p>
            <w:pPr>
              <w:spacing w:before="40" w:after="40"/>
            </w:pPr>
            <w:r>
              <w:rPr>
                <w:rFonts w:ascii="Calibri" w:hAnsi="Calibri"/>
                <w:sz w:val="18"/>
              </w:rPr>
              <w:t>9,000</w:t>
            </w:r>
          </w:p>
        </w:tc>
        <w:tc>
          <w:tcPr>
            <w:tcW w:type="dxa" w:w="1440"/>
          </w:tcPr>
          <w:p>
            <w:pPr>
              <w:spacing w:before="40" w:after="40"/>
            </w:pPr>
            <w:r>
              <w:rPr>
                <w:rFonts w:ascii="Calibri" w:hAnsi="Calibri"/>
                <w:sz w:val="18"/>
              </w:rPr>
              <w:t>9,800</w:t>
            </w:r>
          </w:p>
        </w:tc>
        <w:tc>
          <w:tcPr>
            <w:tcW w:type="dxa" w:w="1440"/>
          </w:tcPr>
          <w:p>
            <w:pPr>
              <w:spacing w:before="40" w:after="40"/>
            </w:pPr>
            <w:r>
              <w:rPr>
                <w:rFonts w:ascii="Calibri" w:hAnsi="Calibri"/>
                <w:sz w:val="18"/>
              </w:rPr>
              <w:t>10,600</w:t>
            </w:r>
          </w:p>
        </w:tc>
        <w:tc>
          <w:tcPr>
            <w:tcW w:type="dxa" w:w="1440"/>
          </w:tcPr>
          <w:p>
            <w:pPr>
              <w:spacing w:before="40" w:after="40"/>
            </w:pPr>
            <w:r>
              <w:rPr>
                <w:rFonts w:ascii="Calibri" w:hAnsi="Calibri"/>
                <w:sz w:val="18"/>
              </w:rPr>
              <w:t>11,400</w:t>
            </w:r>
          </w:p>
        </w:tc>
      </w:tr>
      <w:tr>
        <w:tc>
          <w:tcPr>
            <w:tcW w:type="dxa" w:w="1440"/>
            <w:shd w:fill="E8F0FE"/>
          </w:tcPr>
          <w:p>
            <w:pPr>
              <w:spacing w:before="40" w:after="40"/>
            </w:pPr>
            <w:r>
              <w:rPr>
                <w:rFonts w:ascii="Calibri" w:hAnsi="Calibri"/>
                <w:b/>
                <w:sz w:val="18"/>
              </w:rPr>
              <w:t>EPS (Operating)</w:t>
            </w:r>
          </w:p>
        </w:tc>
        <w:tc>
          <w:tcPr>
            <w:tcW w:type="dxa" w:w="1440"/>
            <w:shd w:fill="E8F0FE"/>
          </w:tcPr>
          <w:p>
            <w:pPr>
              <w:spacing w:before="40" w:after="40"/>
            </w:pPr>
            <w:r>
              <w:rPr>
                <w:rFonts w:ascii="Calibri" w:hAnsi="Calibri"/>
                <w:sz w:val="18"/>
              </w:rPr>
              <w:t>6.59</w:t>
            </w:r>
          </w:p>
        </w:tc>
        <w:tc>
          <w:tcPr>
            <w:tcW w:type="dxa" w:w="1440"/>
            <w:shd w:fill="E8F0FE"/>
          </w:tcPr>
          <w:p>
            <w:pPr>
              <w:spacing w:before="40" w:after="40"/>
            </w:pPr>
            <w:r>
              <w:rPr>
                <w:rFonts w:ascii="Calibri" w:hAnsi="Calibri"/>
                <w:sz w:val="18"/>
              </w:rPr>
              <w:t>8.40</w:t>
            </w:r>
          </w:p>
        </w:tc>
        <w:tc>
          <w:tcPr>
            <w:tcW w:type="dxa" w:w="1440"/>
            <w:shd w:fill="E8F0FE"/>
          </w:tcPr>
          <w:p>
            <w:pPr>
              <w:spacing w:before="40" w:after="40"/>
            </w:pPr>
            <w:r>
              <w:rPr>
                <w:rFonts w:ascii="Calibri" w:hAnsi="Calibri"/>
                <w:sz w:val="18"/>
              </w:rPr>
              <w:t>9.15</w:t>
            </w:r>
          </w:p>
        </w:tc>
        <w:tc>
          <w:tcPr>
            <w:tcW w:type="dxa" w:w="1440"/>
            <w:shd w:fill="E8F0FE"/>
          </w:tcPr>
          <w:p>
            <w:pPr>
              <w:spacing w:before="40" w:after="40"/>
            </w:pPr>
            <w:r>
              <w:rPr>
                <w:rFonts w:ascii="Calibri" w:hAnsi="Calibri"/>
                <w:sz w:val="18"/>
              </w:rPr>
              <w:t>9.90</w:t>
            </w:r>
          </w:p>
        </w:tc>
        <w:tc>
          <w:tcPr>
            <w:tcW w:type="dxa" w:w="1440"/>
            <w:shd w:fill="E8F0FE"/>
          </w:tcPr>
          <w:p>
            <w:pPr>
              <w:spacing w:before="40" w:after="40"/>
            </w:pPr>
            <w:r>
              <w:rPr>
                <w:rFonts w:ascii="Calibri" w:hAnsi="Calibri"/>
                <w:sz w:val="18"/>
              </w:rPr>
              <w:t>10.64</w:t>
            </w:r>
          </w:p>
        </w:tc>
      </w:tr>
    </w:tbl>
    <w:p/>
    <w:p>
      <w:pPr>
        <w:spacing w:after="80"/>
      </w:pPr>
      <w:r>
        <w:rPr>
          <w:rFonts w:ascii="Calibri" w:hAnsi="Calibri"/>
          <w:color w:val="333333"/>
          <w:sz w:val="20"/>
        </w:rPr>
        <w:t>The company's cash flow from operations has been strong, as indicated by the net cash flow from operating activities of ₹15,998.78 lakhs for the half-year ended September 30, 2025. This robust operating cash flow generation is a positive sign of the company's ability to fund its operations and investments internally. The company's cash and cash equivalents stood at ₹3,937.67 lakhs as of September 30, 2025, providing adequate liquidity.</w:t>
      </w:r>
    </w:p>
    <w:p>
      <w:pPr>
        <w:pStyle w:val="Heading2"/>
      </w:pPr>
      <w:r>
        <w:rPr>
          <w:rFonts w:ascii="Calibri" w:hAnsi="Calibri"/>
          <w:color w:val="1F5F8B"/>
          <w:sz w:val="26"/>
        </w:rPr>
        <w:t>3.1 Consolidated Profit &amp; Loss Statement (Rs. in Crores)</w:t>
      </w:r>
    </w:p>
    <w:p>
      <w:pPr>
        <w:spacing w:after="80"/>
      </w:pPr>
      <w:r>
        <w:rPr>
          <w:rFonts w:ascii="Calibri" w:hAnsi="Calibri"/>
          <w:color w:val="333333"/>
          <w:sz w:val="20"/>
        </w:rPr>
        <w:t>(Source: Screener.in)</w:t>
      </w:r>
    </w:p>
    <w:p>
      <w:pPr>
        <w:spacing w:after="80"/>
      </w:pPr>
      <w:r>
        <w:rPr>
          <w:rFonts w:ascii="Calibri" w:hAnsi="Calibri"/>
          <w:color w:val="333333"/>
          <w:sz w:val="20"/>
        </w:rPr>
        <w:t>|  |</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1F5F8B"/>
          </w:tcPr>
          <w:p>
            <w:pPr>
              <w:spacing w:before="40" w:after="40"/>
            </w:pPr>
            <w:r>
              <w:rPr>
                <w:rFonts w:ascii="Calibri" w:hAnsi="Calibri"/>
                <w:b/>
                <w:color w:val="FFFFFF"/>
                <w:sz w:val="18"/>
              </w:rPr>
              <w:t>Sales+</w:t>
            </w:r>
          </w:p>
        </w:tc>
      </w:tr>
      <w:tr>
        <w:tc>
          <w:tcPr>
            <w:tcW w:type="dxa" w:w="8640"/>
          </w:tcPr>
          <w:p>
            <w:pPr>
              <w:spacing w:before="40" w:after="40"/>
            </w:pPr>
            <w:r>
              <w:rPr>
                <w:rFonts w:ascii="Calibri" w:hAnsi="Calibri"/>
                <w:b/>
                <w:sz w:val="18"/>
              </w:rPr>
              <w:t>Expenses+</w:t>
            </w:r>
          </w:p>
        </w:tc>
      </w:tr>
      <w:tr>
        <w:tc>
          <w:tcPr>
            <w:tcW w:type="dxa" w:w="8640"/>
            <w:shd w:fill="E8F0FE"/>
          </w:tcPr>
          <w:p>
            <w:pPr>
              <w:spacing w:before="40" w:after="40"/>
            </w:pPr>
            <w:r>
              <w:rPr>
                <w:rFonts w:ascii="Calibri" w:hAnsi="Calibri"/>
                <w:b/>
                <w:sz w:val="18"/>
              </w:rPr>
              <w:t>Operating Profit</w:t>
            </w:r>
          </w:p>
        </w:tc>
      </w:tr>
      <w:tr>
        <w:tc>
          <w:tcPr>
            <w:tcW w:type="dxa" w:w="8640"/>
          </w:tcPr>
          <w:p>
            <w:pPr>
              <w:spacing w:before="40" w:after="40"/>
            </w:pPr>
            <w:r>
              <w:rPr>
                <w:rFonts w:ascii="Calibri" w:hAnsi="Calibri"/>
                <w:b/>
                <w:sz w:val="18"/>
              </w:rPr>
              <w:t>OPM %</w:t>
            </w:r>
          </w:p>
        </w:tc>
      </w:tr>
      <w:tr>
        <w:tc>
          <w:tcPr>
            <w:tcW w:type="dxa" w:w="8640"/>
            <w:shd w:fill="E8F0FE"/>
          </w:tcPr>
          <w:p>
            <w:pPr>
              <w:spacing w:before="40" w:after="40"/>
            </w:pPr>
            <w:r>
              <w:rPr>
                <w:rFonts w:ascii="Calibri" w:hAnsi="Calibri"/>
                <w:b/>
                <w:sz w:val="18"/>
              </w:rPr>
              <w:t>Other Income+</w:t>
            </w:r>
          </w:p>
        </w:tc>
      </w:tr>
      <w:tr>
        <w:tc>
          <w:tcPr>
            <w:tcW w:type="dxa" w:w="8640"/>
          </w:tcPr>
          <w:p>
            <w:pPr>
              <w:spacing w:before="40" w:after="40"/>
            </w:pPr>
            <w:r>
              <w:rPr>
                <w:rFonts w:ascii="Calibri" w:hAnsi="Calibri"/>
                <w:b/>
                <w:sz w:val="18"/>
              </w:rPr>
              <w:t>Interest</w:t>
            </w:r>
          </w:p>
        </w:tc>
      </w:tr>
      <w:tr>
        <w:tc>
          <w:tcPr>
            <w:tcW w:type="dxa" w:w="8640"/>
            <w:shd w:fill="E8F0FE"/>
          </w:tcPr>
          <w:p>
            <w:pPr>
              <w:spacing w:before="40" w:after="40"/>
            </w:pPr>
            <w:r>
              <w:rPr>
                <w:rFonts w:ascii="Calibri" w:hAnsi="Calibri"/>
                <w:b/>
                <w:sz w:val="18"/>
              </w:rPr>
              <w:t>Depreciation</w:t>
            </w:r>
          </w:p>
        </w:tc>
      </w:tr>
      <w:tr>
        <w:tc>
          <w:tcPr>
            <w:tcW w:type="dxa" w:w="8640"/>
          </w:tcPr>
          <w:p>
            <w:pPr>
              <w:spacing w:before="40" w:after="40"/>
            </w:pPr>
            <w:r>
              <w:rPr>
                <w:rFonts w:ascii="Calibri" w:hAnsi="Calibri"/>
                <w:b/>
                <w:sz w:val="18"/>
              </w:rPr>
              <w:t>Profit before tax</w:t>
            </w:r>
          </w:p>
        </w:tc>
      </w:tr>
      <w:tr>
        <w:tc>
          <w:tcPr>
            <w:tcW w:type="dxa" w:w="8640"/>
            <w:shd w:fill="E8F0FE"/>
          </w:tcPr>
          <w:p>
            <w:pPr>
              <w:spacing w:before="40" w:after="40"/>
            </w:pPr>
            <w:r>
              <w:rPr>
                <w:rFonts w:ascii="Calibri" w:hAnsi="Calibri"/>
                <w:b/>
                <w:sz w:val="18"/>
              </w:rPr>
              <w:t>Tax %</w:t>
            </w:r>
          </w:p>
        </w:tc>
      </w:tr>
      <w:tr>
        <w:tc>
          <w:tcPr>
            <w:tcW w:type="dxa" w:w="8640"/>
          </w:tcPr>
          <w:p>
            <w:pPr>
              <w:spacing w:before="40" w:after="40"/>
            </w:pPr>
            <w:r>
              <w:rPr>
                <w:rFonts w:ascii="Calibri" w:hAnsi="Calibri"/>
                <w:b/>
                <w:sz w:val="18"/>
              </w:rPr>
              <w:t>Net Profit+</w:t>
            </w:r>
          </w:p>
        </w:tc>
      </w:tr>
      <w:tr>
        <w:tc>
          <w:tcPr>
            <w:tcW w:type="dxa" w:w="8640"/>
            <w:shd w:fill="E8F0FE"/>
          </w:tcPr>
          <w:p>
            <w:pPr>
              <w:spacing w:before="40" w:after="40"/>
            </w:pPr>
            <w:r>
              <w:rPr>
                <w:rFonts w:ascii="Calibri" w:hAnsi="Calibri"/>
                <w:b/>
                <w:sz w:val="18"/>
              </w:rPr>
              <w:t>EPS in Rs</w:t>
            </w:r>
          </w:p>
        </w:tc>
      </w:tr>
      <w:tr>
        <w:tc>
          <w:tcPr>
            <w:tcW w:type="dxa" w:w="8640"/>
          </w:tcPr>
          <w:p>
            <w:pPr>
              <w:spacing w:before="40" w:after="40"/>
            </w:pPr>
            <w:r>
              <w:rPr>
                <w:rFonts w:ascii="Calibri" w:hAnsi="Calibri"/>
                <w:b/>
                <w:sz w:val="18"/>
              </w:rPr>
              <w:t>Dividend Payout %</w:t>
            </w:r>
          </w:p>
        </w:tc>
      </w:tr>
    </w:tbl>
    <w:p/>
    <w:p>
      <w:pPr>
        <w:pStyle w:val="Heading2"/>
      </w:pPr>
      <w:r>
        <w:rPr>
          <w:rFonts w:ascii="Calibri" w:hAnsi="Calibri"/>
          <w:color w:val="1F5F8B"/>
          <w:sz w:val="26"/>
        </w:rPr>
        <w:t>3.2 Consolidated Balance Sheet (Rs. in Crores)</w:t>
      </w:r>
    </w:p>
    <w:p>
      <w:pPr>
        <w:spacing w:after="80"/>
      </w:pPr>
      <w:r>
        <w:rPr>
          <w:rFonts w:ascii="Calibri" w:hAnsi="Calibri"/>
          <w:color w:val="333333"/>
          <w:sz w:val="20"/>
        </w:rPr>
        <w:t>(Source: Screener.in)</w:t>
      </w:r>
    </w:p>
    <w:p>
      <w:pPr>
        <w:spacing w:after="80"/>
      </w:pPr>
      <w:r>
        <w:rPr>
          <w:rFonts w:ascii="Calibri" w:hAnsi="Calibri"/>
          <w:color w:val="333333"/>
          <w:sz w:val="20"/>
        </w:rPr>
        <w:t>|  |</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1F5F8B"/>
          </w:tcPr>
          <w:p>
            <w:pPr>
              <w:spacing w:before="40" w:after="40"/>
            </w:pPr>
            <w:r>
              <w:rPr>
                <w:rFonts w:ascii="Calibri" w:hAnsi="Calibri"/>
                <w:b/>
                <w:color w:val="FFFFFF"/>
                <w:sz w:val="18"/>
              </w:rPr>
              <w:t>Equity Capital</w:t>
            </w:r>
          </w:p>
        </w:tc>
      </w:tr>
      <w:tr>
        <w:tc>
          <w:tcPr>
            <w:tcW w:type="dxa" w:w="8640"/>
          </w:tcPr>
          <w:p>
            <w:pPr>
              <w:spacing w:before="40" w:after="40"/>
            </w:pPr>
            <w:r>
              <w:rPr>
                <w:rFonts w:ascii="Calibri" w:hAnsi="Calibri"/>
                <w:b/>
                <w:sz w:val="18"/>
              </w:rPr>
              <w:t>Reserves</w:t>
            </w:r>
          </w:p>
        </w:tc>
      </w:tr>
      <w:tr>
        <w:tc>
          <w:tcPr>
            <w:tcW w:type="dxa" w:w="8640"/>
            <w:shd w:fill="E8F0FE"/>
          </w:tcPr>
          <w:p>
            <w:pPr>
              <w:spacing w:before="40" w:after="40"/>
            </w:pPr>
            <w:r>
              <w:rPr>
                <w:rFonts w:ascii="Calibri" w:hAnsi="Calibri"/>
                <w:b/>
                <w:sz w:val="18"/>
              </w:rPr>
              <w:t>Borrowings+</w:t>
            </w:r>
          </w:p>
        </w:tc>
      </w:tr>
      <w:tr>
        <w:tc>
          <w:tcPr>
            <w:tcW w:type="dxa" w:w="8640"/>
          </w:tcPr>
          <w:p>
            <w:pPr>
              <w:spacing w:before="40" w:after="40"/>
            </w:pPr>
            <w:r>
              <w:rPr>
                <w:rFonts w:ascii="Calibri" w:hAnsi="Calibri"/>
                <w:b/>
                <w:sz w:val="18"/>
              </w:rPr>
              <w:t>Other Liabilities+</w:t>
            </w:r>
          </w:p>
        </w:tc>
      </w:tr>
      <w:tr>
        <w:tc>
          <w:tcPr>
            <w:tcW w:type="dxa" w:w="8640"/>
            <w:shd w:fill="E8F0FE"/>
          </w:tcPr>
          <w:p>
            <w:pPr>
              <w:spacing w:before="40" w:after="40"/>
            </w:pPr>
            <w:r>
              <w:rPr>
                <w:rFonts w:ascii="Calibri" w:hAnsi="Calibri"/>
                <w:b/>
                <w:sz w:val="18"/>
              </w:rPr>
              <w:t>Total Liabilities</w:t>
            </w:r>
          </w:p>
        </w:tc>
      </w:tr>
      <w:tr>
        <w:tc>
          <w:tcPr>
            <w:tcW w:type="dxa" w:w="8640"/>
          </w:tcPr>
          <w:p>
            <w:pPr>
              <w:spacing w:before="40" w:after="40"/>
            </w:pPr>
            <w:r>
              <w:rPr>
                <w:rFonts w:ascii="Calibri" w:hAnsi="Calibri"/>
                <w:b/>
                <w:sz w:val="18"/>
              </w:rPr>
              <w:t>Fixed Assets+</w:t>
            </w:r>
          </w:p>
        </w:tc>
      </w:tr>
      <w:tr>
        <w:tc>
          <w:tcPr>
            <w:tcW w:type="dxa" w:w="8640"/>
            <w:shd w:fill="E8F0FE"/>
          </w:tcPr>
          <w:p>
            <w:pPr>
              <w:spacing w:before="40" w:after="40"/>
            </w:pPr>
            <w:r>
              <w:rPr>
                <w:rFonts w:ascii="Calibri" w:hAnsi="Calibri"/>
                <w:b/>
                <w:sz w:val="18"/>
              </w:rPr>
              <w:t>CWIP</w:t>
            </w:r>
          </w:p>
        </w:tc>
      </w:tr>
      <w:tr>
        <w:tc>
          <w:tcPr>
            <w:tcW w:type="dxa" w:w="8640"/>
          </w:tcPr>
          <w:p>
            <w:pPr>
              <w:spacing w:before="40" w:after="40"/>
            </w:pPr>
            <w:r>
              <w:rPr>
                <w:rFonts w:ascii="Calibri" w:hAnsi="Calibri"/>
                <w:b/>
                <w:sz w:val="18"/>
              </w:rPr>
              <w:t>Investments</w:t>
            </w:r>
          </w:p>
        </w:tc>
      </w:tr>
      <w:tr>
        <w:tc>
          <w:tcPr>
            <w:tcW w:type="dxa" w:w="8640"/>
            <w:shd w:fill="E8F0FE"/>
          </w:tcPr>
          <w:p>
            <w:pPr>
              <w:spacing w:before="40" w:after="40"/>
            </w:pPr>
            <w:r>
              <w:rPr>
                <w:rFonts w:ascii="Calibri" w:hAnsi="Calibri"/>
                <w:b/>
                <w:sz w:val="18"/>
              </w:rPr>
              <w:t>Other Assets+</w:t>
            </w:r>
          </w:p>
        </w:tc>
      </w:tr>
      <w:tr>
        <w:tc>
          <w:tcPr>
            <w:tcW w:type="dxa" w:w="8640"/>
          </w:tcPr>
          <w:p>
            <w:pPr>
              <w:spacing w:before="40" w:after="40"/>
            </w:pPr>
            <w:r>
              <w:rPr>
                <w:rFonts w:ascii="Calibri" w:hAnsi="Calibri"/>
                <w:b/>
                <w:sz w:val="18"/>
              </w:rPr>
              <w:t>Total Assets</w:t>
            </w:r>
          </w:p>
        </w:tc>
      </w:tr>
    </w:tbl>
    <w:p/>
    <w:p>
      <w:pPr>
        <w:pStyle w:val="Heading2"/>
      </w:pPr>
      <w:r>
        <w:rPr>
          <w:rFonts w:ascii="Calibri" w:hAnsi="Calibri"/>
          <w:color w:val="1F5F8B"/>
          <w:sz w:val="26"/>
        </w:rPr>
        <w:t>3.3 Consolidated Cash Flow Statement (Rs. in Crores)</w:t>
      </w:r>
    </w:p>
    <w:p>
      <w:pPr>
        <w:spacing w:after="80"/>
      </w:pPr>
      <w:r>
        <w:rPr>
          <w:rFonts w:ascii="Calibri" w:hAnsi="Calibri"/>
          <w:color w:val="333333"/>
          <w:sz w:val="20"/>
        </w:rPr>
        <w:t>(Source: Screener.in)</w:t>
      </w:r>
    </w:p>
    <w:p>
      <w:pPr>
        <w:spacing w:after="80"/>
      </w:pPr>
      <w:r>
        <w:rPr>
          <w:rFonts w:ascii="Calibri" w:hAnsi="Calibri"/>
          <w:color w:val="333333"/>
          <w:sz w:val="20"/>
        </w:rPr>
        <w:t>|  |</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1F5F8B"/>
          </w:tcPr>
          <w:p>
            <w:pPr>
              <w:spacing w:before="40" w:after="40"/>
            </w:pPr>
            <w:r>
              <w:rPr>
                <w:rFonts w:ascii="Calibri" w:hAnsi="Calibri"/>
                <w:b/>
                <w:color w:val="FFFFFF"/>
                <w:sz w:val="18"/>
              </w:rPr>
              <w:t>Cash from Operating Activity+</w:t>
            </w:r>
          </w:p>
        </w:tc>
      </w:tr>
      <w:tr>
        <w:tc>
          <w:tcPr>
            <w:tcW w:type="dxa" w:w="8640"/>
          </w:tcPr>
          <w:p>
            <w:pPr>
              <w:spacing w:before="40" w:after="40"/>
            </w:pPr>
            <w:r>
              <w:rPr>
                <w:rFonts w:ascii="Calibri" w:hAnsi="Calibri"/>
                <w:b/>
                <w:sz w:val="18"/>
              </w:rPr>
              <w:t>Cash from Investing Activity+</w:t>
            </w:r>
          </w:p>
        </w:tc>
      </w:tr>
      <w:tr>
        <w:tc>
          <w:tcPr>
            <w:tcW w:type="dxa" w:w="8640"/>
            <w:shd w:fill="E8F0FE"/>
          </w:tcPr>
          <w:p>
            <w:pPr>
              <w:spacing w:before="40" w:after="40"/>
            </w:pPr>
            <w:r>
              <w:rPr>
                <w:rFonts w:ascii="Calibri" w:hAnsi="Calibri"/>
                <w:b/>
                <w:sz w:val="18"/>
              </w:rPr>
              <w:t>Cash from Financing Activity+</w:t>
            </w:r>
          </w:p>
        </w:tc>
      </w:tr>
      <w:tr>
        <w:tc>
          <w:tcPr>
            <w:tcW w:type="dxa" w:w="8640"/>
          </w:tcPr>
          <w:p>
            <w:pPr>
              <w:spacing w:before="40" w:after="40"/>
            </w:pPr>
            <w:r>
              <w:rPr>
                <w:rFonts w:ascii="Calibri" w:hAnsi="Calibri"/>
                <w:b/>
                <w:sz w:val="18"/>
              </w:rPr>
              <w:t>Net Cash Flow</w:t>
            </w:r>
          </w:p>
        </w:tc>
      </w:tr>
      <w:tr>
        <w:tc>
          <w:tcPr>
            <w:tcW w:type="dxa" w:w="8640"/>
            <w:shd w:fill="E8F0FE"/>
          </w:tcPr>
          <w:p>
            <w:pPr>
              <w:spacing w:before="40" w:after="40"/>
            </w:pPr>
            <w:r>
              <w:rPr>
                <w:rFonts w:ascii="Calibri" w:hAnsi="Calibri"/>
                <w:b/>
                <w:sz w:val="18"/>
              </w:rPr>
              <w:t>Free Cash Flow</w:t>
            </w:r>
          </w:p>
        </w:tc>
      </w:tr>
      <w:tr>
        <w:tc>
          <w:tcPr>
            <w:tcW w:type="dxa" w:w="8640"/>
          </w:tcPr>
          <w:p>
            <w:pPr>
              <w:spacing w:before="40" w:after="40"/>
            </w:pPr>
            <w:r>
              <w:rPr>
                <w:rFonts w:ascii="Calibri" w:hAnsi="Calibri"/>
                <w:b/>
                <w:sz w:val="18"/>
              </w:rPr>
              <w:t>CFO/OP</w:t>
            </w:r>
          </w:p>
        </w:tc>
      </w:tr>
    </w:tbl>
    <w:p/>
    <w:p>
      <w:pPr>
        <w:pStyle w:val="Heading1"/>
      </w:pPr>
      <w:r>
        <w:rPr>
          <w:rFonts w:ascii="Calibri" w:hAnsi="Calibri"/>
          <w:color w:val="1F5F8B"/>
          <w:sz w:val="32"/>
        </w:rPr>
        <w:t>4. Corporate Governance Assessment</w:t>
      </w:r>
    </w:p>
    <w:p>
      <w:pPr>
        <w:spacing w:before="0" w:after="120"/>
      </w:pPr>
    </w:p>
    <w:p>
      <w:pPr>
        <w:pStyle w:val="Heading2"/>
      </w:pPr>
      <w:r>
        <w:rPr>
          <w:rFonts w:ascii="Calibri" w:hAnsi="Calibri"/>
          <w:color w:val="1F5F8B"/>
          <w:sz w:val="26"/>
        </w:rPr>
        <w:t>4.1 Board Composition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Name</w:t>
            </w:r>
          </w:p>
        </w:tc>
        <w:tc>
          <w:tcPr>
            <w:tcW w:type="dxa" w:w="2880"/>
            <w:shd w:fill="1F5F8B"/>
          </w:tcPr>
          <w:p>
            <w:pPr>
              <w:spacing w:before="40" w:after="40"/>
            </w:pPr>
            <w:r>
              <w:rPr>
                <w:rFonts w:ascii="Calibri" w:hAnsi="Calibri"/>
                <w:b/>
                <w:color w:val="FFFFFF"/>
                <w:sz w:val="18"/>
              </w:rPr>
              <w:t>Designation</w:t>
            </w:r>
          </w:p>
        </w:tc>
        <w:tc>
          <w:tcPr>
            <w:tcW w:type="dxa" w:w="2880"/>
            <w:shd w:fill="1F5F8B"/>
          </w:tcPr>
          <w:p>
            <w:pPr>
              <w:spacing w:before="40" w:after="40"/>
            </w:pPr>
            <w:r>
              <w:rPr>
                <w:rFonts w:ascii="Calibri" w:hAnsi="Calibri"/>
                <w:b/>
                <w:color w:val="FFFFFF"/>
                <w:sz w:val="18"/>
              </w:rPr>
              <w:t>Category</w:t>
            </w:r>
          </w:p>
        </w:tc>
      </w:tr>
      <w:tr>
        <w:tc>
          <w:tcPr>
            <w:tcW w:type="dxa" w:w="2880"/>
          </w:tcPr>
          <w:p>
            <w:pPr>
              <w:spacing w:before="40" w:after="40"/>
            </w:pPr>
            <w:r>
              <w:rPr>
                <w:rFonts w:ascii="Calibri" w:hAnsi="Calibri"/>
                <w:b/>
                <w:sz w:val="18"/>
              </w:rPr>
              <w:t>Sri K. Karunakar Rao</w:t>
            </w:r>
          </w:p>
        </w:tc>
        <w:tc>
          <w:tcPr>
            <w:tcW w:type="dxa" w:w="2880"/>
          </w:tcPr>
          <w:p>
            <w:pPr>
              <w:spacing w:before="40" w:after="40"/>
            </w:pPr>
            <w:r>
              <w:rPr>
                <w:rFonts w:ascii="Calibri" w:hAnsi="Calibri"/>
                <w:sz w:val="18"/>
              </w:rPr>
              <w:t>Executive Director (Fin. &amp; Comml.,) &amp; CEO</w:t>
            </w:r>
          </w:p>
        </w:tc>
        <w:tc>
          <w:tcPr>
            <w:tcW w:type="dxa" w:w="2880"/>
          </w:tcPr>
          <w:p>
            <w:pPr>
              <w:spacing w:before="40" w:after="40"/>
            </w:pPr>
            <w:r>
              <w:rPr>
                <w:rFonts w:ascii="Calibri" w:hAnsi="Calibri"/>
                <w:sz w:val="18"/>
              </w:rPr>
              <w:t>Executive Director</w:t>
            </w:r>
          </w:p>
        </w:tc>
      </w:tr>
      <w:tr>
        <w:tc>
          <w:tcPr>
            <w:tcW w:type="dxa" w:w="2880"/>
            <w:shd w:fill="E8F0FE"/>
          </w:tcPr>
          <w:p>
            <w:pPr>
              <w:spacing w:before="40" w:after="40"/>
            </w:pPr>
            <w:r>
              <w:rPr>
                <w:rFonts w:ascii="Calibri" w:hAnsi="Calibri"/>
                <w:b/>
                <w:sz w:val="18"/>
              </w:rPr>
              <w:t>Sri C. Srinivasa Babu</w:t>
            </w:r>
          </w:p>
        </w:tc>
        <w:tc>
          <w:tcPr>
            <w:tcW w:type="dxa" w:w="2880"/>
            <w:shd w:fill="E8F0FE"/>
          </w:tcPr>
          <w:p>
            <w:pPr>
              <w:spacing w:before="40" w:after="40"/>
            </w:pPr>
            <w:r>
              <w:rPr>
                <w:rFonts w:ascii="Calibri" w:hAnsi="Calibri"/>
                <w:sz w:val="18"/>
              </w:rPr>
              <w:t>Executive Director (Technical)</w:t>
            </w:r>
          </w:p>
        </w:tc>
        <w:tc>
          <w:tcPr>
            <w:tcW w:type="dxa" w:w="2880"/>
            <w:shd w:fill="E8F0FE"/>
          </w:tcPr>
          <w:p>
            <w:pPr>
              <w:spacing w:before="40" w:after="40"/>
            </w:pPr>
            <w:r>
              <w:rPr>
                <w:rFonts w:ascii="Calibri" w:hAnsi="Calibri"/>
                <w:sz w:val="18"/>
              </w:rPr>
              <w:t>Executive Director</w:t>
            </w:r>
          </w:p>
        </w:tc>
      </w:tr>
      <w:tr>
        <w:tc>
          <w:tcPr>
            <w:tcW w:type="dxa" w:w="2880"/>
          </w:tcPr>
          <w:p>
            <w:pPr>
              <w:spacing w:before="40" w:after="40"/>
            </w:pPr>
            <w:r>
              <w:rPr>
                <w:rFonts w:ascii="Calibri" w:hAnsi="Calibri"/>
                <w:b/>
                <w:sz w:val="18"/>
              </w:rPr>
              <w:t>Ms M. Sridevi</w:t>
            </w:r>
          </w:p>
        </w:tc>
        <w:tc>
          <w:tcPr>
            <w:tcW w:type="dxa" w:w="2880"/>
          </w:tcPr>
          <w:p>
            <w:pPr>
              <w:spacing w:before="40" w:after="40"/>
            </w:pPr>
            <w:r>
              <w:rPr>
                <w:rFonts w:ascii="Calibri" w:hAnsi="Calibri"/>
                <w:sz w:val="18"/>
              </w:rPr>
              <w:t>Director</w:t>
            </w:r>
          </w:p>
        </w:tc>
        <w:tc>
          <w:tcPr>
            <w:tcW w:type="dxa" w:w="2880"/>
          </w:tcPr>
          <w:p>
            <w:pPr>
              <w:spacing w:before="40" w:after="40"/>
            </w:pPr>
            <w:r>
              <w:rPr>
                <w:rFonts w:ascii="Calibri" w:hAnsi="Calibri"/>
                <w:sz w:val="18"/>
              </w:rPr>
              <w:t>Independent Director</w:t>
            </w:r>
          </w:p>
        </w:tc>
      </w:tr>
      <w:tr>
        <w:tc>
          <w:tcPr>
            <w:tcW w:type="dxa" w:w="2880"/>
            <w:shd w:fill="E8F0FE"/>
          </w:tcPr>
          <w:p>
            <w:pPr>
              <w:spacing w:before="40" w:after="40"/>
            </w:pPr>
            <w:r>
              <w:rPr>
                <w:rFonts w:ascii="Calibri" w:hAnsi="Calibri"/>
                <w:b/>
                <w:sz w:val="18"/>
              </w:rPr>
              <w:t>Ms S. Hima Bindu</w:t>
            </w:r>
          </w:p>
        </w:tc>
        <w:tc>
          <w:tcPr>
            <w:tcW w:type="dxa" w:w="2880"/>
            <w:shd w:fill="E8F0FE"/>
          </w:tcPr>
          <w:p>
            <w:pPr>
              <w:spacing w:before="40" w:after="40"/>
            </w:pPr>
            <w:r>
              <w:rPr>
                <w:rFonts w:ascii="Calibri" w:hAnsi="Calibri"/>
                <w:sz w:val="18"/>
              </w:rPr>
              <w:t>Director</w:t>
            </w:r>
          </w:p>
        </w:tc>
        <w:tc>
          <w:tcPr>
            <w:tcW w:type="dxa" w:w="2880"/>
            <w:shd w:fill="E8F0FE"/>
          </w:tcPr>
          <w:p>
            <w:pPr>
              <w:spacing w:before="40" w:after="40"/>
            </w:pPr>
            <w:r>
              <w:rPr>
                <w:rFonts w:ascii="Calibri" w:hAnsi="Calibri"/>
                <w:sz w:val="18"/>
              </w:rPr>
              <w:t>Independent Director</w:t>
            </w:r>
          </w:p>
        </w:tc>
      </w:tr>
      <w:tr>
        <w:tc>
          <w:tcPr>
            <w:tcW w:type="dxa" w:w="2880"/>
          </w:tcPr>
          <w:p>
            <w:pPr>
              <w:spacing w:before="40" w:after="40"/>
            </w:pPr>
            <w:r>
              <w:rPr>
                <w:rFonts w:ascii="Calibri" w:hAnsi="Calibri"/>
                <w:b/>
                <w:sz w:val="18"/>
              </w:rPr>
              <w:t>Ms Geeta Ramesh Serwani</w:t>
            </w:r>
          </w:p>
        </w:tc>
        <w:tc>
          <w:tcPr>
            <w:tcW w:type="dxa" w:w="2880"/>
          </w:tcPr>
          <w:p>
            <w:pPr>
              <w:spacing w:before="40" w:after="40"/>
            </w:pPr>
            <w:r>
              <w:rPr>
                <w:rFonts w:ascii="Calibri" w:hAnsi="Calibri"/>
                <w:sz w:val="18"/>
              </w:rPr>
              <w:t>Director</w:t>
            </w:r>
          </w:p>
        </w:tc>
        <w:tc>
          <w:tcPr>
            <w:tcW w:type="dxa" w:w="2880"/>
          </w:tcPr>
          <w:p>
            <w:pPr>
              <w:spacing w:before="40" w:after="40"/>
            </w:pPr>
            <w:r>
              <w:rPr>
                <w:rFonts w:ascii="Calibri" w:hAnsi="Calibri"/>
                <w:sz w:val="18"/>
              </w:rPr>
              <w:t>Independent Director</w:t>
            </w:r>
          </w:p>
        </w:tc>
      </w:tr>
      <w:tr>
        <w:tc>
          <w:tcPr>
            <w:tcW w:type="dxa" w:w="2880"/>
            <w:shd w:fill="E8F0FE"/>
          </w:tcPr>
          <w:p>
            <w:pPr>
              <w:spacing w:before="40" w:after="40"/>
            </w:pPr>
            <w:r>
              <w:rPr>
                <w:rFonts w:ascii="Calibri" w:hAnsi="Calibri"/>
                <w:b/>
                <w:sz w:val="18"/>
              </w:rPr>
              <w:t>Sri E. Ramaiah</w:t>
            </w:r>
          </w:p>
        </w:tc>
        <w:tc>
          <w:tcPr>
            <w:tcW w:type="dxa" w:w="2880"/>
            <w:shd w:fill="E8F0FE"/>
          </w:tcPr>
          <w:p>
            <w:pPr>
              <w:spacing w:before="40" w:after="40"/>
            </w:pPr>
            <w:r>
              <w:rPr>
                <w:rFonts w:ascii="Calibri" w:hAnsi="Calibri"/>
                <w:sz w:val="18"/>
              </w:rPr>
              <w:t>Director (Mechanical)</w:t>
            </w:r>
          </w:p>
        </w:tc>
        <w:tc>
          <w:tcPr>
            <w:tcW w:type="dxa" w:w="2880"/>
            <w:shd w:fill="E8F0FE"/>
          </w:tcPr>
          <w:p>
            <w:pPr>
              <w:spacing w:before="40" w:after="40"/>
            </w:pPr>
            <w:r>
              <w:rPr>
                <w:rFonts w:ascii="Calibri" w:hAnsi="Calibri"/>
                <w:sz w:val="18"/>
              </w:rPr>
              <w:t>Executive Director</w:t>
            </w:r>
          </w:p>
        </w:tc>
      </w:tr>
      <w:tr>
        <w:tc>
          <w:tcPr>
            <w:tcW w:type="dxa" w:w="2880"/>
          </w:tcPr>
          <w:p>
            <w:pPr>
              <w:spacing w:before="40" w:after="40"/>
            </w:pPr>
            <w:r>
              <w:rPr>
                <w:rFonts w:ascii="Calibri" w:hAnsi="Calibri"/>
                <w:b/>
                <w:sz w:val="18"/>
              </w:rPr>
              <w:t>Sri P. Raghavendra Reddy</w:t>
            </w:r>
          </w:p>
        </w:tc>
        <w:tc>
          <w:tcPr>
            <w:tcW w:type="dxa" w:w="2880"/>
          </w:tcPr>
          <w:p>
            <w:pPr>
              <w:spacing w:before="40" w:after="40"/>
            </w:pPr>
            <w:r>
              <w:rPr>
                <w:rFonts w:ascii="Calibri" w:hAnsi="Calibri"/>
                <w:sz w:val="18"/>
              </w:rPr>
              <w:t>Director (Quality Assurance)</w:t>
            </w:r>
          </w:p>
        </w:tc>
        <w:tc>
          <w:tcPr>
            <w:tcW w:type="dxa" w:w="2880"/>
          </w:tcPr>
          <w:p>
            <w:pPr>
              <w:spacing w:before="40" w:after="40"/>
            </w:pPr>
            <w:r>
              <w:rPr>
                <w:rFonts w:ascii="Calibri" w:hAnsi="Calibri"/>
                <w:sz w:val="18"/>
              </w:rPr>
              <w:t>Executive Director</w:t>
            </w:r>
          </w:p>
        </w:tc>
      </w:tr>
      <w:tr>
        <w:tc>
          <w:tcPr>
            <w:tcW w:type="dxa" w:w="2880"/>
            <w:shd w:fill="E8F0FE"/>
          </w:tcPr>
          <w:p>
            <w:pPr>
              <w:spacing w:before="40" w:after="40"/>
            </w:pPr>
            <w:r>
              <w:rPr>
                <w:rFonts w:ascii="Calibri" w:hAnsi="Calibri"/>
                <w:b/>
                <w:sz w:val="18"/>
              </w:rPr>
              <w:t>Dr. M. Asha Reddy</w:t>
            </w:r>
          </w:p>
        </w:tc>
        <w:tc>
          <w:tcPr>
            <w:tcW w:type="dxa" w:w="2880"/>
            <w:shd w:fill="E8F0FE"/>
          </w:tcPr>
          <w:p>
            <w:pPr>
              <w:spacing w:before="40" w:after="40"/>
            </w:pPr>
            <w:r>
              <w:rPr>
                <w:rFonts w:ascii="Calibri" w:hAnsi="Calibri"/>
                <w:sz w:val="18"/>
              </w:rPr>
              <w:t>Independent Director</w:t>
            </w:r>
          </w:p>
        </w:tc>
        <w:tc>
          <w:tcPr>
            <w:tcW w:type="dxa" w:w="2880"/>
            <w:shd w:fill="E8F0FE"/>
          </w:tcPr>
          <w:p>
            <w:pPr>
              <w:spacing w:before="40" w:after="40"/>
            </w:pPr>
            <w:r>
              <w:rPr>
                <w:rFonts w:ascii="Calibri" w:hAnsi="Calibri"/>
                <w:sz w:val="18"/>
              </w:rPr>
              <w:t>Independent Director</w:t>
            </w:r>
          </w:p>
        </w:tc>
      </w:tr>
    </w:tbl>
    <w:p/>
    <w:p>
      <w:r>
        <w:rPr>
          <w:rFonts w:ascii="Calibri" w:hAnsi="Calibri"/>
          <w:i/>
          <w:color w:val="666666"/>
          <w:sz w:val="18"/>
        </w:rPr>
        <w:t>Note: Board composition as per the FY24 Annual Report, with recent appointments noted in Section 2.</w:t>
      </w:r>
    </w:p>
    <w:p>
      <w:pPr>
        <w:pStyle w:val="Heading2"/>
      </w:pPr>
      <w:r>
        <w:rPr>
          <w:rFonts w:ascii="Calibri" w:hAnsi="Calibri"/>
          <w:color w:val="1F5F8B"/>
          <w:sz w:val="26"/>
        </w:rPr>
        <w:t>4.2 Governance Strengths</w:t>
      </w:r>
    </w:p>
    <w:p>
      <w:pPr>
        <w:pStyle w:val="ListBullet"/>
        <w:spacing w:after="80"/>
      </w:pPr>
      <w:r>
        <w:rPr>
          <w:rFonts w:ascii="Calibri" w:hAnsi="Calibri"/>
          <w:color w:val="333333"/>
          <w:sz w:val="20"/>
        </w:rPr>
        <w:t xml:space="preserve">  </w:t>
      </w:r>
      <w:r>
        <w:rPr>
          <w:rFonts w:ascii="Calibri" w:hAnsi="Calibri"/>
          <w:b/>
          <w:color w:val="333333"/>
          <w:sz w:val="20"/>
        </w:rPr>
        <w:t>Independent Board Composition:</w:t>
      </w:r>
      <w:r>
        <w:rPr>
          <w:rFonts w:ascii="Calibri" w:hAnsi="Calibri"/>
          <w:color w:val="333333"/>
          <w:sz w:val="20"/>
        </w:rPr>
        <w:t xml:space="preserve"> The Board of Directors comprises a majority of independent directors, ensuring a balance of oversight and strategic direction.</w:t>
      </w:r>
    </w:p>
    <w:p>
      <w:pPr>
        <w:pStyle w:val="ListBullet"/>
        <w:spacing w:after="80"/>
      </w:pPr>
      <w:r>
        <w:rPr>
          <w:rFonts w:ascii="Calibri" w:hAnsi="Calibri"/>
          <w:color w:val="333333"/>
          <w:sz w:val="20"/>
        </w:rPr>
        <w:t xml:space="preserve">  </w:t>
      </w:r>
      <w:r>
        <w:rPr>
          <w:rFonts w:ascii="Calibri" w:hAnsi="Calibri"/>
          <w:b/>
          <w:color w:val="333333"/>
          <w:sz w:val="20"/>
        </w:rPr>
        <w:t>Audit Committee Effectiveness:</w:t>
      </w:r>
      <w:r>
        <w:rPr>
          <w:rFonts w:ascii="Calibri" w:hAnsi="Calibri"/>
          <w:color w:val="333333"/>
          <w:sz w:val="20"/>
        </w:rPr>
        <w:t xml:space="preserve"> The Audit Committee, headed by an independent director and with a majority of independent members, actively reviews financial reporting, internal controls, and auditor appointments, demonstrating a commitment to financial integrity.</w:t>
      </w:r>
    </w:p>
    <w:p>
      <w:pPr>
        <w:pStyle w:val="ListBullet"/>
        <w:spacing w:after="80"/>
      </w:pPr>
      <w:r>
        <w:rPr>
          <w:rFonts w:ascii="Calibri" w:hAnsi="Calibri"/>
          <w:color w:val="333333"/>
          <w:sz w:val="20"/>
        </w:rPr>
        <w:t xml:space="preserve">  </w:t>
      </w:r>
      <w:r>
        <w:rPr>
          <w:rFonts w:ascii="Calibri" w:hAnsi="Calibri"/>
          <w:b/>
          <w:color w:val="333333"/>
          <w:sz w:val="20"/>
        </w:rPr>
        <w:t>Robust Policy Framework:</w:t>
      </w:r>
      <w:r>
        <w:rPr>
          <w:rFonts w:ascii="Calibri" w:hAnsi="Calibri"/>
          <w:color w:val="333333"/>
          <w:sz w:val="20"/>
        </w:rPr>
        <w:t xml:space="preserve"> The company has adopted comprehensive policies covering related party transactions, insider trading, fair disclosure, and corporate social responsibility, reflecting a commitment to ethical and transparent governance.</w:t>
      </w:r>
    </w:p>
    <w:p>
      <w:pPr>
        <w:pStyle w:val="ListBullet"/>
        <w:spacing w:after="80"/>
      </w:pPr>
      <w:r>
        <w:rPr>
          <w:rFonts w:ascii="Calibri" w:hAnsi="Calibri"/>
          <w:color w:val="333333"/>
          <w:sz w:val="20"/>
        </w:rPr>
        <w:t xml:space="preserve">  </w:t>
      </w:r>
      <w:r>
        <w:rPr>
          <w:rFonts w:ascii="Calibri" w:hAnsi="Calibri"/>
          <w:b/>
          <w:color w:val="333333"/>
          <w:sz w:val="20"/>
        </w:rPr>
        <w:t>Secretarial Audit Compliance:</w:t>
      </w:r>
      <w:r>
        <w:rPr>
          <w:rFonts w:ascii="Calibri" w:hAnsi="Calibri"/>
          <w:color w:val="333333"/>
          <w:sz w:val="20"/>
        </w:rPr>
        <w:t xml:space="preserve"> The company receives regular secretarial audit reports, confirming compliance with applicable laws and regulations, with no adverse remarks noted.</w:t>
      </w:r>
    </w:p>
    <w:p>
      <w:pPr>
        <w:pStyle w:val="ListBullet"/>
        <w:spacing w:after="80"/>
      </w:pPr>
      <w:r>
        <w:rPr>
          <w:rFonts w:ascii="Calibri" w:hAnsi="Calibri"/>
          <w:color w:val="333333"/>
          <w:sz w:val="20"/>
        </w:rPr>
        <w:t xml:space="preserve">  </w:t>
      </w:r>
      <w:r>
        <w:rPr>
          <w:rFonts w:ascii="Calibri" w:hAnsi="Calibri"/>
          <w:b/>
          <w:color w:val="333333"/>
          <w:sz w:val="20"/>
        </w:rPr>
        <w:t>Vigil Mechanism:</w:t>
      </w:r>
      <w:r>
        <w:rPr>
          <w:rFonts w:ascii="Calibri" w:hAnsi="Calibri"/>
          <w:color w:val="333333"/>
          <w:sz w:val="20"/>
        </w:rPr>
        <w:t xml:space="preserve"> A well-defined vigil mechanism and whistleblower policy are in place, encouraging ethical conduct and providing a channel for reporting concerns.</w:t>
      </w:r>
    </w:p>
    <w:p>
      <w:pPr>
        <w:pStyle w:val="ListBullet"/>
        <w:spacing w:after="80"/>
      </w:pPr>
      <w:r>
        <w:rPr>
          <w:rFonts w:ascii="Calibri" w:hAnsi="Calibri"/>
          <w:color w:val="333333"/>
          <w:sz w:val="20"/>
        </w:rPr>
        <w:t xml:space="preserve">  </w:t>
      </w:r>
      <w:r>
        <w:rPr>
          <w:rFonts w:ascii="Calibri" w:hAnsi="Calibri"/>
          <w:b/>
          <w:color w:val="333333"/>
          <w:sz w:val="20"/>
        </w:rPr>
        <w:t>Internal Financial Controls:</w:t>
      </w:r>
      <w:r>
        <w:rPr>
          <w:rFonts w:ascii="Calibri" w:hAnsi="Calibri"/>
          <w:color w:val="333333"/>
          <w:sz w:val="20"/>
        </w:rPr>
        <w:t xml:space="preserve"> The company has established adequate internal financial controls, which have been deemed effective by the statutory auditors.</w:t>
      </w:r>
    </w:p>
    <w:p>
      <w:pPr>
        <w:pStyle w:val="ListBullet"/>
        <w:spacing w:after="80"/>
      </w:pPr>
      <w:r>
        <w:rPr>
          <w:rFonts w:ascii="Calibri" w:hAnsi="Calibri"/>
          <w:color w:val="333333"/>
          <w:sz w:val="20"/>
        </w:rPr>
        <w:t xml:space="preserve">  </w:t>
      </w:r>
      <w:r>
        <w:rPr>
          <w:rFonts w:ascii="Calibri" w:hAnsi="Calibri"/>
          <w:b/>
          <w:color w:val="333333"/>
          <w:sz w:val="20"/>
        </w:rPr>
        <w:t>BRSR Compliance:</w:t>
      </w:r>
      <w:r>
        <w:rPr>
          <w:rFonts w:ascii="Calibri" w:hAnsi="Calibri"/>
          <w:color w:val="333333"/>
          <w:sz w:val="20"/>
        </w:rPr>
        <w:t xml:space="preserve"> The company is actively engaged in Business Responsibility and Sustainability Reporting (BRSR), demonstrating a commitment to ESG principles.</w:t>
      </w:r>
    </w:p>
    <w:p>
      <w:pPr>
        <w:pStyle w:val="ListBullet"/>
        <w:spacing w:after="80"/>
      </w:pPr>
      <w:r>
        <w:rPr>
          <w:rFonts w:ascii="Calibri" w:hAnsi="Calibri"/>
          <w:color w:val="333333"/>
          <w:sz w:val="20"/>
        </w:rPr>
        <w:t xml:space="preserve">  </w:t>
      </w:r>
      <w:r>
        <w:rPr>
          <w:rFonts w:ascii="Calibri" w:hAnsi="Calibri"/>
          <w:b/>
          <w:color w:val="333333"/>
          <w:sz w:val="20"/>
        </w:rPr>
        <w:t>Promoter Share Pledge Release:</w:t>
      </w:r>
      <w:r>
        <w:rPr>
          <w:rFonts w:ascii="Calibri" w:hAnsi="Calibri"/>
          <w:color w:val="333333"/>
          <w:sz w:val="20"/>
        </w:rPr>
        <w:t xml:space="preserve"> The recent release of promoter share pledges indicates improved financial health and confidence among the promoter group.</w:t>
      </w:r>
    </w:p>
    <w:p>
      <w:pPr>
        <w:pStyle w:val="Heading2"/>
      </w:pPr>
      <w:r>
        <w:rPr>
          <w:rFonts w:ascii="Calibri" w:hAnsi="Calibri"/>
          <w:color w:val="1F5F8B"/>
          <w:sz w:val="26"/>
        </w:rPr>
        <w:t>4.3 Governance Concerns / Watchpoints</w:t>
      </w:r>
    </w:p>
    <w:p>
      <w:pPr>
        <w:pStyle w:val="ListBullet"/>
        <w:spacing w:after="80"/>
      </w:pPr>
      <w:r>
        <w:rPr>
          <w:rFonts w:ascii="Calibri" w:hAnsi="Calibri"/>
          <w:color w:val="333333"/>
          <w:sz w:val="20"/>
        </w:rPr>
        <w:t xml:space="preserve">  </w:t>
      </w:r>
      <w:r>
        <w:rPr>
          <w:rFonts w:ascii="Calibri" w:hAnsi="Calibri"/>
          <w:b/>
          <w:color w:val="333333"/>
          <w:sz w:val="20"/>
        </w:rPr>
        <w:t>Executive Dominance:</w:t>
      </w:r>
      <w:r>
        <w:rPr>
          <w:rFonts w:ascii="Calibri" w:hAnsi="Calibri"/>
          <w:color w:val="333333"/>
          <w:sz w:val="20"/>
        </w:rPr>
        <w:t xml:space="preserve"> While the board has a good proportion of independent directors, the presence of multiple Executive Directors and Vice Presidents in key management roles, some of whom also sit on committees, could potentially lead to a concentration of power.</w:t>
      </w:r>
    </w:p>
    <w:p>
      <w:pPr>
        <w:pStyle w:val="ListBullet"/>
        <w:spacing w:after="80"/>
      </w:pPr>
      <w:r>
        <w:rPr>
          <w:rFonts w:ascii="Calibri" w:hAnsi="Calibri"/>
          <w:color w:val="333333"/>
          <w:sz w:val="20"/>
        </w:rPr>
        <w:t xml:space="preserve">  </w:t>
      </w:r>
      <w:r>
        <w:rPr>
          <w:rFonts w:ascii="Calibri" w:hAnsi="Calibri"/>
          <w:b/>
          <w:color w:val="333333"/>
          <w:sz w:val="20"/>
        </w:rPr>
        <w:t>Related Party Transactions:</w:t>
      </w:r>
      <w:r>
        <w:rPr>
          <w:rFonts w:ascii="Calibri" w:hAnsi="Calibri"/>
          <w:color w:val="333333"/>
          <w:sz w:val="20"/>
        </w:rPr>
        <w:t xml:space="preserve"> The company engages in significant related party transactions, primarily with group companies. While these are stated to be on an arm's length basis and with prior approvals, the scale of these transactions warrants continuous monitoring for any potential conflicts of interest.</w:t>
      </w:r>
    </w:p>
    <w:p>
      <w:pPr>
        <w:pStyle w:val="ListBullet"/>
        <w:spacing w:after="80"/>
      </w:pPr>
      <w:r>
        <w:rPr>
          <w:rFonts w:ascii="Calibri" w:hAnsi="Calibri"/>
          <w:color w:val="333333"/>
          <w:sz w:val="20"/>
        </w:rPr>
        <w:t xml:space="preserve">  </w:t>
      </w:r>
      <w:r>
        <w:rPr>
          <w:rFonts w:ascii="Calibri" w:hAnsi="Calibri"/>
          <w:b/>
          <w:color w:val="333333"/>
          <w:sz w:val="20"/>
        </w:rPr>
        <w:t>Disputed Statutory Dues:</w:t>
      </w:r>
      <w:r>
        <w:rPr>
          <w:rFonts w:ascii="Calibri" w:hAnsi="Calibri"/>
          <w:color w:val="333333"/>
          <w:sz w:val="20"/>
        </w:rPr>
        <w:t xml:space="preserve"> The company has several material disputed statutory dues pending before various legal forums. While these are contingent liabilities, their resolution could have financial implications.</w:t>
      </w:r>
    </w:p>
    <w:p>
      <w:pPr>
        <w:pStyle w:val="ListBullet"/>
        <w:spacing w:after="80"/>
      </w:pPr>
      <w:r>
        <w:rPr>
          <w:rFonts w:ascii="Calibri" w:hAnsi="Calibri"/>
          <w:color w:val="333333"/>
          <w:sz w:val="20"/>
        </w:rPr>
        <w:t xml:space="preserve">  </w:t>
      </w:r>
      <w:r>
        <w:rPr>
          <w:rFonts w:ascii="Calibri" w:hAnsi="Calibri"/>
          <w:b/>
          <w:color w:val="333333"/>
          <w:sz w:val="20"/>
        </w:rPr>
        <w:t>Bellary Power Plant Status:</w:t>
      </w:r>
      <w:r>
        <w:rPr>
          <w:rFonts w:ascii="Calibri" w:hAnsi="Calibri"/>
          <w:color w:val="333333"/>
          <w:sz w:val="20"/>
        </w:rPr>
        <w:t xml:space="preserve"> The continued closure of the Bellary Power Plant and the ongoing exploration of disposal options represent a non-operational asset that requires strategic resolution.</w:t>
      </w:r>
    </w:p>
    <w:p>
      <w:pPr>
        <w:pStyle w:val="ListBullet"/>
        <w:spacing w:after="80"/>
      </w:pPr>
      <w:r>
        <w:rPr>
          <w:rFonts w:ascii="Calibri" w:hAnsi="Calibri"/>
          <w:color w:val="333333"/>
          <w:sz w:val="20"/>
        </w:rPr>
        <w:t xml:space="preserve">  </w:t>
      </w:r>
      <w:r>
        <w:rPr>
          <w:rFonts w:ascii="Calibri" w:hAnsi="Calibri"/>
          <w:b/>
          <w:color w:val="333333"/>
          <w:sz w:val="20"/>
        </w:rPr>
        <w:t>Management Remuneration:</w:t>
      </w:r>
      <w:r>
        <w:rPr>
          <w:rFonts w:ascii="Calibri" w:hAnsi="Calibri"/>
          <w:color w:val="333333"/>
          <w:sz w:val="20"/>
        </w:rPr>
        <w:t xml:space="preserve"> While generally considered reasonable, the remuneration of key management personnel and directors should be continuously monitored against industry benchmarks and company performance.</w:t>
      </w:r>
    </w:p>
    <w:p>
      <w:pPr>
        <w:pStyle w:val="Heading2"/>
      </w:pPr>
      <w:r>
        <w:rPr>
          <w:rFonts w:ascii="Calibri" w:hAnsi="Calibri"/>
          <w:color w:val="1F5F8B"/>
          <w:sz w:val="26"/>
        </w:rPr>
        <w:t>4.4 Shareholding Pattern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Category</w:t>
            </w:r>
          </w:p>
        </w:tc>
        <w:tc>
          <w:tcPr>
            <w:tcW w:type="dxa" w:w="2880"/>
            <w:shd w:fill="1F5F8B"/>
          </w:tcPr>
          <w:p>
            <w:pPr>
              <w:spacing w:before="40" w:after="40"/>
            </w:pPr>
            <w:r>
              <w:rPr>
                <w:rFonts w:ascii="Calibri" w:hAnsi="Calibri"/>
                <w:b/>
                <w:color w:val="FFFFFF"/>
                <w:sz w:val="18"/>
              </w:rPr>
              <w:t>No. of Shares</w:t>
            </w:r>
          </w:p>
        </w:tc>
        <w:tc>
          <w:tcPr>
            <w:tcW w:type="dxa" w:w="2880"/>
            <w:shd w:fill="1F5F8B"/>
          </w:tcPr>
          <w:p>
            <w:pPr>
              <w:spacing w:before="40" w:after="40"/>
            </w:pPr>
            <w:r>
              <w:rPr>
                <w:rFonts w:ascii="Calibri" w:hAnsi="Calibri"/>
                <w:b/>
                <w:color w:val="FFFFFF"/>
                <w:sz w:val="18"/>
              </w:rPr>
              <w:t>% Holding</w:t>
            </w:r>
          </w:p>
        </w:tc>
      </w:tr>
      <w:tr>
        <w:tc>
          <w:tcPr>
            <w:tcW w:type="dxa" w:w="2880"/>
          </w:tcPr>
          <w:p>
            <w:pPr>
              <w:spacing w:before="40" w:after="40"/>
            </w:pPr>
            <w:r>
              <w:rPr>
                <w:rFonts w:ascii="Calibri" w:hAnsi="Calibri"/>
                <w:b/>
                <w:sz w:val="18"/>
              </w:rPr>
              <w:t>Promoters &amp; PAIC</w:t>
            </w:r>
          </w:p>
        </w:tc>
        <w:tc>
          <w:tcPr>
            <w:tcW w:type="dxa" w:w="2880"/>
          </w:tcPr>
          <w:p>
            <w:pPr>
              <w:spacing w:before="40" w:after="40"/>
            </w:pPr>
            <w:r>
              <w:rPr>
                <w:rFonts w:ascii="Calibri" w:hAnsi="Calibri"/>
                <w:sz w:val="18"/>
              </w:rPr>
              <w:t>68,329,974</w:t>
            </w:r>
          </w:p>
        </w:tc>
        <w:tc>
          <w:tcPr>
            <w:tcW w:type="dxa" w:w="2880"/>
          </w:tcPr>
          <w:p>
            <w:pPr>
              <w:spacing w:before="40" w:after="40"/>
            </w:pPr>
            <w:r>
              <w:rPr>
                <w:rFonts w:ascii="Calibri" w:hAnsi="Calibri"/>
                <w:sz w:val="18"/>
              </w:rPr>
              <w:t>63.81%</w:t>
            </w:r>
          </w:p>
        </w:tc>
      </w:tr>
      <w:tr>
        <w:tc>
          <w:tcPr>
            <w:tcW w:type="dxa" w:w="2880"/>
            <w:shd w:fill="E8F0FE"/>
          </w:tcPr>
          <w:p>
            <w:pPr>
              <w:spacing w:before="40" w:after="40"/>
            </w:pPr>
            <w:r>
              <w:rPr>
                <w:rFonts w:ascii="Calibri" w:hAnsi="Calibri"/>
                <w:b/>
                <w:sz w:val="18"/>
              </w:rPr>
              <w:t>Mutual Funds and UTI</w:t>
            </w:r>
          </w:p>
        </w:tc>
        <w:tc>
          <w:tcPr>
            <w:tcW w:type="dxa" w:w="2880"/>
            <w:shd w:fill="E8F0FE"/>
          </w:tcPr>
          <w:p>
            <w:pPr>
              <w:spacing w:before="40" w:after="40"/>
            </w:pPr>
            <w:r>
              <w:rPr>
                <w:rFonts w:ascii="Calibri" w:hAnsi="Calibri"/>
                <w:sz w:val="18"/>
              </w:rPr>
              <w:t>17,937</w:t>
            </w:r>
          </w:p>
        </w:tc>
        <w:tc>
          <w:tcPr>
            <w:tcW w:type="dxa" w:w="2880"/>
            <w:shd w:fill="E8F0FE"/>
          </w:tcPr>
          <w:p>
            <w:pPr>
              <w:spacing w:before="40" w:after="40"/>
            </w:pPr>
            <w:r>
              <w:rPr>
                <w:rFonts w:ascii="Calibri" w:hAnsi="Calibri"/>
                <w:sz w:val="18"/>
              </w:rPr>
              <w:t>0.02%</w:t>
            </w:r>
          </w:p>
        </w:tc>
      </w:tr>
      <w:tr>
        <w:tc>
          <w:tcPr>
            <w:tcW w:type="dxa" w:w="2880"/>
          </w:tcPr>
          <w:p>
            <w:pPr>
              <w:spacing w:before="40" w:after="40"/>
            </w:pPr>
            <w:r>
              <w:rPr>
                <w:rFonts w:ascii="Calibri" w:hAnsi="Calibri"/>
                <w:b/>
                <w:sz w:val="18"/>
              </w:rPr>
              <w:t>Banks, FIs, Mutual Funds</w:t>
            </w:r>
          </w:p>
        </w:tc>
        <w:tc>
          <w:tcPr>
            <w:tcW w:type="dxa" w:w="2880"/>
          </w:tcPr>
          <w:p>
            <w:pPr>
              <w:spacing w:before="40" w:after="40"/>
            </w:pPr>
            <w:r>
              <w:rPr>
                <w:rFonts w:ascii="Calibri" w:hAnsi="Calibri"/>
                <w:sz w:val="18"/>
              </w:rPr>
              <w:t>1,450</w:t>
            </w:r>
          </w:p>
        </w:tc>
        <w:tc>
          <w:tcPr>
            <w:tcW w:type="dxa" w:w="2880"/>
          </w:tcPr>
          <w:p>
            <w:pPr>
              <w:spacing w:before="40" w:after="40"/>
            </w:pPr>
            <w:r>
              <w:rPr>
                <w:rFonts w:ascii="Calibri" w:hAnsi="Calibri"/>
                <w:sz w:val="18"/>
              </w:rPr>
              <w:t>0.00%</w:t>
            </w:r>
          </w:p>
        </w:tc>
      </w:tr>
      <w:tr>
        <w:tc>
          <w:tcPr>
            <w:tcW w:type="dxa" w:w="2880"/>
            <w:shd w:fill="E8F0FE"/>
          </w:tcPr>
          <w:p>
            <w:pPr>
              <w:spacing w:before="40" w:after="40"/>
            </w:pPr>
            <w:r>
              <w:rPr>
                <w:rFonts w:ascii="Calibri" w:hAnsi="Calibri"/>
                <w:b/>
                <w:sz w:val="18"/>
              </w:rPr>
              <w:t>Bodies Corporate</w:t>
            </w:r>
          </w:p>
        </w:tc>
        <w:tc>
          <w:tcPr>
            <w:tcW w:type="dxa" w:w="2880"/>
            <w:shd w:fill="E8F0FE"/>
          </w:tcPr>
          <w:p>
            <w:pPr>
              <w:spacing w:before="40" w:after="40"/>
            </w:pPr>
            <w:r>
              <w:rPr>
                <w:rFonts w:ascii="Calibri" w:hAnsi="Calibri"/>
                <w:sz w:val="18"/>
              </w:rPr>
              <w:t>2,106,763</w:t>
            </w:r>
          </w:p>
        </w:tc>
        <w:tc>
          <w:tcPr>
            <w:tcW w:type="dxa" w:w="2880"/>
            <w:shd w:fill="E8F0FE"/>
          </w:tcPr>
          <w:p>
            <w:pPr>
              <w:spacing w:before="40" w:after="40"/>
            </w:pPr>
            <w:r>
              <w:rPr>
                <w:rFonts w:ascii="Calibri" w:hAnsi="Calibri"/>
                <w:sz w:val="18"/>
              </w:rPr>
              <w:t>1.97%</w:t>
            </w:r>
          </w:p>
        </w:tc>
      </w:tr>
      <w:tr>
        <w:tc>
          <w:tcPr>
            <w:tcW w:type="dxa" w:w="2880"/>
          </w:tcPr>
          <w:p>
            <w:pPr>
              <w:spacing w:before="40" w:after="40"/>
            </w:pPr>
            <w:r>
              <w:rPr>
                <w:rFonts w:ascii="Calibri" w:hAnsi="Calibri"/>
                <w:b/>
                <w:sz w:val="18"/>
              </w:rPr>
              <w:t>Indian Public &amp; Others</w:t>
            </w:r>
          </w:p>
        </w:tc>
        <w:tc>
          <w:tcPr>
            <w:tcW w:type="dxa" w:w="2880"/>
          </w:tcPr>
          <w:p>
            <w:pPr>
              <w:spacing w:before="40" w:after="40"/>
            </w:pPr>
            <w:r>
              <w:rPr>
                <w:rFonts w:ascii="Calibri" w:hAnsi="Calibri"/>
                <w:sz w:val="18"/>
              </w:rPr>
              <w:t>34,834,957</w:t>
            </w:r>
          </w:p>
        </w:tc>
        <w:tc>
          <w:tcPr>
            <w:tcW w:type="dxa" w:w="2880"/>
          </w:tcPr>
          <w:p>
            <w:pPr>
              <w:spacing w:before="40" w:after="40"/>
            </w:pPr>
            <w:r>
              <w:rPr>
                <w:rFonts w:ascii="Calibri" w:hAnsi="Calibri"/>
                <w:sz w:val="18"/>
              </w:rPr>
              <w:t>32.53%</w:t>
            </w:r>
          </w:p>
        </w:tc>
      </w:tr>
      <w:tr>
        <w:tc>
          <w:tcPr>
            <w:tcW w:type="dxa" w:w="2880"/>
            <w:shd w:fill="E8F0FE"/>
          </w:tcPr>
          <w:p>
            <w:pPr>
              <w:spacing w:before="40" w:after="40"/>
            </w:pPr>
            <w:r>
              <w:rPr>
                <w:rFonts w:ascii="Calibri" w:hAnsi="Calibri"/>
                <w:b/>
                <w:sz w:val="18"/>
              </w:rPr>
              <w:t>NRIs / OCB</w:t>
            </w:r>
          </w:p>
        </w:tc>
        <w:tc>
          <w:tcPr>
            <w:tcW w:type="dxa" w:w="2880"/>
            <w:shd w:fill="E8F0FE"/>
          </w:tcPr>
          <w:p>
            <w:pPr>
              <w:spacing w:before="40" w:after="40"/>
            </w:pPr>
            <w:r>
              <w:rPr>
                <w:rFonts w:ascii="Calibri" w:hAnsi="Calibri"/>
                <w:sz w:val="18"/>
              </w:rPr>
              <w:t>1,798,719</w:t>
            </w:r>
          </w:p>
        </w:tc>
        <w:tc>
          <w:tcPr>
            <w:tcW w:type="dxa" w:w="2880"/>
            <w:shd w:fill="E8F0FE"/>
          </w:tcPr>
          <w:p>
            <w:pPr>
              <w:spacing w:before="40" w:after="40"/>
            </w:pPr>
            <w:r>
              <w:rPr>
                <w:rFonts w:ascii="Calibri" w:hAnsi="Calibri"/>
                <w:sz w:val="18"/>
              </w:rPr>
              <w:t>1.68%</w:t>
            </w:r>
          </w:p>
        </w:tc>
      </w:tr>
      <w:tr>
        <w:tc>
          <w:tcPr>
            <w:tcW w:type="dxa" w:w="2880"/>
          </w:tcPr>
          <w:p>
            <w:pPr>
              <w:spacing w:before="40" w:after="40"/>
            </w:pPr>
            <w:r>
              <w:rPr>
                <w:rFonts w:ascii="Calibri" w:hAnsi="Calibri"/>
                <w:b/>
                <w:sz w:val="18"/>
              </w:rPr>
              <w:t>**Total**</w:t>
            </w:r>
          </w:p>
        </w:tc>
        <w:tc>
          <w:tcPr>
            <w:tcW w:type="dxa" w:w="2880"/>
          </w:tcPr>
          <w:p>
            <w:pPr>
              <w:spacing w:before="40" w:after="40"/>
            </w:pPr>
            <w:r>
              <w:rPr>
                <w:rFonts w:ascii="Calibri" w:hAnsi="Calibri"/>
                <w:sz w:val="18"/>
              </w:rPr>
              <w:t>**107,089,800**</w:t>
            </w:r>
          </w:p>
        </w:tc>
        <w:tc>
          <w:tcPr>
            <w:tcW w:type="dxa" w:w="2880"/>
          </w:tcPr>
          <w:p>
            <w:pPr>
              <w:spacing w:before="40" w:after="40"/>
            </w:pPr>
            <w:r>
              <w:rPr>
                <w:rFonts w:ascii="Calibri" w:hAnsi="Calibri"/>
                <w:sz w:val="18"/>
              </w:rPr>
              <w:t>**100.00%**</w:t>
            </w:r>
          </w:p>
        </w:tc>
      </w:tr>
    </w:tbl>
    <w:p/>
    <w:p>
      <w:r>
        <w:rPr>
          <w:rFonts w:ascii="Calibri" w:hAnsi="Calibri"/>
          <w:i/>
          <w:color w:val="666666"/>
          <w:sz w:val="18"/>
        </w:rPr>
        <w:t>Note: Promoter holding is significant, indicating strong control and alignment with the company's strategic direction. The substantial portion held by the Indian Public and Others suggests a reasonable free float.</w:t>
      </w:r>
    </w:p>
    <w:p>
      <w:pPr>
        <w:pStyle w:val="Heading2"/>
      </w:pPr>
      <w:r>
        <w:rPr>
          <w:rFonts w:ascii="Calibri" w:hAnsi="Calibri"/>
          <w:color w:val="1F5F8B"/>
          <w:sz w:val="26"/>
        </w:rPr>
        <w:t>4.5 Insider Trading Activity (Last 3 Years)</w:t>
      </w:r>
    </w:p>
    <w:p>
      <w:pPr>
        <w:pStyle w:val="ListBullet"/>
        <w:spacing w:after="80"/>
      </w:pPr>
      <w:r>
        <w:rPr>
          <w:rFonts w:ascii="Calibri" w:hAnsi="Calibri"/>
          <w:color w:val="333333"/>
          <w:sz w:val="20"/>
        </w:rPr>
        <w:t xml:space="preserve">  </w:t>
      </w:r>
      <w:r>
        <w:rPr>
          <w:rFonts w:ascii="Calibri" w:hAnsi="Calibri"/>
          <w:b/>
          <w:color w:val="333333"/>
          <w:sz w:val="20"/>
        </w:rPr>
        <w:t>Market Purchases:</w:t>
      </w:r>
      <w:r>
        <w:rPr>
          <w:rFonts w:ascii="Calibri" w:hAnsi="Calibri"/>
          <w:color w:val="333333"/>
          <w:sz w:val="20"/>
        </w:rPr>
        <w:t xml:space="preserve"> No significant market purchases by insiders were identified in the provided documents over the last three years.</w:t>
      </w:r>
    </w:p>
    <w:p>
      <w:pPr>
        <w:pStyle w:val="ListBullet"/>
        <w:spacing w:after="80"/>
      </w:pPr>
      <w:r>
        <w:rPr>
          <w:rFonts w:ascii="Calibri" w:hAnsi="Calibri"/>
          <w:color w:val="333333"/>
          <w:sz w:val="20"/>
        </w:rPr>
        <w:t xml:space="preserve">  </w:t>
      </w:r>
      <w:r>
        <w:rPr>
          <w:rFonts w:ascii="Calibri" w:hAnsi="Calibri"/>
          <w:b/>
          <w:color w:val="333333"/>
          <w:sz w:val="20"/>
        </w:rPr>
        <w:t>Market Sales:</w:t>
      </w:r>
      <w:r>
        <w:rPr>
          <w:rFonts w:ascii="Calibri" w:hAnsi="Calibri"/>
          <w:color w:val="333333"/>
          <w:sz w:val="20"/>
        </w:rPr>
        <w:t xml:space="preserve"> No significant market sales by insiders were identified in the provided documents over the last three years.</w:t>
      </w:r>
    </w:p>
    <w:p>
      <w:pPr>
        <w:pStyle w:val="ListBullet"/>
        <w:spacing w:after="80"/>
      </w:pPr>
      <w:r>
        <w:rPr>
          <w:rFonts w:ascii="Calibri" w:hAnsi="Calibri"/>
          <w:color w:val="333333"/>
          <w:sz w:val="20"/>
        </w:rPr>
        <w:t xml:space="preserve">  </w:t>
      </w:r>
      <w:r>
        <w:rPr>
          <w:rFonts w:ascii="Calibri" w:hAnsi="Calibri"/>
          <w:b/>
          <w:color w:val="333333"/>
          <w:sz w:val="20"/>
        </w:rPr>
        <w:t>Net Position:</w:t>
      </w:r>
      <w:r>
        <w:rPr>
          <w:rFonts w:ascii="Calibri" w:hAnsi="Calibri"/>
          <w:color w:val="333333"/>
          <w:sz w:val="20"/>
        </w:rPr>
        <w:t xml:space="preserve"> Insiders have been net neutral in terms of market purchases and sales over the last three years, based on the available disclosures. This could indicate a stable outlook or a lack of significant conviction from management regarding short-term price movements.</w:t>
      </w:r>
    </w:p>
    <w:p>
      <w:pPr>
        <w:pStyle w:val="Heading1"/>
      </w:pPr>
      <w:r>
        <w:rPr>
          <w:rFonts w:ascii="Calibri" w:hAnsi="Calibri"/>
          <w:color w:val="1F5F8B"/>
          <w:sz w:val="32"/>
        </w:rPr>
        <w:t>5. Company &amp; Business Quality Assessment</w:t>
      </w:r>
    </w:p>
    <w:p>
      <w:pPr>
        <w:spacing w:before="0" w:after="120"/>
      </w:pPr>
    </w:p>
    <w:p>
      <w:pPr>
        <w:pStyle w:val="Heading2"/>
      </w:pPr>
      <w:r>
        <w:rPr>
          <w:rFonts w:ascii="Calibri" w:hAnsi="Calibri"/>
          <w:color w:val="1F5F8B"/>
          <w:sz w:val="26"/>
        </w:rPr>
        <w:t>5.1 Business Model</w:t>
      </w:r>
    </w:p>
    <w:p>
      <w:pPr>
        <w:spacing w:after="80"/>
      </w:pPr>
      <w:r>
        <w:rPr>
          <w:rFonts w:ascii="Calibri" w:hAnsi="Calibri"/>
          <w:color w:val="333333"/>
          <w:sz w:val="20"/>
        </w:rPr>
        <w:t xml:space="preserve">TGV Sraac Limited operates a diversified business model centered around the manufacturing of chemicals and related products. The company's primary revenue streams are derived from its </w:t>
      </w:r>
      <w:r>
        <w:rPr>
          <w:rFonts w:ascii="Calibri" w:hAnsi="Calibri"/>
          <w:b/>
          <w:color w:val="333333"/>
          <w:sz w:val="20"/>
        </w:rPr>
        <w:t>Chemicals Segment</w:t>
      </w:r>
      <w:r>
        <w:rPr>
          <w:rFonts w:ascii="Calibri" w:hAnsi="Calibri"/>
          <w:color w:val="333333"/>
          <w:sz w:val="20"/>
        </w:rPr>
        <w:t xml:space="preserve"> and, to a lesser extent, its </w:t>
      </w:r>
      <w:r>
        <w:rPr>
          <w:rFonts w:ascii="Calibri" w:hAnsi="Calibri"/>
          <w:b/>
          <w:color w:val="333333"/>
          <w:sz w:val="20"/>
        </w:rPr>
        <w:t>Oils &amp; Fats Segment</w:t>
      </w:r>
      <w:r>
        <w:rPr>
          <w:rFonts w:ascii="Calibri" w:hAnsi="Calibri"/>
          <w:color w:val="333333"/>
          <w:sz w:val="20"/>
        </w:rPr>
        <w:t>.</w:t>
      </w:r>
    </w:p>
    <w:p>
      <w:pPr>
        <w:pStyle w:val="ListBullet"/>
        <w:spacing w:after="80"/>
      </w:pPr>
      <w:r>
        <w:rPr>
          <w:rFonts w:ascii="Calibri" w:hAnsi="Calibri"/>
          <w:color w:val="333333"/>
          <w:sz w:val="20"/>
        </w:rPr>
        <w:t xml:space="preserve">  </w:t>
      </w:r>
      <w:r>
        <w:rPr>
          <w:rFonts w:ascii="Calibri" w:hAnsi="Calibri"/>
          <w:b/>
          <w:color w:val="333333"/>
          <w:sz w:val="20"/>
        </w:rPr>
        <w:t>Chemicals Segment (Approx. 85% of Turnover):</w:t>
      </w:r>
      <w:r>
        <w:rPr>
          <w:rFonts w:ascii="Calibri" w:hAnsi="Calibri"/>
          <w:color w:val="333333"/>
          <w:sz w:val="20"/>
        </w:rPr>
        <w:t xml:space="preserve"> This is the dominant segment for TGV Sraac. The company is a leading producer of Chlor-Alkali products, including Caustic Soda (Lye and Flakes), Caustic Potash (Lye and Flakes), Chlorine, and Hydrochloric Acid. It also manufactures Chloromethanes, such as Methylene Chloride, Chloroform, and Carbon Tetrachloride. Caustic Soda is a key industrial chemical with widespread applications in sectors like aluminum, pulp and paper, textiles, and pharmaceuticals. Chlorine, a joint product, is primarily consumed internally for the production of Chloromethanes, a value-added process that helps manage its market volatility. Caustic Potash finds applications in fertilizers, detergents, and specialty chemicals. The company has a significant installed capacity for these products, with ongoing plans for expansion in Caustic Soda.</w:t>
      </w:r>
    </w:p>
    <w:p>
      <w:pPr>
        <w:pStyle w:val="ListBullet"/>
        <w:spacing w:after="80"/>
      </w:pPr>
      <w:r>
        <w:rPr>
          <w:rFonts w:ascii="Calibri" w:hAnsi="Calibri"/>
          <w:color w:val="333333"/>
          <w:sz w:val="20"/>
        </w:rPr>
        <w:t xml:space="preserve">  </w:t>
      </w:r>
      <w:r>
        <w:rPr>
          <w:rFonts w:ascii="Calibri" w:hAnsi="Calibri"/>
          <w:b/>
          <w:color w:val="333333"/>
          <w:sz w:val="20"/>
        </w:rPr>
        <w:t>Oils &amp; Fats Segment (Approx. 15% of Turnover):</w:t>
      </w:r>
      <w:r>
        <w:rPr>
          <w:rFonts w:ascii="Calibri" w:hAnsi="Calibri"/>
          <w:color w:val="333333"/>
          <w:sz w:val="20"/>
        </w:rPr>
        <w:t xml:space="preserve"> This segment focuses on the production of Castor Oil derivatives and Fatty Acids. Key products include Hydrogenated Castor Oil, 12-Hydroxy Stearic Acid, Soap Noodles, and Glycerine. The company has scaled down operations in this segment due to thin margins and price volatility in both inputs and finished goods.</w:t>
      </w:r>
    </w:p>
    <w:p>
      <w:pPr>
        <w:pStyle w:val="ListBullet"/>
        <w:spacing w:after="80"/>
      </w:pPr>
      <w:r>
        <w:rPr>
          <w:rFonts w:ascii="Calibri" w:hAnsi="Calibri"/>
          <w:color w:val="333333"/>
          <w:sz w:val="20"/>
        </w:rPr>
        <w:t xml:space="preserve">  </w:t>
      </w:r>
      <w:r>
        <w:rPr>
          <w:rFonts w:ascii="Calibri" w:hAnsi="Calibri"/>
          <w:b/>
          <w:color w:val="333333"/>
          <w:sz w:val="20"/>
        </w:rPr>
        <w:t>Power Segment:</w:t>
      </w:r>
      <w:r>
        <w:rPr>
          <w:rFonts w:ascii="Calibri" w:hAnsi="Calibri"/>
          <w:color w:val="333333"/>
          <w:sz w:val="20"/>
        </w:rPr>
        <w:t xml:space="preserve"> The company previously operated a power plant at Bellary, but commercial operations have ceased due to the expiry of the Power Purchase Agreement. The machinery is currently offered for sale. TGV Sraac has also invested in Solar Power generation, with a current capacity of 22.75 MW and plans to expand this to 100 MW in stages, primarily for captive consumption. This initiative is driven by a focus on sustainability and cost reduction in power-intensive operations.</w:t>
      </w:r>
    </w:p>
    <w:p>
      <w:pPr>
        <w:spacing w:after="80"/>
      </w:pPr>
      <w:r>
        <w:rPr>
          <w:rFonts w:ascii="Calibri" w:hAnsi="Calibri"/>
          <w:color w:val="333333"/>
          <w:sz w:val="20"/>
        </w:rPr>
        <w:t>The company's business model relies on serving industrial customers (B2B), with performance being closely tied to the health and demand cycles of these end-user industries. While domestic sales form the bulk of its revenue, exports to approximately 15 countries provide some geographical diversification.</w:t>
      </w:r>
    </w:p>
    <w:p>
      <w:pPr>
        <w:pStyle w:val="Heading2"/>
      </w:pPr>
      <w:r>
        <w:rPr>
          <w:rFonts w:ascii="Calibri" w:hAnsi="Calibri"/>
          <w:color w:val="1F5F8B"/>
          <w:sz w:val="26"/>
        </w:rPr>
        <w:t>5.2 Competitive Advantages (Moats)</w:t>
      </w:r>
    </w:p>
    <w:p>
      <w:pPr>
        <w:pStyle w:val="ListBullet"/>
        <w:spacing w:after="80"/>
      </w:pPr>
      <w:r>
        <w:rPr>
          <w:rFonts w:ascii="Calibri" w:hAnsi="Calibri"/>
          <w:color w:val="333333"/>
          <w:sz w:val="20"/>
        </w:rPr>
        <w:t xml:space="preserve">  </w:t>
      </w:r>
      <w:r>
        <w:rPr>
          <w:rFonts w:ascii="Calibri" w:hAnsi="Calibri"/>
          <w:b/>
          <w:color w:val="333333"/>
          <w:sz w:val="20"/>
        </w:rPr>
        <w:t>Integrated Manufacturing:</w:t>
      </w:r>
      <w:r>
        <w:rPr>
          <w:rFonts w:ascii="Calibri" w:hAnsi="Calibri"/>
          <w:color w:val="333333"/>
          <w:sz w:val="20"/>
        </w:rPr>
        <w:t xml:space="preserve"> TGV Sraac benefits from an integrated manufacturing process, particularly in its Chemicals segment. The internal consumption of Chlorine for Chloromethanes production adds value and provides a degree of insulation from the volatile spot market for Chlorine.</w:t>
      </w:r>
    </w:p>
    <w:p>
      <w:pPr>
        <w:pStyle w:val="ListBullet"/>
        <w:spacing w:after="80"/>
      </w:pPr>
      <w:r>
        <w:rPr>
          <w:rFonts w:ascii="Calibri" w:hAnsi="Calibri"/>
          <w:color w:val="333333"/>
          <w:sz w:val="20"/>
        </w:rPr>
        <w:t xml:space="preserve">  </w:t>
      </w:r>
      <w:r>
        <w:rPr>
          <w:rFonts w:ascii="Calibri" w:hAnsi="Calibri"/>
          <w:b/>
          <w:color w:val="333333"/>
          <w:sz w:val="20"/>
        </w:rPr>
        <w:t>Scale and Diversified Product Portfolio:</w:t>
      </w:r>
      <w:r>
        <w:rPr>
          <w:rFonts w:ascii="Calibri" w:hAnsi="Calibri"/>
          <w:color w:val="333333"/>
          <w:sz w:val="20"/>
        </w:rPr>
        <w:t xml:space="preserve"> The company possesses significant manufacturing scale in its core Chlor-Alkali and Chloromethanes businesses, supported by a diversified product range that caters to multiple essential industries. This diversification helps mitigate risks associated with over-reliance on a single product or sector.</w:t>
      </w:r>
    </w:p>
    <w:p>
      <w:pPr>
        <w:pStyle w:val="ListBullet"/>
        <w:spacing w:after="80"/>
      </w:pPr>
      <w:r>
        <w:rPr>
          <w:rFonts w:ascii="Calibri" w:hAnsi="Calibri"/>
          <w:color w:val="333333"/>
          <w:sz w:val="20"/>
        </w:rPr>
        <w:t xml:space="preserve">  </w:t>
      </w:r>
      <w:r>
        <w:rPr>
          <w:rFonts w:ascii="Calibri" w:hAnsi="Calibri"/>
          <w:b/>
          <w:color w:val="333333"/>
          <w:sz w:val="20"/>
        </w:rPr>
        <w:t>Established Market Presence:</w:t>
      </w:r>
      <w:r>
        <w:rPr>
          <w:rFonts w:ascii="Calibri" w:hAnsi="Calibri"/>
          <w:color w:val="333333"/>
          <w:sz w:val="20"/>
        </w:rPr>
        <w:t xml:space="preserve"> With decades of operational history, TGV Sraac has established a strong foothold in the Indian chemical market, serving a wide customer base across various industrial sectors.</w:t>
      </w:r>
    </w:p>
    <w:p>
      <w:pPr>
        <w:pStyle w:val="ListBullet"/>
        <w:spacing w:after="80"/>
      </w:pPr>
      <w:r>
        <w:rPr>
          <w:rFonts w:ascii="Calibri" w:hAnsi="Calibri"/>
          <w:color w:val="333333"/>
          <w:sz w:val="20"/>
        </w:rPr>
        <w:t xml:space="preserve">  </w:t>
      </w:r>
      <w:r>
        <w:rPr>
          <w:rFonts w:ascii="Calibri" w:hAnsi="Calibri"/>
          <w:b/>
          <w:color w:val="333333"/>
          <w:sz w:val="20"/>
        </w:rPr>
        <w:t>Cost Control Initiatives (Solar Power):</w:t>
      </w:r>
      <w:r>
        <w:rPr>
          <w:rFonts w:ascii="Calibri" w:hAnsi="Calibri"/>
          <w:color w:val="333333"/>
          <w:sz w:val="20"/>
        </w:rPr>
        <w:t xml:space="preserve"> The company's strategic investment in and expansion of solar power capacity is a significant competitive advantage, particularly for a power-intensive industry. This focus on renewable energy aims to reduce operating costs and enhance sustainability, providing a potential edge over competitors with higher energy costs.</w:t>
      </w:r>
    </w:p>
    <w:p>
      <w:pPr>
        <w:pStyle w:val="ListBullet"/>
        <w:spacing w:after="80"/>
      </w:pPr>
      <w:r>
        <w:rPr>
          <w:rFonts w:ascii="Calibri" w:hAnsi="Calibri"/>
          <w:color w:val="333333"/>
          <w:sz w:val="20"/>
        </w:rPr>
        <w:t xml:space="preserve">  </w:t>
      </w:r>
      <w:r>
        <w:rPr>
          <w:rFonts w:ascii="Calibri" w:hAnsi="Calibri"/>
          <w:b/>
          <w:color w:val="333333"/>
          <w:sz w:val="20"/>
        </w:rPr>
        <w:t>ISO Certifications:</w:t>
      </w:r>
      <w:r>
        <w:rPr>
          <w:rFonts w:ascii="Calibri" w:hAnsi="Calibri"/>
          <w:color w:val="333333"/>
          <w:sz w:val="20"/>
        </w:rPr>
        <w:t xml:space="preserve"> The company holds ISO 9001 (Quality Management), ISO 14001 (Environmental Management), and ISO 45001 (Occupational Health and Safety) certifications, underscoring its commitment to operational excellence, environmental responsibility, and workplace safety, which are increasingly valued by customers and stakeholders.</w:t>
      </w:r>
    </w:p>
    <w:p>
      <w:pPr>
        <w:pStyle w:val="ListBullet"/>
        <w:spacing w:after="80"/>
      </w:pPr>
      <w:r>
        <w:rPr>
          <w:rFonts w:ascii="Calibri" w:hAnsi="Calibri"/>
          <w:color w:val="333333"/>
          <w:sz w:val="20"/>
        </w:rPr>
        <w:t xml:space="preserve">  </w:t>
      </w:r>
      <w:r>
        <w:rPr>
          <w:rFonts w:ascii="Calibri" w:hAnsi="Calibri"/>
          <w:b/>
          <w:color w:val="333333"/>
          <w:sz w:val="20"/>
        </w:rPr>
        <w:t>Strategic Location:</w:t>
      </w:r>
      <w:r>
        <w:rPr>
          <w:rFonts w:ascii="Calibri" w:hAnsi="Calibri"/>
          <w:color w:val="333333"/>
          <w:sz w:val="20"/>
        </w:rPr>
        <w:t xml:space="preserve"> Its manufacturing facilities are strategically located, potentially offering logistical advantages for raw material sourcing and finished goods distribution.</w:t>
      </w:r>
    </w:p>
    <w:p>
      <w:pPr>
        <w:pStyle w:val="ListBullet"/>
        <w:spacing w:after="80"/>
      </w:pPr>
      <w:r>
        <w:rPr>
          <w:rFonts w:ascii="Calibri" w:hAnsi="Calibri"/>
          <w:color w:val="333333"/>
          <w:sz w:val="20"/>
        </w:rPr>
        <w:t xml:space="preserve">  </w:t>
      </w:r>
      <w:r>
        <w:rPr>
          <w:rFonts w:ascii="Calibri" w:hAnsi="Calibri"/>
          <w:b/>
          <w:color w:val="333333"/>
          <w:sz w:val="20"/>
        </w:rPr>
        <w:t>Promoter Group Strength:</w:t>
      </w:r>
      <w:r>
        <w:rPr>
          <w:rFonts w:ascii="Calibri" w:hAnsi="Calibri"/>
          <w:color w:val="333333"/>
          <w:sz w:val="20"/>
        </w:rPr>
        <w:t xml:space="preserve"> The significant shareholding and active involvement of the promoter group, coupled with the recent release of share pledges, suggest strong promoter commitment and financial backing.</w:t>
      </w:r>
    </w:p>
    <w:p>
      <w:pPr>
        <w:pStyle w:val="Heading2"/>
      </w:pPr>
      <w:r>
        <w:rPr>
          <w:rFonts w:ascii="Calibri" w:hAnsi="Calibri"/>
          <w:color w:val="1F5F8B"/>
          <w:sz w:val="26"/>
        </w:rPr>
        <w:t>5.3 Risks &amp; Weaknesses</w:t>
      </w:r>
    </w:p>
    <w:p>
      <w:pPr>
        <w:pStyle w:val="ListBullet"/>
        <w:spacing w:after="80"/>
      </w:pPr>
      <w:r>
        <w:rPr>
          <w:rFonts w:ascii="Calibri" w:hAnsi="Calibri"/>
          <w:color w:val="333333"/>
          <w:sz w:val="20"/>
        </w:rPr>
        <w:t xml:space="preserve">  </w:t>
      </w:r>
      <w:r>
        <w:rPr>
          <w:rFonts w:ascii="Calibri" w:hAnsi="Calibri"/>
          <w:b/>
          <w:color w:val="333333"/>
          <w:sz w:val="20"/>
        </w:rPr>
        <w:t>Execution Risk on Expansion Projects:</w:t>
      </w:r>
      <w:r>
        <w:rPr>
          <w:rFonts w:ascii="Calibri" w:hAnsi="Calibri"/>
          <w:color w:val="333333"/>
          <w:sz w:val="20"/>
        </w:rPr>
        <w:t xml:space="preserve"> The successful and timely execution of the Caustic Soda expansion project (450 MT Caustic Soda and 400 MT Chlorine) and the planned increase in solar power capacity to 100 MW are critical for future growth. Any delays or cost overruns in these projects could impact financial performance.</w:t>
      </w:r>
    </w:p>
    <w:p>
      <w:pPr>
        <w:pStyle w:val="ListBullet"/>
        <w:spacing w:after="80"/>
      </w:pPr>
      <w:r>
        <w:rPr>
          <w:rFonts w:ascii="Calibri" w:hAnsi="Calibri"/>
          <w:color w:val="333333"/>
          <w:sz w:val="20"/>
        </w:rPr>
        <w:t xml:space="preserve">  </w:t>
      </w:r>
      <w:r>
        <w:rPr>
          <w:rFonts w:ascii="Calibri" w:hAnsi="Calibri"/>
          <w:b/>
          <w:color w:val="333333"/>
          <w:sz w:val="20"/>
        </w:rPr>
        <w:t>Customer and Revenue Concentration:</w:t>
      </w:r>
      <w:r>
        <w:rPr>
          <w:rFonts w:ascii="Calibri" w:hAnsi="Calibri"/>
          <w:color w:val="333333"/>
          <w:sz w:val="20"/>
        </w:rPr>
        <w:t xml:space="preserve"> While the company serves a diverse customer base, the industrial nature of its products means that performance is tied to the cyclicality and health of its key end-user industries. Any downturn in these sectors could impact demand.</w:t>
      </w:r>
    </w:p>
    <w:p>
      <w:pPr>
        <w:pStyle w:val="ListBullet"/>
        <w:spacing w:after="80"/>
      </w:pPr>
      <w:r>
        <w:rPr>
          <w:rFonts w:ascii="Calibri" w:hAnsi="Calibri"/>
          <w:color w:val="333333"/>
          <w:sz w:val="20"/>
        </w:rPr>
        <w:t xml:space="preserve">  </w:t>
      </w:r>
      <w:r>
        <w:rPr>
          <w:rFonts w:ascii="Calibri" w:hAnsi="Calibri"/>
          <w:b/>
          <w:color w:val="333333"/>
          <w:sz w:val="20"/>
        </w:rPr>
        <w:t>Margin Pressure:</w:t>
      </w:r>
      <w:r>
        <w:rPr>
          <w:rFonts w:ascii="Calibri" w:hAnsi="Calibri"/>
          <w:color w:val="333333"/>
          <w:sz w:val="20"/>
        </w:rPr>
        <w:t xml:space="preserve"> The company operates in a competitive and cyclical industry where margins can be sensitive to raw material price fluctuations (especially salt and power) and the demand-supply dynamics of its products, particularly Chlorine and Chloromethanes. The scaling down of the Oils &amp; Fats segment due to thin margins highlights this vulnerability.</w:t>
      </w:r>
    </w:p>
    <w:p>
      <w:pPr>
        <w:pStyle w:val="ListBullet"/>
        <w:spacing w:after="80"/>
      </w:pPr>
      <w:r>
        <w:rPr>
          <w:rFonts w:ascii="Calibri" w:hAnsi="Calibri"/>
          <w:color w:val="333333"/>
          <w:sz w:val="20"/>
        </w:rPr>
        <w:t xml:space="preserve">  </w:t>
      </w:r>
      <w:r>
        <w:rPr>
          <w:rFonts w:ascii="Calibri" w:hAnsi="Calibri"/>
          <w:b/>
          <w:color w:val="333333"/>
          <w:sz w:val="20"/>
        </w:rPr>
        <w:t>Working Capital Intensity:</w:t>
      </w:r>
      <w:r>
        <w:rPr>
          <w:rFonts w:ascii="Calibri" w:hAnsi="Calibri"/>
          <w:color w:val="333333"/>
          <w:sz w:val="20"/>
        </w:rPr>
        <w:t xml:space="preserve"> Chemical manufacturing is typically working capital intensive, requiring significant investment in raw materials, inventory, and receivables. Efficient working capital management is crucial for maintaining liquidity and operational efficiency.</w:t>
      </w:r>
    </w:p>
    <w:p>
      <w:pPr>
        <w:pStyle w:val="ListBullet"/>
        <w:spacing w:after="80"/>
      </w:pPr>
      <w:r>
        <w:rPr>
          <w:rFonts w:ascii="Calibri" w:hAnsi="Calibri"/>
          <w:color w:val="333333"/>
          <w:sz w:val="20"/>
        </w:rPr>
        <w:t xml:space="preserve">  </w:t>
      </w:r>
      <w:r>
        <w:rPr>
          <w:rFonts w:ascii="Calibri" w:hAnsi="Calibri"/>
          <w:b/>
          <w:color w:val="333333"/>
          <w:sz w:val="20"/>
        </w:rPr>
        <w:t>Governance Concerns:</w:t>
      </w:r>
      <w:r>
        <w:rPr>
          <w:rFonts w:ascii="Calibri" w:hAnsi="Calibri"/>
          <w:color w:val="333333"/>
          <w:sz w:val="20"/>
        </w:rPr>
        <w:t xml:space="preserve"> While generally strong, the company faces some governance watchpoints, including significant related party transactions and a history of disputed statutory dues, which require diligent oversight.</w:t>
      </w:r>
    </w:p>
    <w:p>
      <w:pPr>
        <w:pStyle w:val="ListBullet"/>
        <w:spacing w:after="80"/>
      </w:pPr>
      <w:r>
        <w:rPr>
          <w:rFonts w:ascii="Calibri" w:hAnsi="Calibri"/>
          <w:color w:val="333333"/>
          <w:sz w:val="20"/>
        </w:rPr>
        <w:t xml:space="preserve">  </w:t>
      </w:r>
      <w:r>
        <w:rPr>
          <w:rFonts w:ascii="Calibri" w:hAnsi="Calibri"/>
          <w:b/>
          <w:color w:val="333333"/>
          <w:sz w:val="20"/>
        </w:rPr>
        <w:t>Competition and Scale vs. Peers:</w:t>
      </w:r>
      <w:r>
        <w:rPr>
          <w:rFonts w:ascii="Calibri" w:hAnsi="Calibri"/>
          <w:color w:val="333333"/>
          <w:sz w:val="20"/>
        </w:rPr>
        <w:t xml:space="preserve"> While TGV Sraac is a significant player, it faces competition from larger domestic and international chemical manufacturers, which could impact market share and pricing power.</w:t>
      </w:r>
    </w:p>
    <w:p>
      <w:pPr>
        <w:pStyle w:val="ListBullet"/>
        <w:spacing w:after="80"/>
      </w:pPr>
      <w:r>
        <w:rPr>
          <w:rFonts w:ascii="Calibri" w:hAnsi="Calibri"/>
          <w:color w:val="333333"/>
          <w:sz w:val="20"/>
        </w:rPr>
        <w:t xml:space="preserve">  </w:t>
      </w:r>
      <w:r>
        <w:rPr>
          <w:rFonts w:ascii="Calibri" w:hAnsi="Calibri"/>
          <w:b/>
          <w:color w:val="333333"/>
          <w:sz w:val="20"/>
        </w:rPr>
        <w:t>Currency and Commodity Risks:</w:t>
      </w:r>
      <w:r>
        <w:rPr>
          <w:rFonts w:ascii="Calibri" w:hAnsi="Calibri"/>
          <w:color w:val="333333"/>
          <w:sz w:val="20"/>
        </w:rPr>
        <w:t xml:space="preserve"> The company is exposed to currency fluctuations due to its import of raw materials (like Potassium Chloride) and export activities. Fluctuations in global commodity prices, particularly for energy and key raw materials, can also impact profitability.</w:t>
      </w:r>
    </w:p>
    <w:p>
      <w:pPr>
        <w:pStyle w:val="ListBullet"/>
        <w:spacing w:after="80"/>
      </w:pPr>
      <w:r>
        <w:rPr>
          <w:rFonts w:ascii="Calibri" w:hAnsi="Calibri"/>
          <w:color w:val="333333"/>
          <w:sz w:val="20"/>
        </w:rPr>
        <w:t xml:space="preserve">  </w:t>
      </w:r>
      <w:r>
        <w:rPr>
          <w:rFonts w:ascii="Calibri" w:hAnsi="Calibri"/>
          <w:b/>
          <w:color w:val="333333"/>
          <w:sz w:val="20"/>
        </w:rPr>
        <w:t>Legacy Issues:</w:t>
      </w:r>
      <w:r>
        <w:rPr>
          <w:rFonts w:ascii="Calibri" w:hAnsi="Calibri"/>
          <w:color w:val="333333"/>
          <w:sz w:val="20"/>
        </w:rPr>
        <w:t xml:space="preserve"> The continued closure of the Bellary Power Plant and the pending resolution of disputed statutory dues represent legacy issues that need effective management.</w:t>
      </w:r>
    </w:p>
    <w:p>
      <w:pPr>
        <w:pStyle w:val="Heading1"/>
      </w:pPr>
      <w:r>
        <w:rPr>
          <w:rFonts w:ascii="Calibri" w:hAnsi="Calibri"/>
          <w:color w:val="1F5F8B"/>
          <w:sz w:val="32"/>
        </w:rPr>
        <w:t>6. Growth Outlook &amp; Strategy</w:t>
      </w:r>
    </w:p>
    <w:p>
      <w:pPr>
        <w:spacing w:before="0" w:after="120"/>
      </w:pPr>
    </w:p>
    <w:p>
      <w:pPr>
        <w:pStyle w:val="Heading2"/>
      </w:pPr>
      <w:r>
        <w:rPr>
          <w:rFonts w:ascii="Calibri" w:hAnsi="Calibri"/>
          <w:color w:val="1F5F8B"/>
          <w:sz w:val="26"/>
        </w:rPr>
        <w:t>6.1 Management's Revenue Roadmap</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F5F8B"/>
          </w:tcPr>
          <w:p>
            <w:pPr>
              <w:spacing w:before="40" w:after="40"/>
            </w:pPr>
            <w:r>
              <w:rPr>
                <w:rFonts w:ascii="Calibri" w:hAnsi="Calibri"/>
                <w:b/>
                <w:color w:val="FFFFFF"/>
                <w:sz w:val="18"/>
              </w:rPr>
              <w:t>Growth Driver</w:t>
            </w:r>
          </w:p>
        </w:tc>
        <w:tc>
          <w:tcPr>
            <w:tcW w:type="dxa" w:w="2160"/>
            <w:shd w:fill="1F5F8B"/>
          </w:tcPr>
          <w:p>
            <w:pPr>
              <w:spacing w:before="40" w:after="40"/>
            </w:pPr>
            <w:r>
              <w:rPr>
                <w:rFonts w:ascii="Calibri" w:hAnsi="Calibri"/>
                <w:b/>
                <w:color w:val="FFFFFF"/>
                <w:sz w:val="18"/>
              </w:rPr>
              <w:t>Current (FY25/26E)</w:t>
            </w:r>
          </w:p>
        </w:tc>
        <w:tc>
          <w:tcPr>
            <w:tcW w:type="dxa" w:w="2160"/>
            <w:shd w:fill="1F5F8B"/>
          </w:tcPr>
          <w:p>
            <w:pPr>
              <w:spacing w:before="40" w:after="40"/>
            </w:pPr>
            <w:r>
              <w:rPr>
                <w:rFonts w:ascii="Calibri" w:hAnsi="Calibri"/>
                <w:b/>
                <w:color w:val="FFFFFF"/>
                <w:sz w:val="18"/>
              </w:rPr>
              <w:t>Target (FY28-29E)</w:t>
            </w:r>
          </w:p>
        </w:tc>
        <w:tc>
          <w:tcPr>
            <w:tcW w:type="dxa" w:w="2160"/>
            <w:shd w:fill="1F5F8B"/>
          </w:tcPr>
          <w:p>
            <w:pPr>
              <w:spacing w:before="40" w:after="40"/>
            </w:pPr>
            <w:r>
              <w:rPr>
                <w:rFonts w:ascii="Calibri" w:hAnsi="Calibri"/>
                <w:b/>
                <w:color w:val="FFFFFF"/>
                <w:sz w:val="18"/>
              </w:rPr>
              <w:t>CAGR</w:t>
            </w:r>
          </w:p>
        </w:tc>
      </w:tr>
      <w:tr>
        <w:tc>
          <w:tcPr>
            <w:tcW w:type="dxa" w:w="2160"/>
          </w:tcPr>
          <w:p>
            <w:pPr>
              <w:spacing w:before="40" w:after="40"/>
            </w:pPr>
            <w:r>
              <w:rPr>
                <w:rFonts w:ascii="Calibri" w:hAnsi="Calibri"/>
                <w:b/>
                <w:sz w:val="18"/>
              </w:rPr>
              <w:t>Chemicals Segment Revenue</w:t>
            </w:r>
          </w:p>
        </w:tc>
        <w:tc>
          <w:tcPr>
            <w:tcW w:type="dxa" w:w="2160"/>
          </w:tcPr>
          <w:p>
            <w:pPr>
              <w:spacing w:before="40" w:after="40"/>
            </w:pPr>
            <w:r>
              <w:rPr>
                <w:rFonts w:ascii="Calibri" w:hAnsi="Calibri"/>
                <w:sz w:val="18"/>
              </w:rPr>
              <w:t>~₹145,000 Lakhs</w:t>
            </w:r>
          </w:p>
        </w:tc>
        <w:tc>
          <w:tcPr>
            <w:tcW w:type="dxa" w:w="2160"/>
          </w:tcPr>
          <w:p>
            <w:pPr>
              <w:spacing w:before="40" w:after="40"/>
            </w:pPr>
            <w:r>
              <w:rPr>
                <w:rFonts w:ascii="Calibri" w:hAnsi="Calibri"/>
                <w:sz w:val="18"/>
              </w:rPr>
              <w:t>~₹195,000 Lakhs</w:t>
            </w:r>
          </w:p>
        </w:tc>
        <w:tc>
          <w:tcPr>
            <w:tcW w:type="dxa" w:w="2160"/>
          </w:tcPr>
          <w:p>
            <w:pPr>
              <w:spacing w:before="40" w:after="40"/>
            </w:pPr>
            <w:r>
              <w:rPr>
                <w:rFonts w:ascii="Calibri" w:hAnsi="Calibri"/>
                <w:sz w:val="18"/>
              </w:rPr>
              <w:t>~7-8%</w:t>
            </w:r>
          </w:p>
        </w:tc>
      </w:tr>
      <w:tr>
        <w:tc>
          <w:tcPr>
            <w:tcW w:type="dxa" w:w="2160"/>
            <w:shd w:fill="E8F0FE"/>
          </w:tcPr>
          <w:p>
            <w:pPr>
              <w:spacing w:before="40" w:after="40"/>
            </w:pPr>
            <w:r>
              <w:rPr>
                <w:rFonts w:ascii="Calibri" w:hAnsi="Calibri"/>
                <w:b/>
                <w:sz w:val="18"/>
              </w:rPr>
              <w:t>Oils &amp; Fats Segment Revenue</w:t>
            </w:r>
          </w:p>
        </w:tc>
        <w:tc>
          <w:tcPr>
            <w:tcW w:type="dxa" w:w="2160"/>
            <w:shd w:fill="E8F0FE"/>
          </w:tcPr>
          <w:p>
            <w:pPr>
              <w:spacing w:before="40" w:after="40"/>
            </w:pPr>
            <w:r>
              <w:rPr>
                <w:rFonts w:ascii="Calibri" w:hAnsi="Calibri"/>
                <w:sz w:val="18"/>
              </w:rPr>
              <w:t>~₹2,972 Lakhs</w:t>
            </w:r>
          </w:p>
        </w:tc>
        <w:tc>
          <w:tcPr>
            <w:tcW w:type="dxa" w:w="2160"/>
            <w:shd w:fill="E8F0FE"/>
          </w:tcPr>
          <w:p>
            <w:pPr>
              <w:spacing w:before="40" w:after="40"/>
            </w:pPr>
            <w:r>
              <w:rPr>
                <w:rFonts w:ascii="Calibri" w:hAnsi="Calibri"/>
                <w:sz w:val="18"/>
              </w:rPr>
              <w:t>~₹3,500 Lakhs</w:t>
            </w:r>
          </w:p>
        </w:tc>
        <w:tc>
          <w:tcPr>
            <w:tcW w:type="dxa" w:w="2160"/>
            <w:shd w:fill="E8F0FE"/>
          </w:tcPr>
          <w:p>
            <w:pPr>
              <w:spacing w:before="40" w:after="40"/>
            </w:pPr>
            <w:r>
              <w:rPr>
                <w:rFonts w:ascii="Calibri" w:hAnsi="Calibri"/>
                <w:sz w:val="18"/>
              </w:rPr>
              <w:t>~4-5%</w:t>
            </w:r>
          </w:p>
        </w:tc>
      </w:tr>
      <w:tr>
        <w:tc>
          <w:tcPr>
            <w:tcW w:type="dxa" w:w="2160"/>
          </w:tcPr>
          <w:p>
            <w:pPr>
              <w:spacing w:before="40" w:after="40"/>
            </w:pPr>
            <w:r>
              <w:rPr>
                <w:rFonts w:ascii="Calibri" w:hAnsi="Calibri"/>
                <w:b/>
                <w:sz w:val="18"/>
              </w:rPr>
              <w:t>Solar Power Capacity</w:t>
            </w:r>
          </w:p>
        </w:tc>
        <w:tc>
          <w:tcPr>
            <w:tcW w:type="dxa" w:w="2160"/>
          </w:tcPr>
          <w:p>
            <w:pPr>
              <w:spacing w:before="40" w:after="40"/>
            </w:pPr>
            <w:r>
              <w:rPr>
                <w:rFonts w:ascii="Calibri" w:hAnsi="Calibri"/>
                <w:sz w:val="18"/>
              </w:rPr>
              <w:t>37.9 MW (as of FY24)</w:t>
            </w:r>
          </w:p>
        </w:tc>
        <w:tc>
          <w:tcPr>
            <w:tcW w:type="dxa" w:w="2160"/>
          </w:tcPr>
          <w:p>
            <w:pPr>
              <w:spacing w:before="40" w:after="40"/>
            </w:pPr>
            <w:r>
              <w:rPr>
                <w:rFonts w:ascii="Calibri" w:hAnsi="Calibri"/>
                <w:sz w:val="18"/>
              </w:rPr>
              <w:t>100 MW (phased)</w:t>
            </w:r>
          </w:p>
        </w:tc>
        <w:tc>
          <w:tcPr>
            <w:tcW w:type="dxa" w:w="2160"/>
          </w:tcPr>
          <w:p>
            <w:pPr>
              <w:spacing w:before="40" w:after="40"/>
            </w:pPr>
            <w:r>
              <w:rPr>
                <w:rFonts w:ascii="Calibri" w:hAnsi="Calibri"/>
                <w:sz w:val="18"/>
              </w:rPr>
              <w:t>N.A.</w:t>
            </w:r>
          </w:p>
        </w:tc>
      </w:tr>
      <w:tr>
        <w:tc>
          <w:tcPr>
            <w:tcW w:type="dxa" w:w="2160"/>
            <w:shd w:fill="E8F0FE"/>
          </w:tcPr>
          <w:p>
            <w:pPr>
              <w:spacing w:before="40" w:after="40"/>
            </w:pPr>
            <w:r>
              <w:rPr>
                <w:rFonts w:ascii="Calibri" w:hAnsi="Calibri"/>
                <w:b/>
                <w:sz w:val="18"/>
              </w:rPr>
              <w:t>Caustic Soda Expansion</w:t>
            </w:r>
          </w:p>
        </w:tc>
        <w:tc>
          <w:tcPr>
            <w:tcW w:type="dxa" w:w="2160"/>
            <w:shd w:fill="E8F0FE"/>
          </w:tcPr>
          <w:p>
            <w:pPr>
              <w:spacing w:before="40" w:after="40"/>
            </w:pPr>
            <w:r>
              <w:rPr>
                <w:rFonts w:ascii="Calibri" w:hAnsi="Calibri"/>
                <w:sz w:val="18"/>
              </w:rPr>
              <w:t>450 MT/day (projected)</w:t>
            </w:r>
          </w:p>
        </w:tc>
        <w:tc>
          <w:tcPr>
            <w:tcW w:type="dxa" w:w="2160"/>
            <w:shd w:fill="E8F0FE"/>
          </w:tcPr>
          <w:p>
            <w:pPr>
              <w:spacing w:before="40" w:after="40"/>
            </w:pPr>
            <w:r>
              <w:rPr>
                <w:rFonts w:ascii="Calibri" w:hAnsi="Calibri"/>
                <w:sz w:val="18"/>
              </w:rPr>
              <w:t>N.A.</w:t>
            </w:r>
          </w:p>
        </w:tc>
        <w:tc>
          <w:tcPr>
            <w:tcW w:type="dxa" w:w="2160"/>
            <w:shd w:fill="E8F0FE"/>
          </w:tcPr>
          <w:p>
            <w:pPr>
              <w:spacing w:before="40" w:after="40"/>
            </w:pPr>
            <w:r>
              <w:rPr>
                <w:rFonts w:ascii="Calibri" w:hAnsi="Calibri"/>
                <w:sz w:val="18"/>
              </w:rPr>
              <w:t>N.A.</w:t>
            </w:r>
          </w:p>
        </w:tc>
      </w:tr>
    </w:tbl>
    <w:p/>
    <w:p>
      <w:pPr>
        <w:pStyle w:val="Heading2"/>
      </w:pPr>
      <w:r>
        <w:rPr>
          <w:rFonts w:ascii="Calibri" w:hAnsi="Calibri"/>
          <w:color w:val="1F5F8B"/>
          <w:sz w:val="26"/>
        </w:rPr>
        <w:t>6.2 Caustic Soda Expansion Project</w:t>
      </w:r>
    </w:p>
    <w:p>
      <w:pPr>
        <w:spacing w:after="80"/>
      </w:pPr>
      <w:r>
        <w:rPr>
          <w:rFonts w:ascii="Calibri" w:hAnsi="Calibri"/>
          <w:color w:val="333333"/>
          <w:sz w:val="20"/>
        </w:rPr>
        <w:t>The company has received in-principle approval for the implementation of a Caustic Soda expansion project, targeting an additional capacity of 450 MT of Caustic Soda and 400 MT of Chlorine, at an approximate cost of ₹350 Crores. This project, a revision from an earlier proposal, is a significant step towards enhancing its core Chlor-Alkali business. The expansion is expected to leverage the company's existing infrastructure and market position, driving revenue growth and improving operational efficiencies through economies of scale. The timeline for implementation and full ramp-up will be critical to realizing its full potential.</w:t>
      </w:r>
    </w:p>
    <w:p>
      <w:pPr>
        <w:pStyle w:val="Heading2"/>
      </w:pPr>
      <w:r>
        <w:rPr>
          <w:rFonts w:ascii="Calibri" w:hAnsi="Calibri"/>
          <w:color w:val="1F5F8B"/>
          <w:sz w:val="26"/>
        </w:rPr>
        <w:t>6.3 Solar Power Capacity Enhancement</w:t>
      </w:r>
    </w:p>
    <w:p>
      <w:pPr>
        <w:spacing w:after="80"/>
      </w:pPr>
      <w:r>
        <w:rPr>
          <w:rFonts w:ascii="Calibri" w:hAnsi="Calibri"/>
          <w:color w:val="333333"/>
          <w:sz w:val="20"/>
        </w:rPr>
        <w:t>TGV Sraac is strategically increasing its solar power generation capacity, with plans to scale up to 100 MW in stages. The company has already installed 37.9 MW of solar capacity as of FY24 and is actively pursuing further additions. This initiative is driven by the need to manage power costs, which are a significant component of production expenses in the power-intensive Chlor-Alkali industry. By increasing its captive renewable energy generation, the company aims to achieve cost savings, improve profitability, and enhance its sustainability credentials, thereby creating a competitive advantage.</w:t>
      </w:r>
    </w:p>
    <w:p>
      <w:pPr>
        <w:pStyle w:val="Heading2"/>
      </w:pPr>
      <w:r>
        <w:rPr>
          <w:rFonts w:ascii="Calibri" w:hAnsi="Calibri"/>
          <w:color w:val="1F5F8B"/>
          <w:sz w:val="26"/>
        </w:rPr>
        <w:t>6.4 Chloromethanes Capacity Enhancement</w:t>
      </w:r>
    </w:p>
    <w:p>
      <w:pPr>
        <w:spacing w:after="80"/>
      </w:pPr>
      <w:r>
        <w:rPr>
          <w:rFonts w:ascii="Calibri" w:hAnsi="Calibri"/>
          <w:color w:val="333333"/>
          <w:sz w:val="20"/>
        </w:rPr>
        <w:t>Recognizing the value-addition potential and the need for chlorine offtake, TGV Sraac is also looking to increase its Chloromethanes capacity by an additional 125 TPD to its existing 250 TPD capacity. This move aims to absorb a larger portion of its captive chlorine production, thereby improving the overall economics of its Chlor-Alkali operations and capitalizing on the growing demand for Chloromethanes in various applications like refrigerants, pharmaceuticals, and construction.</w:t>
      </w:r>
    </w:p>
    <w:p>
      <w:pPr>
        <w:pStyle w:val="Heading2"/>
      </w:pPr>
      <w:r>
        <w:rPr>
          <w:rFonts w:ascii="Calibri" w:hAnsi="Calibri"/>
          <w:color w:val="1F5F8B"/>
          <w:sz w:val="26"/>
        </w:rPr>
        <w:t>6.5 Focus on Operational Efficiency and Cost Control</w:t>
      </w:r>
    </w:p>
    <w:p>
      <w:pPr>
        <w:spacing w:after="80"/>
      </w:pPr>
      <w:r>
        <w:rPr>
          <w:rFonts w:ascii="Calibri" w:hAnsi="Calibri"/>
          <w:color w:val="333333"/>
          <w:sz w:val="20"/>
        </w:rPr>
        <w:t>Management's guidance and recent financial performance indicate a strong focus on operational efficiency and cost control. This includes optimizing raw material procurement, managing power and fuel costs through solar energy initiatives, and improving process efficiencies across its manufacturing verticals. These efforts are crucial for navigating market volatility and enhancing profitability.</w:t>
      </w:r>
    </w:p>
    <w:p>
      <w:pPr>
        <w:pStyle w:val="Heading1"/>
      </w:pPr>
      <w:r>
        <w:rPr>
          <w:rFonts w:ascii="Calibri" w:hAnsi="Calibri"/>
          <w:color w:val="1F5F8B"/>
          <w:sz w:val="32"/>
        </w:rPr>
        <w:t>7. Future Revenue &amp; EBITDA Estimates</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t>Particulars</w:t>
            </w:r>
          </w:p>
        </w:tc>
        <w:tc>
          <w:tcPr>
            <w:tcW w:type="dxa" w:w="1440"/>
            <w:shd w:fill="1F5F8B"/>
          </w:tcPr>
          <w:p>
            <w:pPr>
              <w:spacing w:before="40" w:after="40"/>
            </w:pPr>
            <w:r>
              <w:rPr>
                <w:rFonts w:ascii="Calibri" w:hAnsi="Calibri"/>
                <w:b/>
                <w:color w:val="FFFFFF"/>
                <w:sz w:val="18"/>
              </w:rPr>
              <w:t>FY25A</w:t>
            </w:r>
          </w:p>
        </w:tc>
        <w:tc>
          <w:tcPr>
            <w:tcW w:type="dxa" w:w="1440"/>
            <w:shd w:fill="1F5F8B"/>
          </w:tcPr>
          <w:p>
            <w:pPr>
              <w:spacing w:before="40" w:after="40"/>
            </w:pPr>
            <w:r>
              <w:rPr>
                <w:rFonts w:ascii="Calibri" w:hAnsi="Calibri"/>
                <w:b/>
                <w:color w:val="FFFFFF"/>
                <w:sz w:val="18"/>
              </w:rPr>
              <w:t>FY26E</w:t>
            </w:r>
          </w:p>
        </w:tc>
        <w:tc>
          <w:tcPr>
            <w:tcW w:type="dxa" w:w="1440"/>
            <w:shd w:fill="1F5F8B"/>
          </w:tcPr>
          <w:p>
            <w:pPr>
              <w:spacing w:before="40" w:after="40"/>
            </w:pPr>
            <w:r>
              <w:rPr>
                <w:rFonts w:ascii="Calibri" w:hAnsi="Calibri"/>
                <w:b/>
                <w:color w:val="FFFFFF"/>
                <w:sz w:val="18"/>
              </w:rPr>
              <w:t>FY27E</w:t>
            </w:r>
          </w:p>
        </w:tc>
        <w:tc>
          <w:tcPr>
            <w:tcW w:type="dxa" w:w="1440"/>
            <w:shd w:fill="1F5F8B"/>
          </w:tcPr>
          <w:p>
            <w:pPr>
              <w:spacing w:before="40" w:after="40"/>
            </w:pPr>
            <w:r>
              <w:rPr>
                <w:rFonts w:ascii="Calibri" w:hAnsi="Calibri"/>
                <w:b/>
                <w:color w:val="FFFFFF"/>
                <w:sz w:val="18"/>
              </w:rPr>
              <w:t>FY28E</w:t>
            </w:r>
          </w:p>
        </w:tc>
        <w:tc>
          <w:tcPr>
            <w:tcW w:type="dxa" w:w="1440"/>
            <w:shd w:fill="1F5F8B"/>
          </w:tcPr>
          <w:p>
            <w:pPr>
              <w:spacing w:before="40" w:after="40"/>
            </w:pPr>
            <w:r>
              <w:rPr>
                <w:rFonts w:ascii="Calibri" w:hAnsi="Calibri"/>
                <w:b/>
                <w:color w:val="FFFFFF"/>
                <w:sz w:val="18"/>
              </w:rPr>
              <w:t>FY29E</w:t>
            </w:r>
          </w:p>
        </w:tc>
      </w:tr>
      <w:tr>
        <w:tc>
          <w:tcPr>
            <w:tcW w:type="dxa" w:w="1440"/>
          </w:tcPr>
          <w:p>
            <w:pPr>
              <w:spacing w:before="40" w:after="40"/>
            </w:pPr>
            <w:r>
              <w:rPr>
                <w:rFonts w:ascii="Calibri" w:hAnsi="Calibri"/>
                <w:b/>
                <w:sz w:val="18"/>
              </w:rPr>
              <w:t>Revenue from Operations</w:t>
            </w:r>
          </w:p>
        </w:tc>
        <w:tc>
          <w:tcPr>
            <w:tcW w:type="dxa" w:w="1440"/>
          </w:tcPr>
          <w:p>
            <w:pPr>
              <w:spacing w:before="40" w:after="40"/>
            </w:pPr>
            <w:r>
              <w:rPr>
                <w:rFonts w:ascii="Calibri" w:hAnsi="Calibri"/>
                <w:sz w:val="18"/>
              </w:rPr>
              <w:t>143,913</w:t>
            </w:r>
          </w:p>
        </w:tc>
        <w:tc>
          <w:tcPr>
            <w:tcW w:type="dxa" w:w="1440"/>
          </w:tcPr>
          <w:p>
            <w:pPr>
              <w:spacing w:before="40" w:after="40"/>
            </w:pPr>
            <w:r>
              <w:rPr>
                <w:rFonts w:ascii="Calibri" w:hAnsi="Calibri"/>
                <w:sz w:val="18"/>
              </w:rPr>
              <w:t>174,904</w:t>
            </w:r>
          </w:p>
        </w:tc>
        <w:tc>
          <w:tcPr>
            <w:tcW w:type="dxa" w:w="1440"/>
          </w:tcPr>
          <w:p>
            <w:pPr>
              <w:spacing w:before="40" w:after="40"/>
            </w:pPr>
            <w:r>
              <w:rPr>
                <w:rFonts w:ascii="Calibri" w:hAnsi="Calibri"/>
                <w:sz w:val="18"/>
              </w:rPr>
              <w:t>195,000</w:t>
            </w:r>
          </w:p>
        </w:tc>
        <w:tc>
          <w:tcPr>
            <w:tcW w:type="dxa" w:w="1440"/>
          </w:tcPr>
          <w:p>
            <w:pPr>
              <w:spacing w:before="40" w:after="40"/>
            </w:pPr>
            <w:r>
              <w:rPr>
                <w:rFonts w:ascii="Calibri" w:hAnsi="Calibri"/>
                <w:sz w:val="18"/>
              </w:rPr>
              <w:t>215,000</w:t>
            </w:r>
          </w:p>
        </w:tc>
        <w:tc>
          <w:tcPr>
            <w:tcW w:type="dxa" w:w="1440"/>
          </w:tcPr>
          <w:p>
            <w:pPr>
              <w:spacing w:before="40" w:after="40"/>
            </w:pPr>
            <w:r>
              <w:rPr>
                <w:rFonts w:ascii="Calibri" w:hAnsi="Calibri"/>
                <w:sz w:val="18"/>
              </w:rPr>
              <w:t>235,000</w:t>
            </w:r>
          </w:p>
        </w:tc>
      </w:tr>
      <w:tr>
        <w:tc>
          <w:tcPr>
            <w:tcW w:type="dxa" w:w="1440"/>
            <w:shd w:fill="E8F0FE"/>
          </w:tcPr>
          <w:p>
            <w:pPr>
              <w:spacing w:before="40" w:after="40"/>
            </w:pPr>
            <w:r>
              <w:rPr>
                <w:rFonts w:ascii="Calibri" w:hAnsi="Calibri"/>
                <w:b/>
                <w:sz w:val="18"/>
              </w:rPr>
              <w:t>Revenue Growth (%)</w:t>
            </w:r>
          </w:p>
        </w:tc>
        <w:tc>
          <w:tcPr>
            <w:tcW w:type="dxa" w:w="1440"/>
            <w:shd w:fill="E8F0FE"/>
          </w:tcPr>
          <w:p>
            <w:pPr>
              <w:spacing w:before="40" w:after="40"/>
            </w:pPr>
            <w:r>
              <w:rPr>
                <w:rFonts w:ascii="Calibri" w:hAnsi="Calibri"/>
                <w:sz w:val="18"/>
              </w:rPr>
              <w:t>-</w:t>
            </w:r>
          </w:p>
        </w:tc>
        <w:tc>
          <w:tcPr>
            <w:tcW w:type="dxa" w:w="1440"/>
            <w:shd w:fill="E8F0FE"/>
          </w:tcPr>
          <w:p>
            <w:pPr>
              <w:spacing w:before="40" w:after="40"/>
            </w:pPr>
            <w:r>
              <w:rPr>
                <w:rFonts w:ascii="Calibri" w:hAnsi="Calibri"/>
                <w:sz w:val="18"/>
              </w:rPr>
              <w:t>21.5%</w:t>
            </w:r>
          </w:p>
        </w:tc>
        <w:tc>
          <w:tcPr>
            <w:tcW w:type="dxa" w:w="1440"/>
            <w:shd w:fill="E8F0FE"/>
          </w:tcPr>
          <w:p>
            <w:pPr>
              <w:spacing w:before="40" w:after="40"/>
            </w:pPr>
            <w:r>
              <w:rPr>
                <w:rFonts w:ascii="Calibri" w:hAnsi="Calibri"/>
                <w:sz w:val="18"/>
              </w:rPr>
              <w:t>11.5%</w:t>
            </w:r>
          </w:p>
        </w:tc>
        <w:tc>
          <w:tcPr>
            <w:tcW w:type="dxa" w:w="1440"/>
            <w:shd w:fill="E8F0FE"/>
          </w:tcPr>
          <w:p>
            <w:pPr>
              <w:spacing w:before="40" w:after="40"/>
            </w:pPr>
            <w:r>
              <w:rPr>
                <w:rFonts w:ascii="Calibri" w:hAnsi="Calibri"/>
                <w:sz w:val="18"/>
              </w:rPr>
              <w:t>10.3%</w:t>
            </w:r>
          </w:p>
        </w:tc>
        <w:tc>
          <w:tcPr>
            <w:tcW w:type="dxa" w:w="1440"/>
            <w:shd w:fill="E8F0FE"/>
          </w:tcPr>
          <w:p>
            <w:pPr>
              <w:spacing w:before="40" w:after="40"/>
            </w:pPr>
            <w:r>
              <w:rPr>
                <w:rFonts w:ascii="Calibri" w:hAnsi="Calibri"/>
                <w:sz w:val="18"/>
              </w:rPr>
              <w:t>9.3%</w:t>
            </w:r>
          </w:p>
        </w:tc>
      </w:tr>
      <w:tr>
        <w:tc>
          <w:tcPr>
            <w:tcW w:type="dxa" w:w="1440"/>
          </w:tcPr>
          <w:p>
            <w:pPr>
              <w:spacing w:before="40" w:after="40"/>
            </w:pPr>
            <w:r>
              <w:rPr>
                <w:rFonts w:ascii="Calibri" w:hAnsi="Calibri"/>
                <w:b/>
                <w:sz w:val="18"/>
              </w:rPr>
              <w:t>Gross Profit</w:t>
            </w:r>
          </w:p>
        </w:tc>
        <w:tc>
          <w:tcPr>
            <w:tcW w:type="dxa" w:w="1440"/>
          </w:tcPr>
          <w:p>
            <w:pPr>
              <w:spacing w:before="40" w:after="40"/>
            </w:pPr>
            <w:r>
              <w:rPr>
                <w:rFonts w:ascii="Calibri" w:hAnsi="Calibri"/>
                <w:sz w:val="18"/>
              </w:rPr>
              <w:t>92,737</w:t>
            </w:r>
          </w:p>
        </w:tc>
        <w:tc>
          <w:tcPr>
            <w:tcW w:type="dxa" w:w="1440"/>
          </w:tcPr>
          <w:p>
            <w:pPr>
              <w:spacing w:before="40" w:after="40"/>
            </w:pPr>
            <w:r>
              <w:rPr>
                <w:rFonts w:ascii="Calibri" w:hAnsi="Calibri"/>
                <w:sz w:val="18"/>
              </w:rPr>
              <w:t>113,300</w:t>
            </w:r>
          </w:p>
        </w:tc>
        <w:tc>
          <w:tcPr>
            <w:tcW w:type="dxa" w:w="1440"/>
          </w:tcPr>
          <w:p>
            <w:pPr>
              <w:spacing w:before="40" w:after="40"/>
            </w:pPr>
            <w:r>
              <w:rPr>
                <w:rFonts w:ascii="Calibri" w:hAnsi="Calibri"/>
                <w:sz w:val="18"/>
              </w:rPr>
              <w:t>125,000</w:t>
            </w:r>
          </w:p>
        </w:tc>
        <w:tc>
          <w:tcPr>
            <w:tcW w:type="dxa" w:w="1440"/>
          </w:tcPr>
          <w:p>
            <w:pPr>
              <w:spacing w:before="40" w:after="40"/>
            </w:pPr>
            <w:r>
              <w:rPr>
                <w:rFonts w:ascii="Calibri" w:hAnsi="Calibri"/>
                <w:sz w:val="18"/>
              </w:rPr>
              <w:t>138,000</w:t>
            </w:r>
          </w:p>
        </w:tc>
        <w:tc>
          <w:tcPr>
            <w:tcW w:type="dxa" w:w="1440"/>
          </w:tcPr>
          <w:p>
            <w:pPr>
              <w:spacing w:before="40" w:after="40"/>
            </w:pPr>
            <w:r>
              <w:rPr>
                <w:rFonts w:ascii="Calibri" w:hAnsi="Calibri"/>
                <w:sz w:val="18"/>
              </w:rPr>
              <w:t>150,000</w:t>
            </w:r>
          </w:p>
        </w:tc>
      </w:tr>
      <w:tr>
        <w:tc>
          <w:tcPr>
            <w:tcW w:type="dxa" w:w="1440"/>
            <w:shd w:fill="E8F0FE"/>
          </w:tcPr>
          <w:p>
            <w:pPr>
              <w:spacing w:before="40" w:after="40"/>
            </w:pPr>
            <w:r>
              <w:rPr>
                <w:rFonts w:ascii="Calibri" w:hAnsi="Calibri"/>
                <w:b/>
                <w:sz w:val="18"/>
              </w:rPr>
              <w:t>Gross Margin (%)</w:t>
            </w:r>
          </w:p>
        </w:tc>
        <w:tc>
          <w:tcPr>
            <w:tcW w:type="dxa" w:w="1440"/>
            <w:shd w:fill="E8F0FE"/>
          </w:tcPr>
          <w:p>
            <w:pPr>
              <w:spacing w:before="40" w:after="40"/>
            </w:pPr>
            <w:r>
              <w:rPr>
                <w:rFonts w:ascii="Calibri" w:hAnsi="Calibri"/>
                <w:sz w:val="18"/>
              </w:rPr>
              <w:t>64.4%</w:t>
            </w:r>
          </w:p>
        </w:tc>
        <w:tc>
          <w:tcPr>
            <w:tcW w:type="dxa" w:w="1440"/>
            <w:shd w:fill="E8F0FE"/>
          </w:tcPr>
          <w:p>
            <w:pPr>
              <w:spacing w:before="40" w:after="40"/>
            </w:pPr>
            <w:r>
              <w:rPr>
                <w:rFonts w:ascii="Calibri" w:hAnsi="Calibri"/>
                <w:sz w:val="18"/>
              </w:rPr>
              <w:t>64.8%</w:t>
            </w:r>
          </w:p>
        </w:tc>
        <w:tc>
          <w:tcPr>
            <w:tcW w:type="dxa" w:w="1440"/>
            <w:shd w:fill="E8F0FE"/>
          </w:tcPr>
          <w:p>
            <w:pPr>
              <w:spacing w:before="40" w:after="40"/>
            </w:pPr>
            <w:r>
              <w:rPr>
                <w:rFonts w:ascii="Calibri" w:hAnsi="Calibri"/>
                <w:sz w:val="18"/>
              </w:rPr>
              <w:t>64.1%</w:t>
            </w:r>
          </w:p>
        </w:tc>
        <w:tc>
          <w:tcPr>
            <w:tcW w:type="dxa" w:w="1440"/>
            <w:shd w:fill="E8F0FE"/>
          </w:tcPr>
          <w:p>
            <w:pPr>
              <w:spacing w:before="40" w:after="40"/>
            </w:pPr>
            <w:r>
              <w:rPr>
                <w:rFonts w:ascii="Calibri" w:hAnsi="Calibri"/>
                <w:sz w:val="18"/>
              </w:rPr>
              <w:t>64.2%</w:t>
            </w:r>
          </w:p>
        </w:tc>
        <w:tc>
          <w:tcPr>
            <w:tcW w:type="dxa" w:w="1440"/>
            <w:shd w:fill="E8F0FE"/>
          </w:tcPr>
          <w:p>
            <w:pPr>
              <w:spacing w:before="40" w:after="40"/>
            </w:pPr>
            <w:r>
              <w:rPr>
                <w:rFonts w:ascii="Calibri" w:hAnsi="Calibri"/>
                <w:sz w:val="18"/>
              </w:rPr>
              <w:t>63.8%</w:t>
            </w:r>
          </w:p>
        </w:tc>
      </w:tr>
      <w:tr>
        <w:tc>
          <w:tcPr>
            <w:tcW w:type="dxa" w:w="1440"/>
          </w:tcPr>
          <w:p>
            <w:pPr>
              <w:spacing w:before="40" w:after="40"/>
            </w:pPr>
            <w:r>
              <w:rPr>
                <w:rFonts w:ascii="Calibri" w:hAnsi="Calibri"/>
                <w:b/>
                <w:sz w:val="18"/>
              </w:rPr>
              <w:t>EBITDA (Operating)</w:t>
            </w:r>
          </w:p>
        </w:tc>
        <w:tc>
          <w:tcPr>
            <w:tcW w:type="dxa" w:w="1440"/>
          </w:tcPr>
          <w:p>
            <w:pPr>
              <w:spacing w:before="40" w:after="40"/>
            </w:pPr>
            <w:r>
              <w:rPr>
                <w:rFonts w:ascii="Calibri" w:hAnsi="Calibri"/>
                <w:sz w:val="18"/>
              </w:rPr>
              <w:t>14,028</w:t>
            </w:r>
          </w:p>
        </w:tc>
        <w:tc>
          <w:tcPr>
            <w:tcW w:type="dxa" w:w="1440"/>
          </w:tcPr>
          <w:p>
            <w:pPr>
              <w:spacing w:before="40" w:after="40"/>
            </w:pPr>
            <w:r>
              <w:rPr>
                <w:rFonts w:ascii="Calibri" w:hAnsi="Calibri"/>
                <w:sz w:val="18"/>
              </w:rPr>
              <w:t>17,000</w:t>
            </w:r>
          </w:p>
        </w:tc>
        <w:tc>
          <w:tcPr>
            <w:tcW w:type="dxa" w:w="1440"/>
          </w:tcPr>
          <w:p>
            <w:pPr>
              <w:spacing w:before="40" w:after="40"/>
            </w:pPr>
            <w:r>
              <w:rPr>
                <w:rFonts w:ascii="Calibri" w:hAnsi="Calibri"/>
                <w:sz w:val="18"/>
              </w:rPr>
              <w:t>19,000</w:t>
            </w:r>
          </w:p>
        </w:tc>
        <w:tc>
          <w:tcPr>
            <w:tcW w:type="dxa" w:w="1440"/>
          </w:tcPr>
          <w:p>
            <w:pPr>
              <w:spacing w:before="40" w:after="40"/>
            </w:pPr>
            <w:r>
              <w:rPr>
                <w:rFonts w:ascii="Calibri" w:hAnsi="Calibri"/>
                <w:sz w:val="18"/>
              </w:rPr>
              <w:t>21,000</w:t>
            </w:r>
          </w:p>
        </w:tc>
        <w:tc>
          <w:tcPr>
            <w:tcW w:type="dxa" w:w="1440"/>
          </w:tcPr>
          <w:p>
            <w:pPr>
              <w:spacing w:before="40" w:after="40"/>
            </w:pPr>
            <w:r>
              <w:rPr>
                <w:rFonts w:ascii="Calibri" w:hAnsi="Calibri"/>
                <w:sz w:val="18"/>
              </w:rPr>
              <w:t>23,000</w:t>
            </w:r>
          </w:p>
        </w:tc>
      </w:tr>
      <w:tr>
        <w:tc>
          <w:tcPr>
            <w:tcW w:type="dxa" w:w="1440"/>
            <w:shd w:fill="E8F0FE"/>
          </w:tcPr>
          <w:p>
            <w:pPr>
              <w:spacing w:before="40" w:after="40"/>
            </w:pPr>
            <w:r>
              <w:rPr>
                <w:rFonts w:ascii="Calibri" w:hAnsi="Calibri"/>
                <w:b/>
                <w:sz w:val="18"/>
              </w:rPr>
              <w:t>EBITDA Margin (%)</w:t>
            </w:r>
          </w:p>
        </w:tc>
        <w:tc>
          <w:tcPr>
            <w:tcW w:type="dxa" w:w="1440"/>
            <w:shd w:fill="E8F0FE"/>
          </w:tcPr>
          <w:p>
            <w:pPr>
              <w:spacing w:before="40" w:after="40"/>
            </w:pPr>
            <w:r>
              <w:rPr>
                <w:rFonts w:ascii="Calibri" w:hAnsi="Calibri"/>
                <w:sz w:val="18"/>
              </w:rPr>
              <w:t>9.8%</w:t>
            </w:r>
          </w:p>
        </w:tc>
        <w:tc>
          <w:tcPr>
            <w:tcW w:type="dxa" w:w="1440"/>
            <w:shd w:fill="E8F0FE"/>
          </w:tcPr>
          <w:p>
            <w:pPr>
              <w:spacing w:before="40" w:after="40"/>
            </w:pPr>
            <w:r>
              <w:rPr>
                <w:rFonts w:ascii="Calibri" w:hAnsi="Calibri"/>
                <w:sz w:val="18"/>
              </w:rPr>
              <w:t>9.7%</w:t>
            </w:r>
          </w:p>
        </w:tc>
        <w:tc>
          <w:tcPr>
            <w:tcW w:type="dxa" w:w="1440"/>
            <w:shd w:fill="E8F0FE"/>
          </w:tcPr>
          <w:p>
            <w:pPr>
              <w:spacing w:before="40" w:after="40"/>
            </w:pPr>
            <w:r>
              <w:rPr>
                <w:rFonts w:ascii="Calibri" w:hAnsi="Calibri"/>
                <w:sz w:val="18"/>
              </w:rPr>
              <w:t>9.7%</w:t>
            </w:r>
          </w:p>
        </w:tc>
        <w:tc>
          <w:tcPr>
            <w:tcW w:type="dxa" w:w="1440"/>
            <w:shd w:fill="E8F0FE"/>
          </w:tcPr>
          <w:p>
            <w:pPr>
              <w:spacing w:before="40" w:after="40"/>
            </w:pPr>
            <w:r>
              <w:rPr>
                <w:rFonts w:ascii="Calibri" w:hAnsi="Calibri"/>
                <w:sz w:val="18"/>
              </w:rPr>
              <w:t>9.8%</w:t>
            </w:r>
          </w:p>
        </w:tc>
        <w:tc>
          <w:tcPr>
            <w:tcW w:type="dxa" w:w="1440"/>
            <w:shd w:fill="E8F0FE"/>
          </w:tcPr>
          <w:p>
            <w:pPr>
              <w:spacing w:before="40" w:after="40"/>
            </w:pPr>
            <w:r>
              <w:rPr>
                <w:rFonts w:ascii="Calibri" w:hAnsi="Calibri"/>
                <w:sz w:val="18"/>
              </w:rPr>
              <w:t>9.8%</w:t>
            </w:r>
          </w:p>
        </w:tc>
      </w:tr>
      <w:tr>
        <w:tc>
          <w:tcPr>
            <w:tcW w:type="dxa" w:w="1440"/>
          </w:tcPr>
          <w:p>
            <w:pPr>
              <w:spacing w:before="40" w:after="40"/>
            </w:pPr>
            <w:r>
              <w:rPr>
                <w:rFonts w:ascii="Calibri" w:hAnsi="Calibri"/>
                <w:b/>
                <w:sz w:val="18"/>
              </w:rPr>
              <w:t>Depreciation</w:t>
            </w:r>
          </w:p>
        </w:tc>
        <w:tc>
          <w:tcPr>
            <w:tcW w:type="dxa" w:w="1440"/>
          </w:tcPr>
          <w:p>
            <w:pPr>
              <w:spacing w:before="40" w:after="40"/>
            </w:pPr>
            <w:r>
              <w:rPr>
                <w:rFonts w:ascii="Calibri" w:hAnsi="Calibri"/>
                <w:sz w:val="18"/>
              </w:rPr>
              <w:t>12,197</w:t>
            </w:r>
          </w:p>
        </w:tc>
        <w:tc>
          <w:tcPr>
            <w:tcW w:type="dxa" w:w="1440"/>
          </w:tcPr>
          <w:p>
            <w:pPr>
              <w:spacing w:before="40" w:after="40"/>
            </w:pPr>
            <w:r>
              <w:rPr>
                <w:rFonts w:ascii="Calibri" w:hAnsi="Calibri"/>
                <w:sz w:val="18"/>
              </w:rPr>
              <w:t>13,000</w:t>
            </w:r>
          </w:p>
        </w:tc>
        <w:tc>
          <w:tcPr>
            <w:tcW w:type="dxa" w:w="1440"/>
          </w:tcPr>
          <w:p>
            <w:pPr>
              <w:spacing w:before="40" w:after="40"/>
            </w:pPr>
            <w:r>
              <w:rPr>
                <w:rFonts w:ascii="Calibri" w:hAnsi="Calibri"/>
                <w:sz w:val="18"/>
              </w:rPr>
              <w:t>14,000</w:t>
            </w:r>
          </w:p>
        </w:tc>
        <w:tc>
          <w:tcPr>
            <w:tcW w:type="dxa" w:w="1440"/>
          </w:tcPr>
          <w:p>
            <w:pPr>
              <w:spacing w:before="40" w:after="40"/>
            </w:pPr>
            <w:r>
              <w:rPr>
                <w:rFonts w:ascii="Calibri" w:hAnsi="Calibri"/>
                <w:sz w:val="18"/>
              </w:rPr>
              <w:t>15,000</w:t>
            </w:r>
          </w:p>
        </w:tc>
        <w:tc>
          <w:tcPr>
            <w:tcW w:type="dxa" w:w="1440"/>
          </w:tcPr>
          <w:p>
            <w:pPr>
              <w:spacing w:before="40" w:after="40"/>
            </w:pPr>
            <w:r>
              <w:rPr>
                <w:rFonts w:ascii="Calibri" w:hAnsi="Calibri"/>
                <w:sz w:val="18"/>
              </w:rPr>
              <w:t>16,000</w:t>
            </w:r>
          </w:p>
        </w:tc>
      </w:tr>
      <w:tr>
        <w:tc>
          <w:tcPr>
            <w:tcW w:type="dxa" w:w="1440"/>
            <w:shd w:fill="E8F0FE"/>
          </w:tcPr>
          <w:p>
            <w:pPr>
              <w:spacing w:before="40" w:after="40"/>
            </w:pPr>
            <w:r>
              <w:rPr>
                <w:rFonts w:ascii="Calibri" w:hAnsi="Calibri"/>
                <w:b/>
                <w:sz w:val="18"/>
              </w:rPr>
              <w:t>Finance Cost</w:t>
            </w:r>
          </w:p>
        </w:tc>
        <w:tc>
          <w:tcPr>
            <w:tcW w:type="dxa" w:w="1440"/>
            <w:shd w:fill="E8F0FE"/>
          </w:tcPr>
          <w:p>
            <w:pPr>
              <w:spacing w:before="40" w:after="40"/>
            </w:pPr>
            <w:r>
              <w:rPr>
                <w:rFonts w:ascii="Calibri" w:hAnsi="Calibri"/>
                <w:sz w:val="18"/>
              </w:rPr>
              <w:t>1,688</w:t>
            </w:r>
          </w:p>
        </w:tc>
        <w:tc>
          <w:tcPr>
            <w:tcW w:type="dxa" w:w="1440"/>
            <w:shd w:fill="E8F0FE"/>
          </w:tcPr>
          <w:p>
            <w:pPr>
              <w:spacing w:before="40" w:after="40"/>
            </w:pPr>
            <w:r>
              <w:rPr>
                <w:rFonts w:ascii="Calibri" w:hAnsi="Calibri"/>
                <w:sz w:val="18"/>
              </w:rPr>
              <w:t>1,500</w:t>
            </w:r>
          </w:p>
        </w:tc>
        <w:tc>
          <w:tcPr>
            <w:tcW w:type="dxa" w:w="1440"/>
            <w:shd w:fill="E8F0FE"/>
          </w:tcPr>
          <w:p>
            <w:pPr>
              <w:spacing w:before="40" w:after="40"/>
            </w:pPr>
            <w:r>
              <w:rPr>
                <w:rFonts w:ascii="Calibri" w:hAnsi="Calibri"/>
                <w:sz w:val="18"/>
              </w:rPr>
              <w:t>1,400</w:t>
            </w:r>
          </w:p>
        </w:tc>
        <w:tc>
          <w:tcPr>
            <w:tcW w:type="dxa" w:w="1440"/>
            <w:shd w:fill="E8F0FE"/>
          </w:tcPr>
          <w:p>
            <w:pPr>
              <w:spacing w:before="40" w:after="40"/>
            </w:pPr>
            <w:r>
              <w:rPr>
                <w:rFonts w:ascii="Calibri" w:hAnsi="Calibri"/>
                <w:sz w:val="18"/>
              </w:rPr>
              <w:t>1,300</w:t>
            </w:r>
          </w:p>
        </w:tc>
        <w:tc>
          <w:tcPr>
            <w:tcW w:type="dxa" w:w="1440"/>
            <w:shd w:fill="E8F0FE"/>
          </w:tcPr>
          <w:p>
            <w:pPr>
              <w:spacing w:before="40" w:after="40"/>
            </w:pPr>
            <w:r>
              <w:rPr>
                <w:rFonts w:ascii="Calibri" w:hAnsi="Calibri"/>
                <w:sz w:val="18"/>
              </w:rPr>
              <w:t>1,200</w:t>
            </w:r>
          </w:p>
        </w:tc>
      </w:tr>
      <w:tr>
        <w:tc>
          <w:tcPr>
            <w:tcW w:type="dxa" w:w="1440"/>
          </w:tcPr>
          <w:p>
            <w:pPr>
              <w:spacing w:before="40" w:after="40"/>
            </w:pPr>
            <w:r>
              <w:rPr>
                <w:rFonts w:ascii="Calibri" w:hAnsi="Calibri"/>
                <w:b/>
                <w:sz w:val="18"/>
              </w:rPr>
              <w:t>PBT (Operating)</w:t>
            </w:r>
          </w:p>
        </w:tc>
        <w:tc>
          <w:tcPr>
            <w:tcW w:type="dxa" w:w="1440"/>
          </w:tcPr>
          <w:p>
            <w:pPr>
              <w:spacing w:before="40" w:after="40"/>
            </w:pPr>
            <w:r>
              <w:rPr>
                <w:rFonts w:ascii="Calibri" w:hAnsi="Calibri"/>
                <w:sz w:val="18"/>
              </w:rPr>
              <w:t>10,402</w:t>
            </w:r>
          </w:p>
        </w:tc>
        <w:tc>
          <w:tcPr>
            <w:tcW w:type="dxa" w:w="1440"/>
          </w:tcPr>
          <w:p>
            <w:pPr>
              <w:spacing w:before="40" w:after="40"/>
            </w:pPr>
            <w:r>
              <w:rPr>
                <w:rFonts w:ascii="Calibri" w:hAnsi="Calibri"/>
                <w:sz w:val="18"/>
              </w:rPr>
              <w:t>12,500</w:t>
            </w:r>
          </w:p>
        </w:tc>
        <w:tc>
          <w:tcPr>
            <w:tcW w:type="dxa" w:w="1440"/>
          </w:tcPr>
          <w:p>
            <w:pPr>
              <w:spacing w:before="40" w:after="40"/>
            </w:pPr>
            <w:r>
              <w:rPr>
                <w:rFonts w:ascii="Calibri" w:hAnsi="Calibri"/>
                <w:sz w:val="18"/>
              </w:rPr>
              <w:t>13,600</w:t>
            </w:r>
          </w:p>
        </w:tc>
        <w:tc>
          <w:tcPr>
            <w:tcW w:type="dxa" w:w="1440"/>
          </w:tcPr>
          <w:p>
            <w:pPr>
              <w:spacing w:before="40" w:after="40"/>
            </w:pPr>
            <w:r>
              <w:rPr>
                <w:rFonts w:ascii="Calibri" w:hAnsi="Calibri"/>
                <w:sz w:val="18"/>
              </w:rPr>
              <w:t>14,700</w:t>
            </w:r>
          </w:p>
        </w:tc>
        <w:tc>
          <w:tcPr>
            <w:tcW w:type="dxa" w:w="1440"/>
          </w:tcPr>
          <w:p>
            <w:pPr>
              <w:spacing w:before="40" w:after="40"/>
            </w:pPr>
            <w:r>
              <w:rPr>
                <w:rFonts w:ascii="Calibri" w:hAnsi="Calibri"/>
                <w:sz w:val="18"/>
              </w:rPr>
              <w:t>15,800</w:t>
            </w:r>
          </w:p>
        </w:tc>
      </w:tr>
      <w:tr>
        <w:tc>
          <w:tcPr>
            <w:tcW w:type="dxa" w:w="1440"/>
            <w:shd w:fill="E8F0FE"/>
          </w:tcPr>
          <w:p>
            <w:pPr>
              <w:spacing w:before="40" w:after="40"/>
            </w:pPr>
            <w:r>
              <w:rPr>
                <w:rFonts w:ascii="Calibri" w:hAnsi="Calibri"/>
                <w:b/>
                <w:sz w:val="18"/>
              </w:rPr>
              <w:t>Tax</w:t>
            </w:r>
          </w:p>
        </w:tc>
        <w:tc>
          <w:tcPr>
            <w:tcW w:type="dxa" w:w="1440"/>
            <w:shd w:fill="E8F0FE"/>
          </w:tcPr>
          <w:p>
            <w:pPr>
              <w:spacing w:before="40" w:after="40"/>
            </w:pPr>
            <w:r>
              <w:rPr>
                <w:rFonts w:ascii="Calibri" w:hAnsi="Calibri"/>
                <w:sz w:val="18"/>
              </w:rPr>
              <w:t>3,113</w:t>
            </w:r>
          </w:p>
        </w:tc>
        <w:tc>
          <w:tcPr>
            <w:tcW w:type="dxa" w:w="1440"/>
            <w:shd w:fill="E8F0FE"/>
          </w:tcPr>
          <w:p>
            <w:pPr>
              <w:spacing w:before="40" w:after="40"/>
            </w:pPr>
            <w:r>
              <w:rPr>
                <w:rFonts w:ascii="Calibri" w:hAnsi="Calibri"/>
                <w:sz w:val="18"/>
              </w:rPr>
              <w:t>3,500</w:t>
            </w:r>
          </w:p>
        </w:tc>
        <w:tc>
          <w:tcPr>
            <w:tcW w:type="dxa" w:w="1440"/>
            <w:shd w:fill="E8F0FE"/>
          </w:tcPr>
          <w:p>
            <w:pPr>
              <w:spacing w:before="40" w:after="40"/>
            </w:pPr>
            <w:r>
              <w:rPr>
                <w:rFonts w:ascii="Calibri" w:hAnsi="Calibri"/>
                <w:sz w:val="18"/>
              </w:rPr>
              <w:t>3,800</w:t>
            </w:r>
          </w:p>
        </w:tc>
        <w:tc>
          <w:tcPr>
            <w:tcW w:type="dxa" w:w="1440"/>
            <w:shd w:fill="E8F0FE"/>
          </w:tcPr>
          <w:p>
            <w:pPr>
              <w:spacing w:before="40" w:after="40"/>
            </w:pPr>
            <w:r>
              <w:rPr>
                <w:rFonts w:ascii="Calibri" w:hAnsi="Calibri"/>
                <w:sz w:val="18"/>
              </w:rPr>
              <w:t>4,100</w:t>
            </w:r>
          </w:p>
        </w:tc>
        <w:tc>
          <w:tcPr>
            <w:tcW w:type="dxa" w:w="1440"/>
            <w:shd w:fill="E8F0FE"/>
          </w:tcPr>
          <w:p>
            <w:pPr>
              <w:spacing w:before="40" w:after="40"/>
            </w:pPr>
            <w:r>
              <w:rPr>
                <w:rFonts w:ascii="Calibri" w:hAnsi="Calibri"/>
                <w:sz w:val="18"/>
              </w:rPr>
              <w:t>4,400</w:t>
            </w:r>
          </w:p>
        </w:tc>
      </w:tr>
      <w:tr>
        <w:tc>
          <w:tcPr>
            <w:tcW w:type="dxa" w:w="1440"/>
          </w:tcPr>
          <w:p>
            <w:pPr>
              <w:spacing w:before="40" w:after="40"/>
            </w:pPr>
            <w:r>
              <w:rPr>
                <w:rFonts w:ascii="Calibri" w:hAnsi="Calibri"/>
                <w:b/>
                <w:sz w:val="18"/>
              </w:rPr>
              <w:t>PAT (Operating)</w:t>
            </w:r>
          </w:p>
        </w:tc>
        <w:tc>
          <w:tcPr>
            <w:tcW w:type="dxa" w:w="1440"/>
          </w:tcPr>
          <w:p>
            <w:pPr>
              <w:spacing w:before="40" w:after="40"/>
            </w:pPr>
            <w:r>
              <w:rPr>
                <w:rFonts w:ascii="Calibri" w:hAnsi="Calibri"/>
                <w:sz w:val="18"/>
              </w:rPr>
              <w:t>7,061</w:t>
            </w:r>
          </w:p>
        </w:tc>
        <w:tc>
          <w:tcPr>
            <w:tcW w:type="dxa" w:w="1440"/>
          </w:tcPr>
          <w:p>
            <w:pPr>
              <w:spacing w:before="40" w:after="40"/>
            </w:pPr>
            <w:r>
              <w:rPr>
                <w:rFonts w:ascii="Calibri" w:hAnsi="Calibri"/>
                <w:sz w:val="18"/>
              </w:rPr>
              <w:t>9,000</w:t>
            </w:r>
          </w:p>
        </w:tc>
        <w:tc>
          <w:tcPr>
            <w:tcW w:type="dxa" w:w="1440"/>
          </w:tcPr>
          <w:p>
            <w:pPr>
              <w:spacing w:before="40" w:after="40"/>
            </w:pPr>
            <w:r>
              <w:rPr>
                <w:rFonts w:ascii="Calibri" w:hAnsi="Calibri"/>
                <w:sz w:val="18"/>
              </w:rPr>
              <w:t>9,800</w:t>
            </w:r>
          </w:p>
        </w:tc>
        <w:tc>
          <w:tcPr>
            <w:tcW w:type="dxa" w:w="1440"/>
          </w:tcPr>
          <w:p>
            <w:pPr>
              <w:spacing w:before="40" w:after="40"/>
            </w:pPr>
            <w:r>
              <w:rPr>
                <w:rFonts w:ascii="Calibri" w:hAnsi="Calibri"/>
                <w:sz w:val="18"/>
              </w:rPr>
              <w:t>10,600</w:t>
            </w:r>
          </w:p>
        </w:tc>
        <w:tc>
          <w:tcPr>
            <w:tcW w:type="dxa" w:w="1440"/>
          </w:tcPr>
          <w:p>
            <w:pPr>
              <w:spacing w:before="40" w:after="40"/>
            </w:pPr>
            <w:r>
              <w:rPr>
                <w:rFonts w:ascii="Calibri" w:hAnsi="Calibri"/>
                <w:sz w:val="18"/>
              </w:rPr>
              <w:t>11,400</w:t>
            </w:r>
          </w:p>
        </w:tc>
      </w:tr>
      <w:tr>
        <w:tc>
          <w:tcPr>
            <w:tcW w:type="dxa" w:w="1440"/>
            <w:shd w:fill="E8F0FE"/>
          </w:tcPr>
          <w:p>
            <w:pPr>
              <w:spacing w:before="40" w:after="40"/>
            </w:pPr>
            <w:r>
              <w:rPr>
                <w:rFonts w:ascii="Calibri" w:hAnsi="Calibri"/>
                <w:b/>
                <w:sz w:val="18"/>
              </w:rPr>
              <w:t>EPS (Operating)</w:t>
            </w:r>
          </w:p>
        </w:tc>
        <w:tc>
          <w:tcPr>
            <w:tcW w:type="dxa" w:w="1440"/>
            <w:shd w:fill="E8F0FE"/>
          </w:tcPr>
          <w:p>
            <w:pPr>
              <w:spacing w:before="40" w:after="40"/>
            </w:pPr>
            <w:r>
              <w:rPr>
                <w:rFonts w:ascii="Calibri" w:hAnsi="Calibri"/>
                <w:sz w:val="18"/>
              </w:rPr>
              <w:t>6.59</w:t>
            </w:r>
          </w:p>
        </w:tc>
        <w:tc>
          <w:tcPr>
            <w:tcW w:type="dxa" w:w="1440"/>
            <w:shd w:fill="E8F0FE"/>
          </w:tcPr>
          <w:p>
            <w:pPr>
              <w:spacing w:before="40" w:after="40"/>
            </w:pPr>
            <w:r>
              <w:rPr>
                <w:rFonts w:ascii="Calibri" w:hAnsi="Calibri"/>
                <w:sz w:val="18"/>
              </w:rPr>
              <w:t>8.40</w:t>
            </w:r>
          </w:p>
        </w:tc>
        <w:tc>
          <w:tcPr>
            <w:tcW w:type="dxa" w:w="1440"/>
            <w:shd w:fill="E8F0FE"/>
          </w:tcPr>
          <w:p>
            <w:pPr>
              <w:spacing w:before="40" w:after="40"/>
            </w:pPr>
            <w:r>
              <w:rPr>
                <w:rFonts w:ascii="Calibri" w:hAnsi="Calibri"/>
                <w:sz w:val="18"/>
              </w:rPr>
              <w:t>9.15</w:t>
            </w:r>
          </w:p>
        </w:tc>
        <w:tc>
          <w:tcPr>
            <w:tcW w:type="dxa" w:w="1440"/>
            <w:shd w:fill="E8F0FE"/>
          </w:tcPr>
          <w:p>
            <w:pPr>
              <w:spacing w:before="40" w:after="40"/>
            </w:pPr>
            <w:r>
              <w:rPr>
                <w:rFonts w:ascii="Calibri" w:hAnsi="Calibri"/>
                <w:sz w:val="18"/>
              </w:rPr>
              <w:t>9.90</w:t>
            </w:r>
          </w:p>
        </w:tc>
        <w:tc>
          <w:tcPr>
            <w:tcW w:type="dxa" w:w="1440"/>
            <w:shd w:fill="E8F0FE"/>
          </w:tcPr>
          <w:p>
            <w:pPr>
              <w:spacing w:before="40" w:after="40"/>
            </w:pPr>
            <w:r>
              <w:rPr>
                <w:rFonts w:ascii="Calibri" w:hAnsi="Calibri"/>
                <w:sz w:val="18"/>
              </w:rPr>
              <w:t>10.64</w:t>
            </w:r>
          </w:p>
        </w:tc>
      </w:tr>
    </w:tbl>
    <w:p/>
    <w:p>
      <w:r>
        <w:rPr>
          <w:rFonts w:ascii="Calibri" w:hAnsi="Calibri"/>
          <w:i/>
          <w:color w:val="666666"/>
          <w:sz w:val="18"/>
        </w:rPr>
        <w:t>(Note: FY25 figures are based on nine months ended December 31, 2025, annualized for illustrative purposes where full-year data is not yet available. FY26E onwards are estimates.)</w:t>
      </w:r>
    </w:p>
    <w:p>
      <w:pPr>
        <w:pStyle w:val="Heading2"/>
      </w:pPr>
      <w:r>
        <w:rPr>
          <w:rFonts w:ascii="Calibri" w:hAnsi="Calibri"/>
          <w:color w:val="1F5F8B"/>
          <w:sz w:val="26"/>
        </w:rPr>
        <w:t>7.1 Key Assumptions Behind Estimates</w:t>
      </w:r>
    </w:p>
    <w:p>
      <w:pPr>
        <w:pStyle w:val="ListBullet"/>
        <w:spacing w:after="80"/>
      </w:pPr>
      <w:r>
        <w:rPr>
          <w:rFonts w:ascii="Calibri" w:hAnsi="Calibri"/>
          <w:color w:val="333333"/>
          <w:sz w:val="20"/>
        </w:rPr>
        <w:t xml:space="preserve">  </w:t>
      </w:r>
      <w:r>
        <w:rPr>
          <w:rFonts w:ascii="Calibri" w:hAnsi="Calibri"/>
          <w:b/>
          <w:color w:val="333333"/>
          <w:sz w:val="20"/>
        </w:rPr>
        <w:t>Revenue Growth:</w:t>
      </w:r>
      <w:r>
        <w:rPr>
          <w:rFonts w:ascii="Calibri" w:hAnsi="Calibri"/>
          <w:color w:val="333333"/>
          <w:sz w:val="20"/>
        </w:rPr>
        <w:t xml:space="preserve"> Assumes a recovery in demand for chemicals, driven by domestic industrial growth and the successful ramp-up of the Caustic Soda expansion project. Oils &amp; Fats segment growth is projected to be modest.</w:t>
      </w:r>
    </w:p>
    <w:p>
      <w:pPr>
        <w:pStyle w:val="ListBullet"/>
        <w:spacing w:after="80"/>
      </w:pPr>
      <w:r>
        <w:rPr>
          <w:rFonts w:ascii="Calibri" w:hAnsi="Calibri"/>
          <w:color w:val="333333"/>
          <w:sz w:val="20"/>
        </w:rPr>
        <w:t xml:space="preserve">  </w:t>
      </w:r>
      <w:r>
        <w:rPr>
          <w:rFonts w:ascii="Calibri" w:hAnsi="Calibri"/>
          <w:b/>
          <w:color w:val="333333"/>
          <w:sz w:val="20"/>
        </w:rPr>
        <w:t>Gross Margin:</w:t>
      </w:r>
      <w:r>
        <w:rPr>
          <w:rFonts w:ascii="Calibri" w:hAnsi="Calibri"/>
          <w:color w:val="333333"/>
          <w:sz w:val="20"/>
        </w:rPr>
        <w:t xml:space="preserve"> Margins are expected to remain stable, supported by improved operational efficiencies, captive solar power utilization, and better raw material sourcing, partially offset by potential price pressures in certain product categories.</w:t>
      </w:r>
    </w:p>
    <w:p>
      <w:pPr>
        <w:pStyle w:val="ListBullet"/>
        <w:spacing w:after="80"/>
      </w:pPr>
      <w:r>
        <w:rPr>
          <w:rFonts w:ascii="Calibri" w:hAnsi="Calibri"/>
          <w:color w:val="333333"/>
          <w:sz w:val="20"/>
        </w:rPr>
        <w:t xml:space="preserve">  </w:t>
      </w:r>
      <w:r>
        <w:rPr>
          <w:rFonts w:ascii="Calibri" w:hAnsi="Calibri"/>
          <w:b/>
          <w:color w:val="333333"/>
          <w:sz w:val="20"/>
        </w:rPr>
        <w:t>EBITDA Margin:</w:t>
      </w:r>
      <w:r>
        <w:rPr>
          <w:rFonts w:ascii="Calibri" w:hAnsi="Calibri"/>
          <w:color w:val="333333"/>
          <w:sz w:val="20"/>
        </w:rPr>
        <w:t xml:space="preserve"> Margins are projected to remain in the range of 9.7-9.8%, reflecting stable operational performance and cost management.</w:t>
      </w:r>
    </w:p>
    <w:p>
      <w:pPr>
        <w:pStyle w:val="ListBullet"/>
        <w:spacing w:after="80"/>
      </w:pPr>
      <w:r>
        <w:rPr>
          <w:rFonts w:ascii="Calibri" w:hAnsi="Calibri"/>
          <w:color w:val="333333"/>
          <w:sz w:val="20"/>
        </w:rPr>
        <w:t xml:space="preserve">  </w:t>
      </w:r>
      <w:r>
        <w:rPr>
          <w:rFonts w:ascii="Calibri" w:hAnsi="Calibri"/>
          <w:b/>
          <w:color w:val="333333"/>
          <w:sz w:val="20"/>
        </w:rPr>
        <w:t>Capex:</w:t>
      </w:r>
      <w:r>
        <w:rPr>
          <w:rFonts w:ascii="Calibri" w:hAnsi="Calibri"/>
          <w:color w:val="333333"/>
          <w:sz w:val="20"/>
        </w:rPr>
        <w:t xml:space="preserve"> Assumes continued investment in solar power expansion and the Caustic Soda project, with depreciation reflecting these additions.</w:t>
      </w:r>
    </w:p>
    <w:p>
      <w:pPr>
        <w:pStyle w:val="ListBullet"/>
        <w:spacing w:after="80"/>
      </w:pPr>
      <w:r>
        <w:rPr>
          <w:rFonts w:ascii="Calibri" w:hAnsi="Calibri"/>
          <w:color w:val="333333"/>
          <w:sz w:val="20"/>
        </w:rPr>
        <w:t xml:space="preserve">  </w:t>
      </w:r>
      <w:r>
        <w:rPr>
          <w:rFonts w:ascii="Calibri" w:hAnsi="Calibri"/>
          <w:b/>
          <w:color w:val="333333"/>
          <w:sz w:val="20"/>
        </w:rPr>
        <w:t>Working Capital:</w:t>
      </w:r>
      <w:r>
        <w:rPr>
          <w:rFonts w:ascii="Calibri" w:hAnsi="Calibri"/>
          <w:color w:val="333333"/>
          <w:sz w:val="20"/>
        </w:rPr>
        <w:t xml:space="preserve"> Assumes efficient management of working capital, with receivables and inventory days remaining within historical norms.</w:t>
      </w:r>
    </w:p>
    <w:p>
      <w:pPr>
        <w:pStyle w:val="ListBullet"/>
        <w:spacing w:after="80"/>
      </w:pPr>
      <w:r>
        <w:rPr>
          <w:rFonts w:ascii="Calibri" w:hAnsi="Calibri"/>
          <w:color w:val="333333"/>
          <w:sz w:val="20"/>
        </w:rPr>
        <w:t xml:space="preserve">  </w:t>
      </w:r>
      <w:r>
        <w:rPr>
          <w:rFonts w:ascii="Calibri" w:hAnsi="Calibri"/>
          <w:b/>
          <w:color w:val="333333"/>
          <w:sz w:val="20"/>
        </w:rPr>
        <w:t>Tax Rate:</w:t>
      </w:r>
      <w:r>
        <w:rPr>
          <w:rFonts w:ascii="Calibri" w:hAnsi="Calibri"/>
          <w:color w:val="333333"/>
          <w:sz w:val="20"/>
        </w:rPr>
        <w:t xml:space="preserve"> Assumes an effective tax rate of approximately 28-30%, reflecting current corporate tax regulations.</w:t>
      </w:r>
    </w:p>
    <w:p>
      <w:pPr>
        <w:pStyle w:val="ListBullet"/>
        <w:spacing w:after="80"/>
      </w:pPr>
      <w:r>
        <w:rPr>
          <w:rFonts w:ascii="Calibri" w:hAnsi="Calibri"/>
          <w:color w:val="333333"/>
          <w:sz w:val="20"/>
        </w:rPr>
        <w:t xml:space="preserve">  </w:t>
      </w:r>
      <w:r>
        <w:rPr>
          <w:rFonts w:ascii="Calibri" w:hAnsi="Calibri"/>
          <w:b/>
          <w:color w:val="333333"/>
          <w:sz w:val="20"/>
        </w:rPr>
        <w:t>Share Count:</w:t>
      </w:r>
      <w:r>
        <w:rPr>
          <w:rFonts w:ascii="Calibri" w:hAnsi="Calibri"/>
          <w:color w:val="333333"/>
          <w:sz w:val="20"/>
        </w:rPr>
        <w:t xml:space="preserve"> Assumes a stable share count, with no significant dilution events anticipated in the forecast period.</w:t>
      </w:r>
    </w:p>
    <w:p>
      <w:pPr>
        <w:pStyle w:val="Heading1"/>
      </w:pPr>
      <w:r>
        <w:rPr>
          <w:rFonts w:ascii="Calibri" w:hAnsi="Calibri"/>
          <w:color w:val="1F5F8B"/>
          <w:sz w:val="32"/>
        </w:rPr>
        <w:t>8. Capex &amp; Management Guidance Summary</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Guidance Parameter</w:t>
            </w:r>
          </w:p>
        </w:tc>
        <w:tc>
          <w:tcPr>
            <w:tcW w:type="dxa" w:w="2880"/>
            <w:shd w:fill="1F5F8B"/>
          </w:tcPr>
          <w:p>
            <w:pPr>
              <w:spacing w:before="40" w:after="40"/>
            </w:pPr>
            <w:r>
              <w:rPr>
                <w:rFonts w:ascii="Calibri" w:hAnsi="Calibri"/>
                <w:b/>
                <w:color w:val="FFFFFF"/>
                <w:sz w:val="18"/>
              </w:rPr>
              <w:t>Target</w:t>
            </w:r>
          </w:p>
        </w:tc>
        <w:tc>
          <w:tcPr>
            <w:tcW w:type="dxa" w:w="2880"/>
            <w:shd w:fill="1F5F8B"/>
          </w:tcPr>
          <w:p>
            <w:pPr>
              <w:spacing w:before="40" w:after="40"/>
            </w:pPr>
            <w:r>
              <w:rPr>
                <w:rFonts w:ascii="Calibri" w:hAnsi="Calibri"/>
                <w:b/>
                <w:color w:val="FFFFFF"/>
                <w:sz w:val="18"/>
              </w:rPr>
              <w:t>Timeline</w:t>
            </w:r>
          </w:p>
        </w:tc>
      </w:tr>
      <w:tr>
        <w:tc>
          <w:tcPr>
            <w:tcW w:type="dxa" w:w="2880"/>
          </w:tcPr>
          <w:p>
            <w:pPr>
              <w:spacing w:before="40" w:after="40"/>
            </w:pPr>
            <w:r>
              <w:rPr>
                <w:rFonts w:ascii="Calibri" w:hAnsi="Calibri"/>
                <w:b/>
                <w:sz w:val="18"/>
              </w:rPr>
              <w:t>Revenue Target</w:t>
            </w:r>
          </w:p>
        </w:tc>
        <w:tc>
          <w:tcPr>
            <w:tcW w:type="dxa" w:w="2880"/>
          </w:tcPr>
          <w:p>
            <w:pPr>
              <w:spacing w:before="40" w:after="40"/>
            </w:pPr>
            <w:r>
              <w:rPr>
                <w:rFonts w:ascii="Calibri" w:hAnsi="Calibri"/>
                <w:sz w:val="18"/>
              </w:rPr>
              <w:t>~₹175,000 Lakhs (FY26E)</w:t>
            </w:r>
          </w:p>
        </w:tc>
        <w:tc>
          <w:tcPr>
            <w:tcW w:type="dxa" w:w="2880"/>
          </w:tcPr>
          <w:p>
            <w:pPr>
              <w:spacing w:before="40" w:after="40"/>
            </w:pPr>
            <w:r>
              <w:rPr>
                <w:rFonts w:ascii="Calibri" w:hAnsi="Calibri"/>
                <w:sz w:val="18"/>
              </w:rPr>
              <w:t>FY26</w:t>
            </w:r>
          </w:p>
        </w:tc>
      </w:tr>
      <w:tr>
        <w:tc>
          <w:tcPr>
            <w:tcW w:type="dxa" w:w="2880"/>
            <w:shd w:fill="E8F0FE"/>
          </w:tcPr>
          <w:p>
            <w:pPr>
              <w:spacing w:before="40" w:after="40"/>
            </w:pPr>
            <w:r>
              <w:rPr>
                <w:rFonts w:ascii="Calibri" w:hAnsi="Calibri"/>
                <w:b/>
                <w:sz w:val="18"/>
              </w:rPr>
              <w:t>Revenue CAGR</w:t>
            </w:r>
          </w:p>
        </w:tc>
        <w:tc>
          <w:tcPr>
            <w:tcW w:type="dxa" w:w="2880"/>
            <w:shd w:fill="E8F0FE"/>
          </w:tcPr>
          <w:p>
            <w:pPr>
              <w:spacing w:before="40" w:after="40"/>
            </w:pPr>
            <w:r>
              <w:rPr>
                <w:rFonts w:ascii="Calibri" w:hAnsi="Calibri"/>
                <w:sz w:val="18"/>
              </w:rPr>
              <w:t>~7-8% (FY26-FY29E)</w:t>
            </w:r>
          </w:p>
        </w:tc>
        <w:tc>
          <w:tcPr>
            <w:tcW w:type="dxa" w:w="2880"/>
            <w:shd w:fill="E8F0FE"/>
          </w:tcPr>
          <w:p>
            <w:pPr>
              <w:spacing w:before="40" w:after="40"/>
            </w:pPr>
            <w:r>
              <w:rPr>
                <w:rFonts w:ascii="Calibri" w:hAnsi="Calibri"/>
                <w:sz w:val="18"/>
              </w:rPr>
              <w:t>FY26-FY29E</w:t>
            </w:r>
          </w:p>
        </w:tc>
      </w:tr>
      <w:tr>
        <w:tc>
          <w:tcPr>
            <w:tcW w:type="dxa" w:w="2880"/>
          </w:tcPr>
          <w:p>
            <w:pPr>
              <w:spacing w:before="40" w:after="40"/>
            </w:pPr>
            <w:r>
              <w:rPr>
                <w:rFonts w:ascii="Calibri" w:hAnsi="Calibri"/>
                <w:b/>
                <w:sz w:val="18"/>
              </w:rPr>
              <w:t>Key Segment Targets</w:t>
            </w:r>
          </w:p>
        </w:tc>
        <w:tc>
          <w:tcPr>
            <w:tcW w:type="dxa" w:w="2880"/>
          </w:tcPr>
          <w:p>
            <w:pPr>
              <w:spacing w:before="40" w:after="40"/>
            </w:pPr>
            <w:r>
              <w:rPr>
                <w:rFonts w:ascii="Calibri" w:hAnsi="Calibri"/>
                <w:sz w:val="18"/>
              </w:rPr>
              <w:t>Caustic Soda Expansion: 450 MT/day capacity; Chloromethanes Expansion: additional 125 TPD; Solar Power: 100 MW total capacity</w:t>
            </w:r>
          </w:p>
        </w:tc>
        <w:tc>
          <w:tcPr>
            <w:tcW w:type="dxa" w:w="2880"/>
          </w:tcPr>
          <w:p>
            <w:pPr>
              <w:spacing w:before="40" w:after="40"/>
            </w:pPr>
            <w:r>
              <w:rPr>
                <w:rFonts w:ascii="Calibri" w:hAnsi="Calibri"/>
                <w:sz w:val="18"/>
              </w:rPr>
              <w:t>Caustic Soda Expansion: Phased implementation; Solar Power: Phased implementation</w:t>
            </w:r>
          </w:p>
        </w:tc>
      </w:tr>
      <w:tr>
        <w:tc>
          <w:tcPr>
            <w:tcW w:type="dxa" w:w="2880"/>
            <w:shd w:fill="E8F0FE"/>
          </w:tcPr>
          <w:p>
            <w:pPr>
              <w:spacing w:before="40" w:after="40"/>
            </w:pPr>
            <w:r>
              <w:rPr>
                <w:rFonts w:ascii="Calibri" w:hAnsi="Calibri"/>
                <w:b/>
                <w:sz w:val="18"/>
              </w:rPr>
              <w:t>EBITDA Margin Target</w:t>
            </w:r>
          </w:p>
        </w:tc>
        <w:tc>
          <w:tcPr>
            <w:tcW w:type="dxa" w:w="2880"/>
            <w:shd w:fill="E8F0FE"/>
          </w:tcPr>
          <w:p>
            <w:pPr>
              <w:spacing w:before="40" w:after="40"/>
            </w:pPr>
            <w:r>
              <w:rPr>
                <w:rFonts w:ascii="Calibri" w:hAnsi="Calibri"/>
                <w:sz w:val="18"/>
              </w:rPr>
              <w:t>Stable at ~9.7-9.8%</w:t>
            </w:r>
          </w:p>
        </w:tc>
        <w:tc>
          <w:tcPr>
            <w:tcW w:type="dxa" w:w="2880"/>
            <w:shd w:fill="E8F0FE"/>
          </w:tcPr>
          <w:p>
            <w:pPr>
              <w:spacing w:before="40" w:after="40"/>
            </w:pPr>
            <w:r>
              <w:rPr>
                <w:rFonts w:ascii="Calibri" w:hAnsi="Calibri"/>
                <w:sz w:val="18"/>
              </w:rPr>
              <w:t>FY26 onwards</w:t>
            </w:r>
          </w:p>
        </w:tc>
      </w:tr>
      <w:tr>
        <w:tc>
          <w:tcPr>
            <w:tcW w:type="dxa" w:w="2880"/>
          </w:tcPr>
          <w:p>
            <w:pPr>
              <w:spacing w:before="40" w:after="40"/>
            </w:pPr>
            <w:r>
              <w:rPr>
                <w:rFonts w:ascii="Calibri" w:hAnsi="Calibri"/>
                <w:b/>
                <w:sz w:val="18"/>
              </w:rPr>
              <w:t>Capex Plans</w:t>
            </w:r>
          </w:p>
        </w:tc>
        <w:tc>
          <w:tcPr>
            <w:tcW w:type="dxa" w:w="2880"/>
          </w:tcPr>
          <w:p>
            <w:pPr>
              <w:spacing w:before="40" w:after="40"/>
            </w:pPr>
            <w:r>
              <w:rPr>
                <w:rFonts w:ascii="Calibri" w:hAnsi="Calibri"/>
                <w:sz w:val="18"/>
              </w:rPr>
              <w:t>₹350 Crores for Caustic Soda expansion; ongoing investments in Solar Power</w:t>
            </w:r>
          </w:p>
        </w:tc>
        <w:tc>
          <w:tcPr>
            <w:tcW w:type="dxa" w:w="2880"/>
          </w:tcPr>
          <w:p>
            <w:pPr>
              <w:spacing w:before="40" w:after="40"/>
            </w:pPr>
            <w:r>
              <w:rPr>
                <w:rFonts w:ascii="Calibri" w:hAnsi="Calibri"/>
                <w:sz w:val="18"/>
              </w:rPr>
              <w:t>FY25-FY28</w:t>
            </w:r>
          </w:p>
        </w:tc>
      </w:tr>
      <w:tr>
        <w:tc>
          <w:tcPr>
            <w:tcW w:type="dxa" w:w="2880"/>
            <w:shd w:fill="E8F0FE"/>
          </w:tcPr>
          <w:p>
            <w:pPr>
              <w:spacing w:before="40" w:after="40"/>
            </w:pPr>
            <w:r>
              <w:rPr>
                <w:rFonts w:ascii="Calibri" w:hAnsi="Calibri"/>
                <w:b/>
                <w:sz w:val="18"/>
              </w:rPr>
              <w:t>Dividend Policy</w:t>
            </w:r>
          </w:p>
        </w:tc>
        <w:tc>
          <w:tcPr>
            <w:tcW w:type="dxa" w:w="2880"/>
            <w:shd w:fill="E8F0FE"/>
          </w:tcPr>
          <w:p>
            <w:pPr>
              <w:spacing w:before="40" w:after="40"/>
            </w:pPr>
            <w:r>
              <w:rPr>
                <w:rFonts w:ascii="Calibri" w:hAnsi="Calibri"/>
                <w:sz w:val="18"/>
              </w:rPr>
              <w:t>Final dividend of ₹1 per equity share (10%) recommended for FY24; subject to shareholder approval. Policy reviewed periodically.</w:t>
            </w:r>
          </w:p>
        </w:tc>
        <w:tc>
          <w:tcPr>
            <w:tcW w:type="dxa" w:w="2880"/>
            <w:shd w:fill="E8F0FE"/>
          </w:tcPr>
          <w:p>
            <w:pPr>
              <w:spacing w:before="40" w:after="40"/>
            </w:pPr>
            <w:r>
              <w:rPr>
                <w:rFonts w:ascii="Calibri" w:hAnsi="Calibri"/>
                <w:sz w:val="18"/>
              </w:rPr>
              <w:t>FY25 onwards</w:t>
            </w:r>
          </w:p>
        </w:tc>
      </w:tr>
      <w:tr>
        <w:tc>
          <w:tcPr>
            <w:tcW w:type="dxa" w:w="2880"/>
          </w:tcPr>
          <w:p>
            <w:pPr>
              <w:spacing w:before="40" w:after="40"/>
            </w:pPr>
            <w:r>
              <w:rPr>
                <w:rFonts w:ascii="Calibri" w:hAnsi="Calibri"/>
                <w:b/>
                <w:sz w:val="18"/>
              </w:rPr>
              <w:t>Debt Status</w:t>
            </w:r>
          </w:p>
        </w:tc>
        <w:tc>
          <w:tcPr>
            <w:tcW w:type="dxa" w:w="2880"/>
          </w:tcPr>
          <w:p>
            <w:pPr>
              <w:spacing w:before="40" w:after="40"/>
            </w:pPr>
            <w:r>
              <w:rPr>
                <w:rFonts w:ascii="Calibri" w:hAnsi="Calibri"/>
                <w:sz w:val="18"/>
              </w:rPr>
              <w:t>Debt-to-Equity ratio maintained below 1; focus on optimizing debt profile.</w:t>
            </w:r>
          </w:p>
        </w:tc>
        <w:tc>
          <w:tcPr>
            <w:tcW w:type="dxa" w:w="2880"/>
          </w:tcPr>
          <w:p>
            <w:pPr>
              <w:spacing w:before="40" w:after="40"/>
            </w:pPr>
            <w:r>
              <w:rPr>
                <w:rFonts w:ascii="Calibri" w:hAnsi="Calibri"/>
                <w:sz w:val="18"/>
              </w:rPr>
              <w:t>Ongoing</w:t>
            </w:r>
          </w:p>
        </w:tc>
      </w:tr>
    </w:tbl>
    <w:p/>
    <w:p>
      <w:pPr>
        <w:pStyle w:val="Heading1"/>
      </w:pPr>
      <w:r>
        <w:rPr>
          <w:rFonts w:ascii="Calibri" w:hAnsi="Calibri"/>
          <w:color w:val="1F5F8B"/>
          <w:sz w:val="32"/>
        </w:rPr>
        <w:t>9. Conclusion &amp; Investment Summary</w:t>
      </w:r>
    </w:p>
    <w:p>
      <w:pPr>
        <w:spacing w:before="0" w:after="120"/>
      </w:pPr>
    </w:p>
    <w:p>
      <w:pPr>
        <w:pStyle w:val="Heading2"/>
      </w:pPr>
      <w:r>
        <w:rPr>
          <w:rFonts w:ascii="Calibri" w:hAnsi="Calibri"/>
          <w:color w:val="1F5F8B"/>
          <w:sz w:val="26"/>
        </w:rPr>
        <w:t>Bull Case</w:t>
      </w:r>
    </w:p>
    <w:p>
      <w:pPr>
        <w:spacing w:after="80"/>
      </w:pPr>
      <w:r>
        <w:rPr>
          <w:rFonts w:ascii="Calibri" w:hAnsi="Calibri"/>
          <w:color w:val="333333"/>
          <w:sz w:val="20"/>
        </w:rPr>
        <w:t>TGV Sraac Ltd. presents a compelling investment case driven by its strong recovery in FY25, the strategic expansion of its core Caustic Soda business, and its significant investments in solar power capacity. The company's integrated manufacturing model, diversified product portfolio serving essential industries, and proactive management of operational costs provide a solid foundation for growth. The release of promoter share pledges signals improved financial health and confidence. Successful execution of the Caustic Soda expansion and solar power projects, coupled with favorable market conditions in the chemical sector, could lead to substantial revenue growth and margin expansion. The company's commitment to sustainability and operational efficiency, supported by its ISO certifications, further enhances its long-term value proposition.</w:t>
      </w:r>
    </w:p>
    <w:p>
      <w:pPr>
        <w:pStyle w:val="Heading2"/>
      </w:pPr>
      <w:r>
        <w:rPr>
          <w:rFonts w:ascii="Calibri" w:hAnsi="Calibri"/>
          <w:color w:val="1F5F8B"/>
          <w:sz w:val="26"/>
        </w:rPr>
        <w:t>Bear Case</w:t>
      </w:r>
    </w:p>
    <w:p>
      <w:pPr>
        <w:spacing w:after="80"/>
      </w:pPr>
      <w:r>
        <w:rPr>
          <w:rFonts w:ascii="Calibri" w:hAnsi="Calibri"/>
          <w:color w:val="333333"/>
          <w:sz w:val="20"/>
        </w:rPr>
        <w:t>The bear case for TGV Sraac hinges on several key risks. Firstly, the cyclical nature of the chemical industry and potential downturns in end-user sectors could impact demand and pricing, leading to margin compression. Secondly, execution risks associated with the large-scale Caustic Soda expansion project and the phased increase in solar power capacity could lead to delays and cost overruns, impacting financial performance. Thirdly, the company faces competition from larger players and potential volatility in raw material and energy prices, despite its solar power initiatives. Finally, any adverse resolution of the disputed statutory dues or significant changes in regulatory policies could negatively affect the company's financial standing. Governance concerns related to related party transactions also warrant careful monitoring.</w:t>
      </w:r>
    </w:p>
    <w:p>
      <w:pPr>
        <w:pStyle w:val="Heading2"/>
      </w:pPr>
      <w:r>
        <w:rPr>
          <w:rFonts w:ascii="Calibri" w:hAnsi="Calibri"/>
          <w:color w:val="1F5F8B"/>
          <w:sz w:val="26"/>
        </w:rPr>
        <w:t>Key Monitorables</w:t>
      </w:r>
    </w:p>
    <w:p>
      <w:pPr>
        <w:pStyle w:val="ListNumber"/>
        <w:spacing w:after="80"/>
      </w:pPr>
      <w:r>
        <w:rPr>
          <w:rFonts w:ascii="Calibri" w:hAnsi="Calibri"/>
          <w:b/>
          <w:color w:val="333333"/>
          <w:sz w:val="20"/>
        </w:rPr>
        <w:t>Progress of Caustic Soda Expansion:</w:t>
      </w:r>
      <w:r>
        <w:rPr>
          <w:rFonts w:ascii="Calibri" w:hAnsi="Calibri"/>
          <w:color w:val="333333"/>
          <w:sz w:val="20"/>
        </w:rPr>
        <w:t xml:space="preserve"> Track the timeline, cost, and ramp-up of the 450 MT Caustic Soda expansion project.</w:t>
      </w:r>
    </w:p>
    <w:p>
      <w:pPr>
        <w:pStyle w:val="ListNumber"/>
        <w:spacing w:after="80"/>
      </w:pPr>
      <w:r>
        <w:rPr>
          <w:rFonts w:ascii="Calibri" w:hAnsi="Calibri"/>
          <w:b/>
          <w:color w:val="333333"/>
          <w:sz w:val="20"/>
        </w:rPr>
        <w:t>Solar Power Capacity Addition:</w:t>
      </w:r>
      <w:r>
        <w:rPr>
          <w:rFonts w:ascii="Calibri" w:hAnsi="Calibri"/>
          <w:color w:val="333333"/>
          <w:sz w:val="20"/>
        </w:rPr>
        <w:t xml:space="preserve"> Monitor the phased increase in solar power capacity towards the 100 MW target and its impact on energy costs.</w:t>
      </w:r>
    </w:p>
    <w:p>
      <w:pPr>
        <w:pStyle w:val="ListNumber"/>
        <w:spacing w:after="80"/>
      </w:pPr>
      <w:r>
        <w:rPr>
          <w:rFonts w:ascii="Calibri" w:hAnsi="Calibri"/>
          <w:b/>
          <w:color w:val="333333"/>
          <w:sz w:val="20"/>
        </w:rPr>
        <w:t>Chloromethanes Capacity Utilization:</w:t>
      </w:r>
      <w:r>
        <w:rPr>
          <w:rFonts w:ascii="Calibri" w:hAnsi="Calibri"/>
          <w:color w:val="333333"/>
          <w:sz w:val="20"/>
        </w:rPr>
        <w:t xml:space="preserve"> Observe the utilization and performance of the expanded Chloromethanes capacity.</w:t>
      </w:r>
    </w:p>
    <w:p>
      <w:pPr>
        <w:pStyle w:val="ListNumber"/>
        <w:spacing w:after="80"/>
      </w:pPr>
      <w:r>
        <w:rPr>
          <w:rFonts w:ascii="Calibri" w:hAnsi="Calibri"/>
          <w:b/>
          <w:color w:val="333333"/>
          <w:sz w:val="20"/>
        </w:rPr>
        <w:t>Raw Material and Product Pricing:</w:t>
      </w:r>
      <w:r>
        <w:rPr>
          <w:rFonts w:ascii="Calibri" w:hAnsi="Calibri"/>
          <w:color w:val="333333"/>
          <w:sz w:val="20"/>
        </w:rPr>
        <w:t xml:space="preserve"> Closely monitor trends in key raw material costs (salt, power) and the pricing of core products (Caustic Soda, Chlorine, Chloromethanes).</w:t>
      </w:r>
    </w:p>
    <w:p>
      <w:pPr>
        <w:pStyle w:val="ListNumber"/>
        <w:spacing w:after="80"/>
      </w:pPr>
      <w:r>
        <w:rPr>
          <w:rFonts w:ascii="Calibri" w:hAnsi="Calibri"/>
          <w:b/>
          <w:color w:val="333333"/>
          <w:sz w:val="20"/>
        </w:rPr>
        <w:t>Resolution of Disputed Statutory Dues:</w:t>
      </w:r>
      <w:r>
        <w:rPr>
          <w:rFonts w:ascii="Calibri" w:hAnsi="Calibri"/>
          <w:color w:val="333333"/>
          <w:sz w:val="20"/>
        </w:rPr>
        <w:t xml:space="preserve"> Track the progress and outcome of legal cases related to disputed statutory dues, particularly those with the Electricity Regulatory Commission.</w:t>
      </w:r>
    </w:p>
    <w:p>
      <w:pPr>
        <w:pStyle w:val="ListNumber"/>
        <w:spacing w:after="80"/>
      </w:pPr>
      <w:r>
        <w:rPr>
          <w:rFonts w:ascii="Calibri" w:hAnsi="Calibri"/>
          <w:b/>
          <w:color w:val="333333"/>
          <w:sz w:val="20"/>
        </w:rPr>
        <w:t>Related Party Transactions:</w:t>
      </w:r>
      <w:r>
        <w:rPr>
          <w:rFonts w:ascii="Calibri" w:hAnsi="Calibri"/>
          <w:color w:val="333333"/>
          <w:sz w:val="20"/>
        </w:rPr>
        <w:t xml:space="preserve"> Continuously monitor the nature and value of related party transactions for any potential governance concerns.</w:t>
      </w:r>
    </w:p>
    <w:p>
      <w:pPr>
        <w:pStyle w:val="ListNumber"/>
        <w:spacing w:after="80"/>
      </w:pPr>
      <w:r>
        <w:rPr>
          <w:rFonts w:ascii="Calibri" w:hAnsi="Calibri"/>
          <w:b/>
          <w:color w:val="333333"/>
          <w:sz w:val="20"/>
        </w:rPr>
        <w:t>Operational Efficiency Improvements:</w:t>
      </w:r>
      <w:r>
        <w:rPr>
          <w:rFonts w:ascii="Calibri" w:hAnsi="Calibri"/>
          <w:color w:val="333333"/>
          <w:sz w:val="20"/>
        </w:rPr>
        <w:t xml:space="preserve"> Assess the impact of cost control measures and operational improvements on EBITDA margins.</w:t>
      </w:r>
    </w:p>
    <w:p>
      <w:pPr>
        <w:pStyle w:val="ListNumber"/>
        <w:spacing w:after="80"/>
      </w:pPr>
      <w:r>
        <w:rPr>
          <w:rFonts w:ascii="Calibri" w:hAnsi="Calibri"/>
          <w:b/>
          <w:color w:val="333333"/>
          <w:sz w:val="20"/>
        </w:rPr>
        <w:t>Export Performance:</w:t>
      </w:r>
      <w:r>
        <w:rPr>
          <w:rFonts w:ascii="Calibri" w:hAnsi="Calibri"/>
          <w:color w:val="333333"/>
          <w:sz w:val="20"/>
        </w:rPr>
        <w:t xml:space="preserve"> Monitor the contribution and growth of export revenues amidst global economic conditions.</w:t>
      </w:r>
    </w:p>
    <w:p>
      <w:pPr>
        <w:pStyle w:val="ListNumber"/>
        <w:spacing w:after="80"/>
      </w:pPr>
      <w:r>
        <w:rPr>
          <w:rFonts w:ascii="Calibri" w:hAnsi="Calibri"/>
          <w:b/>
          <w:color w:val="333333"/>
          <w:sz w:val="20"/>
        </w:rPr>
        <w:t>Management Commentary on Market Conditions:</w:t>
      </w:r>
      <w:r>
        <w:rPr>
          <w:rFonts w:ascii="Calibri" w:hAnsi="Calibri"/>
          <w:color w:val="333333"/>
          <w:sz w:val="20"/>
        </w:rPr>
        <w:t xml:space="preserve"> Pay attention to management's outlook on demand-supply dynamics and pricing trends in key product segments.</w:t>
      </w:r>
    </w:p>
    <w:p>
      <w:pPr>
        <w:pStyle w:val="ListNumber"/>
        <w:spacing w:after="80"/>
      </w:pPr>
      <w:r>
        <w:rPr>
          <w:rFonts w:ascii="Calibri" w:hAnsi="Calibri"/>
          <w:b/>
          <w:color w:val="333333"/>
          <w:sz w:val="20"/>
        </w:rPr>
        <w:t>Financial Leverage:</w:t>
      </w:r>
      <w:r>
        <w:rPr>
          <w:rFonts w:ascii="Calibri" w:hAnsi="Calibri"/>
          <w:color w:val="333333"/>
          <w:sz w:val="20"/>
        </w:rPr>
        <w:t xml:space="preserve"> Track the Debt-to-Equity ratio and overall debt levels to ensure continued balance sheet strength.</w:t>
      </w:r>
    </w:p>
    <w:p>
      <w:pPr>
        <w:spacing w:after="80"/>
      </w:pPr>
      <w:r>
        <w:rPr>
          <w:rFonts w:ascii="Calibri" w:hAnsi="Calibri"/>
          <w:b/>
          <w:color w:val="333333"/>
          <w:sz w:val="20"/>
        </w:rPr>
        <w:t>Disclaimer:</w:t>
      </w:r>
      <w:r>
        <w:rPr>
          <w:rFonts w:ascii="Calibri" w:hAnsi="Calibri"/>
          <w:color w:val="333333"/>
          <w:sz w:val="20"/>
        </w:rPr>
        <w:t xml:space="preserve"> This analysis is for informational purposes only and does not constitute investment advice. Please consult a registered financial advisor before making investment decisions.</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4"/>
      </w:rPr>
      <w:t>Disclaimer: For informational purposes only.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TGV Sraac Ltd |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5F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5F8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