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1F5F8B"/>
          <w:sz w:val="64"/>
        </w:rPr>
        <w:t>INDO RAMA SYNTHETICS (INDIA) LIMITED</w:t>
      </w:r>
    </w:p>
    <w:p>
      <w:pPr>
        <w:jc w:val="center"/>
      </w:pPr>
      <w:r>
        <w:rPr>
          <w:color w:val="1F5F8B"/>
          <w:sz w:val="16"/>
        </w:rPr>
        <w:t>____________________________________________________________</w:t>
      </w:r>
    </w:p>
    <w:p>
      <w:pPr>
        <w:spacing w:before="480"/>
        <w:jc w:val="center"/>
      </w:pPr>
      <w:r>
        <w:rPr>
          <w:rFonts w:ascii="Calibri" w:hAnsi="Calibri"/>
          <w:color w:val="1F5F8B"/>
          <w:sz w:val="44"/>
        </w:rPr>
        <w:t>Comprehensive Company Analysis</w:t>
      </w:r>
    </w:p>
    <w:p>
      <w:pPr>
        <w:spacing w:before="160"/>
        <w:jc w:val="center"/>
      </w:pPr>
      <w:r>
        <w:rPr>
          <w:rFonts w:ascii="Calibri" w:hAnsi="Calibri"/>
          <w:color w:val="666666"/>
          <w:sz w:val="28"/>
        </w:rPr>
        <w:t>Investment Research Note</w:t>
      </w:r>
    </w:p>
    <w:p>
      <w:pPr>
        <w:spacing w:before="960"/>
        <w:jc w:val="center"/>
      </w:pPr>
      <w:r>
        <w:rPr>
          <w:rFonts w:ascii="Calibri" w:hAnsi="Calibri"/>
          <w:color w:val="666666"/>
          <w:sz w:val="24"/>
        </w:rPr>
        <w:t>Date: May 27, 2026</w:t>
      </w:r>
    </w:p>
    <w:p>
      <w:r>
        <w:br w:type="page"/>
      </w:r>
    </w:p>
    <w:p>
      <w:pPr>
        <w:pStyle w:val="Heading1"/>
      </w:pPr>
      <w:r>
        <w:rPr>
          <w:rFonts w:ascii="Calibri" w:hAnsi="Calibri"/>
          <w:color w:val="1F5F8B"/>
          <w:sz w:val="32"/>
        </w:rPr>
        <w:t>1. Executive Summary</w:t>
      </w:r>
    </w:p>
    <w:p>
      <w:pPr>
        <w:spacing w:before="0" w:after="120"/>
      </w:pPr>
    </w:p>
    <w:p>
      <w:pPr>
        <w:spacing w:after="80"/>
      </w:pPr>
      <w:r>
        <w:rPr>
          <w:rFonts w:ascii="Calibri" w:hAnsi="Calibri"/>
          <w:color w:val="333333"/>
          <w:sz w:val="20"/>
        </w:rPr>
        <w:t>Indo Rama Synthetics (India) Limited is a prominent Indian polyester manufacturer, operating an integrated manufacturing complex in Butibori, Nagpur, with a substantial production capacity of 6,72,000 tons per annum across a diversified product portfolio including Polyester Staple Fibre, Filament Yarn, Draw Texturized Yarn, Fully Drawn Yarn, Textile grade Chips, and Pet Resin. The company has navigated a period of significant transformation and market volatility, culminating in a remarkable financial turnaround in the recently concluded fiscal year.</w:t>
      </w:r>
    </w:p>
    <w:p>
      <w:pPr>
        <w:spacing w:after="80"/>
      </w:pPr>
      <w:r>
        <w:rPr>
          <w:rFonts w:ascii="Calibri" w:hAnsi="Calibri"/>
          <w:color w:val="333333"/>
          <w:sz w:val="20"/>
        </w:rPr>
        <w:t>The past two fiscal years, FY25 and FY26, have been pivotal. After a challenging FY24 marked by losses, FY25 saw the company return to a modest profit, which then accelerated dramatically in FY26. This resurgence has been driven by a combination of aggressive cost-cutting measures, strategic product mix optimization, and a favorable shift in market conditions, supported by ongoing capacity expansion through de-bottlenecking initiatives. The company has also undergone significant leadership changes and auditor transitions, signaling a renewed focus on operational efficiency and governance.</w:t>
      </w:r>
    </w:p>
    <w:p>
      <w:pPr>
        <w:spacing w:after="80"/>
      </w:pPr>
      <w:r>
        <w:rPr>
          <w:rFonts w:ascii="Calibri" w:hAnsi="Calibri"/>
          <w:color w:val="333333"/>
          <w:sz w:val="20"/>
        </w:rPr>
        <w:t>Post-transformation, Indo Rama Synthetics has established a robust revenue base of ₹4,929.01 crore in FY26, with a strong net profit of ₹150.21 crore. While the debt-to-equity ratio remains at 1.50x, indicating a leveraged balance sheet, the company has demonstrated improved debt management with a notable reduction in finance costs. Looking ahead, key growth catalysts include the continued realization of benefits from capacity enhancements, sustained operational efficiencies, and supportive industry-focused trade policies, which are expected to drive further profitability and potentially improve shareholder returns.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20"/>
        <w:gridCol w:w="4320"/>
      </w:tblGrid>
      <w:tr>
        <w:tc>
          <w:tcPr>
            <w:tcW w:type="dxa" w:w="4320"/>
            <w:shd w:fill="1F5F8B"/>
          </w:tcPr>
          <w:p>
            <w:pPr>
              <w:spacing w:before="40" w:after="40"/>
            </w:pPr>
            <w:r>
              <w:rPr>
                <w:rFonts w:ascii="Calibri" w:hAnsi="Calibri"/>
                <w:b/>
                <w:color w:val="FFFFFF"/>
                <w:sz w:val="18"/>
              </w:rPr>
              <w:t>Metric</w:t>
            </w:r>
          </w:p>
        </w:tc>
        <w:tc>
          <w:tcPr>
            <w:tcW w:type="dxa" w:w="4320"/>
            <w:shd w:fill="1F5F8B"/>
          </w:tcPr>
          <w:p>
            <w:pPr>
              <w:spacing w:before="40" w:after="40"/>
            </w:pPr>
            <w:r>
              <w:rPr>
                <w:rFonts w:ascii="Calibri" w:hAnsi="Calibri"/>
                <w:b/>
                <w:color w:val="FFFFFF"/>
                <w:sz w:val="18"/>
              </w:rPr>
              <w:t>Value</w:t>
            </w:r>
          </w:p>
        </w:tc>
      </w:tr>
      <w:tr>
        <w:tc>
          <w:tcPr>
            <w:tcW w:type="dxa" w:w="4320"/>
          </w:tcPr>
          <w:p>
            <w:pPr>
              <w:spacing w:before="40" w:after="40"/>
            </w:pPr>
            <w:r>
              <w:rPr>
                <w:rFonts w:ascii="Calibri" w:hAnsi="Calibri"/>
                <w:b/>
                <w:sz w:val="18"/>
              </w:rPr>
              <w:t>CMP</w:t>
            </w:r>
          </w:p>
        </w:tc>
        <w:tc>
          <w:tcPr>
            <w:tcW w:type="dxa" w:w="4320"/>
          </w:tcPr>
          <w:p>
            <w:pPr>
              <w:spacing w:before="40" w:after="40"/>
            </w:pPr>
            <w:r>
              <w:rPr>
                <w:rFonts w:ascii="Calibri" w:hAnsi="Calibri"/>
                <w:sz w:val="18"/>
              </w:rPr>
              <w:t>Not available in provided documents</w:t>
            </w:r>
          </w:p>
        </w:tc>
      </w:tr>
      <w:tr>
        <w:tc>
          <w:tcPr>
            <w:tcW w:type="dxa" w:w="4320"/>
            <w:shd w:fill="E8F0FE"/>
          </w:tcPr>
          <w:p>
            <w:pPr>
              <w:spacing w:before="40" w:after="40"/>
            </w:pPr>
            <w:r>
              <w:rPr>
                <w:rFonts w:ascii="Calibri" w:hAnsi="Calibri"/>
                <w:b/>
                <w:sz w:val="18"/>
              </w:rPr>
              <w:t>Market Cap</w:t>
            </w:r>
          </w:p>
        </w:tc>
        <w:tc>
          <w:tcPr>
            <w:tcW w:type="dxa" w:w="4320"/>
            <w:shd w:fill="E8F0FE"/>
          </w:tcPr>
          <w:p>
            <w:pPr>
              <w:spacing w:before="40" w:after="40"/>
            </w:pPr>
            <w:r>
              <w:rPr>
                <w:rFonts w:ascii="Calibri" w:hAnsi="Calibri"/>
                <w:sz w:val="18"/>
              </w:rPr>
              <w:t>Not available in provided documents</w:t>
            </w:r>
          </w:p>
        </w:tc>
      </w:tr>
      <w:tr>
        <w:tc>
          <w:tcPr>
            <w:tcW w:type="dxa" w:w="4320"/>
          </w:tcPr>
          <w:p>
            <w:pPr>
              <w:spacing w:before="40" w:after="40"/>
            </w:pPr>
            <w:r>
              <w:rPr>
                <w:rFonts w:ascii="Calibri" w:hAnsi="Calibri"/>
                <w:b/>
                <w:sz w:val="18"/>
              </w:rPr>
              <w:t>P/E (TTM)</w:t>
            </w:r>
          </w:p>
        </w:tc>
        <w:tc>
          <w:tcPr>
            <w:tcW w:type="dxa" w:w="4320"/>
          </w:tcPr>
          <w:p>
            <w:pPr>
              <w:spacing w:before="40" w:after="40"/>
            </w:pPr>
            <w:r>
              <w:rPr>
                <w:rFonts w:ascii="Calibri" w:hAnsi="Calibri"/>
                <w:sz w:val="18"/>
              </w:rPr>
              <w:t>Not available in provided documents</w:t>
            </w:r>
          </w:p>
        </w:tc>
      </w:tr>
      <w:tr>
        <w:tc>
          <w:tcPr>
            <w:tcW w:type="dxa" w:w="4320"/>
            <w:shd w:fill="E8F0FE"/>
          </w:tcPr>
          <w:p>
            <w:pPr>
              <w:spacing w:before="40" w:after="40"/>
            </w:pPr>
            <w:r>
              <w:rPr>
                <w:rFonts w:ascii="Calibri" w:hAnsi="Calibri"/>
                <w:b/>
                <w:sz w:val="18"/>
              </w:rPr>
              <w:t>P/B</w:t>
            </w:r>
          </w:p>
        </w:tc>
        <w:tc>
          <w:tcPr>
            <w:tcW w:type="dxa" w:w="4320"/>
            <w:shd w:fill="E8F0FE"/>
          </w:tcPr>
          <w:p>
            <w:pPr>
              <w:spacing w:before="40" w:after="40"/>
            </w:pPr>
            <w:r>
              <w:rPr>
                <w:rFonts w:ascii="Calibri" w:hAnsi="Calibri"/>
                <w:sz w:val="18"/>
              </w:rPr>
              <w:t>Not available in provided documents</w:t>
            </w:r>
          </w:p>
        </w:tc>
      </w:tr>
      <w:tr>
        <w:tc>
          <w:tcPr>
            <w:tcW w:type="dxa" w:w="4320"/>
          </w:tcPr>
          <w:p>
            <w:pPr>
              <w:spacing w:before="40" w:after="40"/>
            </w:pPr>
            <w:r>
              <w:rPr>
                <w:rFonts w:ascii="Calibri" w:hAnsi="Calibri"/>
                <w:b/>
                <w:sz w:val="18"/>
              </w:rPr>
              <w:t>P/S (TTM)</w:t>
            </w:r>
          </w:p>
        </w:tc>
        <w:tc>
          <w:tcPr>
            <w:tcW w:type="dxa" w:w="4320"/>
          </w:tcPr>
          <w:p>
            <w:pPr>
              <w:spacing w:before="40" w:after="40"/>
            </w:pPr>
            <w:r>
              <w:rPr>
                <w:rFonts w:ascii="Calibri" w:hAnsi="Calibri"/>
                <w:sz w:val="18"/>
              </w:rPr>
              <w:t>Not available in provided documents</w:t>
            </w:r>
          </w:p>
        </w:tc>
      </w:tr>
      <w:tr>
        <w:tc>
          <w:tcPr>
            <w:tcW w:type="dxa" w:w="4320"/>
            <w:shd w:fill="E8F0FE"/>
          </w:tcPr>
          <w:p>
            <w:pPr>
              <w:spacing w:before="40" w:after="40"/>
            </w:pPr>
            <w:r>
              <w:rPr>
                <w:rFonts w:ascii="Calibri" w:hAnsi="Calibri"/>
                <w:b/>
                <w:sz w:val="18"/>
              </w:rPr>
              <w:t>52-Week High/Low</w:t>
            </w:r>
          </w:p>
        </w:tc>
        <w:tc>
          <w:tcPr>
            <w:tcW w:type="dxa" w:w="4320"/>
            <w:shd w:fill="E8F0FE"/>
          </w:tcPr>
          <w:p>
            <w:pPr>
              <w:spacing w:before="40" w:after="40"/>
            </w:pPr>
            <w:r>
              <w:rPr>
                <w:rFonts w:ascii="Calibri" w:hAnsi="Calibri"/>
                <w:sz w:val="18"/>
              </w:rPr>
              <w:t>Not available in provided documents</w:t>
            </w:r>
          </w:p>
        </w:tc>
      </w:tr>
      <w:tr>
        <w:tc>
          <w:tcPr>
            <w:tcW w:type="dxa" w:w="4320"/>
          </w:tcPr>
          <w:p>
            <w:pPr>
              <w:spacing w:before="40" w:after="40"/>
            </w:pPr>
            <w:r>
              <w:rPr>
                <w:rFonts w:ascii="Calibri" w:hAnsi="Calibri"/>
                <w:b/>
                <w:sz w:val="18"/>
              </w:rPr>
              <w:t>Debt-Equity Ratio</w:t>
            </w:r>
          </w:p>
        </w:tc>
        <w:tc>
          <w:tcPr>
            <w:tcW w:type="dxa" w:w="4320"/>
          </w:tcPr>
          <w:p>
            <w:pPr>
              <w:spacing w:before="40" w:after="40"/>
            </w:pPr>
            <w:r>
              <w:rPr>
                <w:rFonts w:ascii="Calibri" w:hAnsi="Calibri"/>
                <w:sz w:val="18"/>
              </w:rPr>
              <w:t>1.50x</w:t>
            </w:r>
          </w:p>
        </w:tc>
      </w:tr>
      <w:tr>
        <w:tc>
          <w:tcPr>
            <w:tcW w:type="dxa" w:w="4320"/>
            <w:shd w:fill="E8F0FE"/>
          </w:tcPr>
          <w:p>
            <w:pPr>
              <w:spacing w:before="40" w:after="40"/>
            </w:pPr>
            <w:r>
              <w:rPr>
                <w:rFonts w:ascii="Calibri" w:hAnsi="Calibri"/>
                <w:b/>
                <w:sz w:val="18"/>
              </w:rPr>
              <w:t>ROE</w:t>
            </w:r>
          </w:p>
        </w:tc>
        <w:tc>
          <w:tcPr>
            <w:tcW w:type="dxa" w:w="4320"/>
            <w:shd w:fill="E8F0FE"/>
          </w:tcPr>
          <w:p>
            <w:pPr>
              <w:spacing w:before="40" w:after="40"/>
            </w:pPr>
            <w:r>
              <w:rPr>
                <w:rFonts w:ascii="Calibri" w:hAnsi="Calibri"/>
                <w:sz w:val="18"/>
              </w:rPr>
              <w:t>28.92%</w:t>
            </w:r>
          </w:p>
        </w:tc>
      </w:tr>
      <w:tr>
        <w:tc>
          <w:tcPr>
            <w:tcW w:type="dxa" w:w="4320"/>
          </w:tcPr>
          <w:p>
            <w:pPr>
              <w:spacing w:before="40" w:after="40"/>
            </w:pPr>
            <w:r>
              <w:rPr>
                <w:rFonts w:ascii="Calibri" w:hAnsi="Calibri"/>
                <w:b/>
                <w:sz w:val="18"/>
              </w:rPr>
              <w:t>ROCE</w:t>
            </w:r>
          </w:p>
        </w:tc>
        <w:tc>
          <w:tcPr>
            <w:tcW w:type="dxa" w:w="4320"/>
          </w:tcPr>
          <w:p>
            <w:pPr>
              <w:spacing w:before="40" w:after="40"/>
            </w:pPr>
            <w:r>
              <w:rPr>
                <w:rFonts w:ascii="Calibri" w:hAnsi="Calibri"/>
                <w:sz w:val="18"/>
              </w:rPr>
              <w:t>21.56%</w:t>
            </w:r>
          </w:p>
        </w:tc>
      </w:tr>
      <w:tr>
        <w:tc>
          <w:tcPr>
            <w:tcW w:type="dxa" w:w="4320"/>
            <w:shd w:fill="E8F0FE"/>
          </w:tcPr>
          <w:p>
            <w:pPr>
              <w:spacing w:before="40" w:after="40"/>
            </w:pPr>
            <w:r>
              <w:rPr>
                <w:rFonts w:ascii="Calibri" w:hAnsi="Calibri"/>
                <w:b/>
                <w:sz w:val="18"/>
              </w:rPr>
              <w:t>Promoter Holding</w:t>
            </w:r>
          </w:p>
        </w:tc>
        <w:tc>
          <w:tcPr>
            <w:tcW w:type="dxa" w:w="4320"/>
            <w:shd w:fill="E8F0FE"/>
          </w:tcPr>
          <w:p>
            <w:pPr>
              <w:spacing w:before="40" w:after="40"/>
            </w:pPr>
            <w:r>
              <w:rPr>
                <w:rFonts w:ascii="Calibri" w:hAnsi="Calibri"/>
                <w:sz w:val="18"/>
              </w:rPr>
              <w:t>74.84%</w:t>
            </w:r>
          </w:p>
        </w:tc>
      </w:tr>
      <w:tr>
        <w:tc>
          <w:tcPr>
            <w:tcW w:type="dxa" w:w="4320"/>
          </w:tcPr>
          <w:p>
            <w:pPr>
              <w:spacing w:before="40" w:after="40"/>
            </w:pPr>
            <w:r>
              <w:rPr>
                <w:rFonts w:ascii="Calibri" w:hAnsi="Calibri"/>
                <w:b/>
                <w:sz w:val="18"/>
              </w:rPr>
              <w:t>Dividend Yield</w:t>
            </w:r>
          </w:p>
        </w:tc>
        <w:tc>
          <w:tcPr>
            <w:tcW w:type="dxa" w:w="4320"/>
          </w:tcPr>
          <w:p>
            <w:pPr>
              <w:spacing w:before="40" w:after="40"/>
            </w:pPr>
            <w:r>
              <w:rPr>
                <w:rFonts w:ascii="Calibri" w:hAnsi="Calibri"/>
                <w:sz w:val="18"/>
              </w:rPr>
              <w:t>0.00%</w:t>
            </w:r>
          </w:p>
        </w:tc>
      </w:tr>
    </w:tbl>
    <w:p/>
    <w:p>
      <w:pPr>
        <w:pStyle w:val="Heading1"/>
      </w:pPr>
      <w:r>
        <w:rPr>
          <w:rFonts w:ascii="Calibri" w:hAnsi="Calibri"/>
          <w:color w:val="1F5F8B"/>
          <w:sz w:val="32"/>
        </w:rPr>
        <w:t>1A. Company Brief</w:t>
      </w:r>
    </w:p>
    <w:p>
      <w:pPr>
        <w:spacing w:before="0" w:after="120"/>
      </w:pPr>
    </w:p>
    <w:p>
      <w:pPr>
        <w:spacing w:after="80"/>
      </w:pPr>
      <w:r>
        <w:rPr>
          <w:rFonts w:ascii="Calibri" w:hAnsi="Calibri"/>
          <w:color w:val="333333"/>
          <w:sz w:val="20"/>
        </w:rPr>
        <w:t>Indo Rama Synthetics (India) Limited is a dedicated polyester manufacturer, specializing in a comprehensive range of polyester products. Its core business revolves around the manufacturing and trading of various polyester goods, including Polyester Staple Fibre (PSF), Filament Yarn (FY), Draw Texturized Yarn (DTY), Fully Drawn Yarn (FDY), Textile grade Chips, and Pet Resin. The company operates a single integrated manufacturing complex located in Butibori, near Nagpur in Maharashtra, boasting a substantial production capacity of 6,72,000 tons per annum. While specific details on raw material sourcing are limited, "PTA" (Purified Terephthalic Acid) is mentioned in relation to related party transactions, indicating its use as a key raw material. The finished goods primarily cater to the textile industry (implied by the yarn and fibre products) and potentially the packaging industry (Pet Resin). The company's primary business segment is classified as the manufacturing and trading of polyester goods, operating as one reportable segment. Information regarding the split between domestic and export revenue or current capacity utilization levels is not explicitly provided in the available documents, though mentions of "volume impact" and "improved volume" suggest dynamic utilization. The company also has four wholly-owned subsidiaries: Indorama Ventures Yarns Private Limited, Indorama Yarns Private Limited, Indorama Sustainable Polymers (India) Private Limited, and Indorama Sustainable Polyester Yarns Private Limited, with the latter two incorporated in December 2022 and noted as "yet to commence operations" as of early FY23, with no further updates on their operational status in subsequent filings.</w:t>
      </w:r>
    </w:p>
    <w:p>
      <w:pPr>
        <w:pStyle w:val="Heading1"/>
      </w:pPr>
      <w:r>
        <w:rPr>
          <w:rFonts w:ascii="Calibri" w:hAnsi="Calibri"/>
          <w:color w:val="1F5F8B"/>
          <w:sz w:val="32"/>
        </w:rPr>
        <w:t>1B. News &amp; Industry Overview</w:t>
      </w:r>
    </w:p>
    <w:p>
      <w:pPr>
        <w:spacing w:before="0" w:after="120"/>
      </w:pPr>
    </w:p>
    <w:p>
      <w:pPr>
        <w:spacing w:after="80"/>
      </w:pPr>
      <w:r>
        <w:rPr>
          <w:rFonts w:ascii="Calibri" w:hAnsi="Calibri"/>
          <w:color w:val="333333"/>
          <w:sz w:val="20"/>
        </w:rPr>
        <w:t>The past year has seen Indo Rama Synthetics navigate a dynamic market and regulatory landscape. A significant event was the withdrawal of Quality Control Orders (QCO) on the company’s Fiber Products and Raw Material in November 2025. This regulatory change led to volatile market conditions and a short-term impact on product margins in Q3 FY26, as noted in the company's press release. Despite this, the company's overall performance in FY26 demonstrated resilience, driven by aggressive cost-cutting and improved market conditions. The broader industry has experienced a shift from "sluggish market conditions and pruned product margins in view of huge imports and Geopolitical conditions" observed in Q3 FY24, to "improved market conditions and improved product margins" in Q3 FY25, and further to "improved volume, product mix and market sentiments" in Q1 FY26.</w:t>
      </w:r>
    </w:p>
    <w:p>
      <w:pPr>
        <w:spacing w:after="80"/>
      </w:pPr>
      <w:r>
        <w:rPr>
          <w:rFonts w:ascii="Calibri" w:hAnsi="Calibri"/>
          <w:color w:val="333333"/>
          <w:sz w:val="20"/>
        </w:rPr>
        <w:t>Regulatory developments, such as the Government of India's consolidation of multiple existing labor legislations into "New Labour Codes," have also had an incremental impact, recorded as an exceptional item of ₹2.70 crore in FY26. The company continues to monitor the finalization of these rules. In terms of the competitive landscape, Indo Rama Synthetics positions itself as "one of India's major dedicated polyester manufacturers," suggesting a significant presence, though specific peer comparisons are not detailed. The company has also faced several regulatory actions, including an NCLT litigation against a subsidiary, a Customs Show Cause Notice for alleged import duty violations, and multiple GST demand notices related to Input Tax Credit and RCM liability discrepancies. These ongoing legal and regulatory challenges represent a watchpoint for investors. Despite these external factors, management commentary consistently highlights "favorable industry focused trade policies of the government" as a supportive tailwind for the business.</w:t>
      </w:r>
    </w:p>
    <w:p>
      <w:pPr>
        <w:pStyle w:val="Heading1"/>
      </w:pPr>
      <w:r>
        <w:rPr>
          <w:rFonts w:ascii="Calibri" w:hAnsi="Calibri"/>
          <w:color w:val="1F5F8B"/>
          <w:sz w:val="32"/>
        </w:rPr>
        <w:t>2. Key Developments Over Past 1 Year</w:t>
      </w:r>
    </w:p>
    <w:p>
      <w:pPr>
        <w:spacing w:before="0" w:after="120"/>
      </w:pPr>
    </w:p>
    <w:p>
      <w:pPr>
        <w:spacing w:after="80"/>
      </w:pPr>
      <w:r>
        <w:rPr>
          <w:rFonts w:ascii="Calibri" w:hAnsi="Calibri"/>
          <w:color w:val="333333"/>
          <w:sz w:val="20"/>
        </w:rPr>
        <w:t>The period from May 2025 to May 2026 has been marked by several significant developments for Indo Rama Synthetics (India) Limited, reflecting both operational progress and changes in corporate structure and governance.</w:t>
      </w:r>
    </w:p>
    <w:p>
      <w:pPr>
        <w:pStyle w:val="Heading2"/>
      </w:pPr>
      <w:r>
        <w:rPr>
          <w:rFonts w:ascii="Calibri" w:hAnsi="Calibri"/>
          <w:color w:val="1F5F8B"/>
          <w:sz w:val="26"/>
        </w:rPr>
        <w:t>FY25 Audited Financial Results Approval (May 13, 2025)</w:t>
      </w:r>
    </w:p>
    <w:p>
      <w:pPr>
        <w:spacing w:after="80"/>
      </w:pPr>
      <w:r>
        <w:rPr>
          <w:rFonts w:ascii="Calibri" w:hAnsi="Calibri"/>
          <w:color w:val="333333"/>
          <w:sz w:val="20"/>
        </w:rPr>
        <w:t>The Board of Directors approved the Audited Standalone and Consolidated Financial Results for the financial year ended March 31, 2025. This marked a return to profitability for the company, with a consolidated Profit After Tax (PAT) of ₹1.40 crore, a significant improvement from the previous year's losses. The company, however, did not declare a dividend for FY25, citing the financial results.</w:t>
      </w:r>
    </w:p>
    <w:p>
      <w:pPr>
        <w:pStyle w:val="Heading2"/>
      </w:pPr>
      <w:r>
        <w:rPr>
          <w:rFonts w:ascii="Calibri" w:hAnsi="Calibri"/>
          <w:color w:val="1F5F8B"/>
          <w:sz w:val="26"/>
        </w:rPr>
        <w:t>Statutory Auditor Resignation and Appointment (May 13, 2025)</w:t>
      </w:r>
    </w:p>
    <w:p>
      <w:pPr>
        <w:spacing w:after="80"/>
      </w:pPr>
      <w:r>
        <w:rPr>
          <w:rFonts w:ascii="Calibri" w:hAnsi="Calibri"/>
          <w:color w:val="333333"/>
          <w:sz w:val="20"/>
        </w:rPr>
        <w:t>M/s Walker Chandiok &amp; Co LLP, the statutory auditors, submitted their resignation, effective May 13, 2025. The stated reason for their resignation was that it was "not commercially feasible" to continue at the stipulated fees, as the proposed reduction was not commensurate with the time and effort required for the audit. Subsequently, the Board approved the appointment of M/s S S Kothari Mehta &amp; Co. LLP as the new Statutory Auditors to fill the casual vacancy and for a five-year term from FY26 to FY30, subject to shareholder approval.</w:t>
      </w:r>
    </w:p>
    <w:p>
      <w:pPr>
        <w:pStyle w:val="Heading2"/>
      </w:pPr>
      <w:r>
        <w:rPr>
          <w:rFonts w:ascii="Calibri" w:hAnsi="Calibri"/>
          <w:color w:val="1F5F8B"/>
          <w:sz w:val="26"/>
        </w:rPr>
        <w:t>Management Re-appointments (May 16, 2023, with future effective dates)</w:t>
      </w:r>
    </w:p>
    <w:p>
      <w:pPr>
        <w:spacing w:after="80"/>
      </w:pPr>
      <w:r>
        <w:rPr>
          <w:rFonts w:ascii="Calibri" w:hAnsi="Calibri"/>
          <w:color w:val="333333"/>
          <w:sz w:val="20"/>
        </w:rPr>
        <w:t>While the Board meeting was in May 2023, the re-appointments became effective in the past year:</w:t>
      </w:r>
    </w:p>
    <w:p>
      <w:pPr>
        <w:pStyle w:val="ListBullet"/>
        <w:spacing w:after="80"/>
      </w:pPr>
      <w:r>
        <w:rPr>
          <w:rFonts w:ascii="Calibri" w:hAnsi="Calibri"/>
          <w:color w:val="333333"/>
          <w:sz w:val="20"/>
        </w:rPr>
        <w:t xml:space="preserve">  </w:t>
      </w:r>
      <w:r>
        <w:rPr>
          <w:rFonts w:ascii="Calibri" w:hAnsi="Calibri"/>
          <w:b/>
          <w:color w:val="333333"/>
          <w:sz w:val="20"/>
        </w:rPr>
        <w:t>Mr. Om Prakash Lohia</w:t>
      </w:r>
      <w:r>
        <w:rPr>
          <w:rFonts w:ascii="Calibri" w:hAnsi="Calibri"/>
          <w:color w:val="333333"/>
          <w:sz w:val="20"/>
        </w:rPr>
        <w:t xml:space="preserve"> (DIN 00206807) was re-appointed as Chairman and Managing Director for a further period of three years, effective from December 26, 2023, to December 25, 2026, subject to shareholder approval.</w:t>
      </w:r>
    </w:p>
    <w:p>
      <w:pPr>
        <w:pStyle w:val="ListBullet"/>
        <w:spacing w:after="80"/>
      </w:pPr>
      <w:r>
        <w:rPr>
          <w:rFonts w:ascii="Calibri" w:hAnsi="Calibri"/>
          <w:color w:val="333333"/>
          <w:sz w:val="20"/>
        </w:rPr>
        <w:t xml:space="preserve">  </w:t>
      </w:r>
      <w:r>
        <w:rPr>
          <w:rFonts w:ascii="Calibri" w:hAnsi="Calibri"/>
          <w:b/>
          <w:color w:val="333333"/>
          <w:sz w:val="20"/>
        </w:rPr>
        <w:t>Mr. Hemant Balkrishna Bal</w:t>
      </w:r>
      <w:r>
        <w:rPr>
          <w:rFonts w:ascii="Calibri" w:hAnsi="Calibri"/>
          <w:color w:val="333333"/>
          <w:sz w:val="20"/>
        </w:rPr>
        <w:t xml:space="preserve"> (DIN 08818797) was re-appointed as Whole-time Director for a term from October 30, 2023, to March 31, 2025. However, it is important to note that Mr. Bal subsequently resigned from the post of Whole-time Director, effective from the closure of business hours on May 31, 2024, as noted in a February 8, 2024 filing.</w:t>
      </w:r>
    </w:p>
    <w:p>
      <w:pPr>
        <w:pStyle w:val="Heading2"/>
      </w:pPr>
      <w:r>
        <w:rPr>
          <w:rFonts w:ascii="Calibri" w:hAnsi="Calibri"/>
          <w:color w:val="1F5F8B"/>
          <w:sz w:val="26"/>
        </w:rPr>
        <w:t>Devang Kumar Re-classification to Public Category (May 11, 2023 / May 16, 2023)</w:t>
      </w:r>
    </w:p>
    <w:p>
      <w:pPr>
        <w:spacing w:after="80"/>
      </w:pPr>
      <w:r>
        <w:rPr>
          <w:rFonts w:ascii="Calibri" w:hAnsi="Calibri"/>
          <w:color w:val="333333"/>
          <w:sz w:val="20"/>
        </w:rPr>
        <w:t>Mr. Devang Kumar, previously part of the Promoter Group with a 0.16% shareholding, applied for re-classification to the "Public" category. This followed his sale of the entire shareholding between December 21, 2022, and December 30, 2022. The Board approved this re-classification on May 16, 2023, confirming his adherence to SEBI (LODR) Regulations, 2015 conditions.</w:t>
      </w:r>
    </w:p>
    <w:p>
      <w:pPr>
        <w:pStyle w:val="Heading2"/>
      </w:pPr>
      <w:r>
        <w:rPr>
          <w:rFonts w:ascii="Calibri" w:hAnsi="Calibri"/>
          <w:color w:val="1F5F8B"/>
          <w:sz w:val="26"/>
        </w:rPr>
        <w:t>Q1 FY26 Unaudited Financial Results Approval (August 14, 2025)</w:t>
      </w:r>
    </w:p>
    <w:p>
      <w:pPr>
        <w:spacing w:after="80"/>
      </w:pPr>
      <w:r>
        <w:rPr>
          <w:rFonts w:ascii="Calibri" w:hAnsi="Calibri"/>
          <w:color w:val="333333"/>
          <w:sz w:val="20"/>
        </w:rPr>
        <w:t>The Board approved the unaudited standalone and consolidated financial results for the first quarter ended June 30, 2025. The press release highlighted a significant increase in total income and EBITDA over the corresponding period in FY25, driven by volume impact, product mix, and improved market sentiments.</w:t>
      </w:r>
    </w:p>
    <w:p>
      <w:pPr>
        <w:pStyle w:val="Heading2"/>
      </w:pPr>
      <w:r>
        <w:rPr>
          <w:rFonts w:ascii="Calibri" w:hAnsi="Calibri"/>
          <w:color w:val="1F5F8B"/>
          <w:sz w:val="26"/>
        </w:rPr>
        <w:t>Q2 &amp; H1 FY26 Unaudited Financial Results Approval (November 10, 2025)</w:t>
      </w:r>
    </w:p>
    <w:p>
      <w:pPr>
        <w:spacing w:after="80"/>
      </w:pPr>
      <w:r>
        <w:rPr>
          <w:rFonts w:ascii="Calibri" w:hAnsi="Calibri"/>
          <w:color w:val="333333"/>
          <w:sz w:val="20"/>
        </w:rPr>
        <w:t>The Board approved the unaudited standalone and consolidated financial results for the second quarter and half-year ended September 30, 2025. The company reported continued growth in total income and a substantial improvement in EBITDA and PAT for both the quarter and half-year, primarily due to rationalization of operational costs and improved margins.</w:t>
      </w:r>
    </w:p>
    <w:p>
      <w:pPr>
        <w:pStyle w:val="Heading2"/>
      </w:pPr>
      <w:r>
        <w:rPr>
          <w:rFonts w:ascii="Calibri" w:hAnsi="Calibri"/>
          <w:color w:val="1F5F8B"/>
          <w:sz w:val="26"/>
        </w:rPr>
        <w:t>Appointment of Company Secretary &amp; Compliance Officer (November 10, 2025)</w:t>
      </w:r>
    </w:p>
    <w:p>
      <w:pPr>
        <w:spacing w:after="80"/>
      </w:pPr>
      <w:r>
        <w:rPr>
          <w:rFonts w:ascii="Calibri" w:hAnsi="Calibri"/>
          <w:color w:val="333333"/>
          <w:sz w:val="20"/>
        </w:rPr>
        <w:t>Mr. Ashok Yadav (ACS 14223) was appointed as the Company Secretary &amp; Compliance Officer and a Key Managerial Personnel (KMP) of the company, effective November 10, 2025.</w:t>
      </w:r>
    </w:p>
    <w:p>
      <w:pPr>
        <w:pStyle w:val="Heading2"/>
      </w:pPr>
      <w:r>
        <w:rPr>
          <w:rFonts w:ascii="Calibri" w:hAnsi="Calibri"/>
          <w:color w:val="1F5F8B"/>
          <w:sz w:val="26"/>
        </w:rPr>
        <w:t>Related Party Transactions Policy Modification and Approval (November 10, 2025)</w:t>
      </w:r>
    </w:p>
    <w:p>
      <w:pPr>
        <w:spacing w:after="80"/>
      </w:pPr>
      <w:r>
        <w:rPr>
          <w:rFonts w:ascii="Calibri" w:hAnsi="Calibri"/>
          <w:color w:val="333333"/>
          <w:sz w:val="20"/>
        </w:rPr>
        <w:t>The Board approved a modified Policy on Materiality of Related Party Transactions and dealing with RPTs. Additionally, a postal ballot process was initiated to seek shareholder consent for material RPTs entered/to be entered into with TPT Petrochemicals Public Co. Limited, Thailand, for FY26.</w:t>
      </w:r>
    </w:p>
    <w:p>
      <w:pPr>
        <w:pStyle w:val="Heading2"/>
      </w:pPr>
      <w:r>
        <w:rPr>
          <w:rFonts w:ascii="Calibri" w:hAnsi="Calibri"/>
          <w:color w:val="1F5F8B"/>
          <w:sz w:val="26"/>
        </w:rPr>
        <w:t>Q3 &amp; 9M FY26 Unaudited Financial Results Approval (January 31, 2026)</w:t>
      </w:r>
    </w:p>
    <w:p>
      <w:pPr>
        <w:spacing w:after="80"/>
      </w:pPr>
      <w:r>
        <w:rPr>
          <w:rFonts w:ascii="Calibri" w:hAnsi="Calibri"/>
          <w:color w:val="333333"/>
          <w:sz w:val="20"/>
        </w:rPr>
        <w:t>The Board approved the unaudited standalone and consolidated financial results for the third quarter and nine months ended December 31, 2025. The press release indicated an increase in total income for the nine-month period, but a slight decrease in Q3 EBITDA compared to the previous year, attributed to volatile market conditions and the withdrawal of QCO on fiber products and raw materials.</w:t>
      </w:r>
    </w:p>
    <w:p>
      <w:pPr>
        <w:pStyle w:val="Heading2"/>
      </w:pPr>
      <w:r>
        <w:rPr>
          <w:rFonts w:ascii="Calibri" w:hAnsi="Calibri"/>
          <w:color w:val="1F5F8B"/>
          <w:sz w:val="26"/>
        </w:rPr>
        <w:t>Board and Committee Re-constitution (January 31, 2026)</w:t>
      </w:r>
    </w:p>
    <w:p>
      <w:pPr>
        <w:spacing w:after="80"/>
      </w:pPr>
      <w:r>
        <w:rPr>
          <w:rFonts w:ascii="Calibri" w:hAnsi="Calibri"/>
          <w:color w:val="333333"/>
          <w:sz w:val="20"/>
        </w:rPr>
        <w:t>Significant changes were made to the Board and its committees:</w:t>
      </w:r>
    </w:p>
    <w:p>
      <w:pPr>
        <w:pStyle w:val="ListBullet"/>
        <w:spacing w:after="80"/>
      </w:pPr>
      <w:r>
        <w:rPr>
          <w:rFonts w:ascii="Calibri" w:hAnsi="Calibri"/>
          <w:color w:val="333333"/>
          <w:sz w:val="20"/>
        </w:rPr>
        <w:t xml:space="preserve">  </w:t>
      </w:r>
      <w:r>
        <w:rPr>
          <w:rFonts w:ascii="Calibri" w:hAnsi="Calibri"/>
          <w:b/>
          <w:color w:val="333333"/>
          <w:sz w:val="20"/>
        </w:rPr>
        <w:t>Resignations:</w:t>
      </w:r>
      <w:r>
        <w:rPr>
          <w:rFonts w:ascii="Calibri" w:hAnsi="Calibri"/>
          <w:color w:val="333333"/>
          <w:sz w:val="20"/>
        </w:rPr>
        <w:t xml:space="preserve"> Mr. Dilip Kumar Agarwal (Non-Executive Non-Independent Director) and Mr. Sanjay Thapliyal (Whole-time Director) resigned due to personal reasons.</w:t>
      </w:r>
    </w:p>
    <w:p>
      <w:pPr>
        <w:pStyle w:val="ListBullet"/>
        <w:spacing w:after="80"/>
      </w:pPr>
      <w:r>
        <w:rPr>
          <w:rFonts w:ascii="Calibri" w:hAnsi="Calibri"/>
          <w:color w:val="333333"/>
          <w:sz w:val="20"/>
        </w:rPr>
        <w:t xml:space="preserve">  </w:t>
      </w:r>
      <w:r>
        <w:rPr>
          <w:rFonts w:ascii="Calibri" w:hAnsi="Calibri"/>
          <w:b/>
          <w:color w:val="333333"/>
          <w:sz w:val="20"/>
        </w:rPr>
        <w:t>Appointments:</w:t>
      </w:r>
      <w:r>
        <w:rPr>
          <w:rFonts w:ascii="Calibri" w:hAnsi="Calibri"/>
          <w:color w:val="333333"/>
          <w:sz w:val="20"/>
        </w:rPr>
        <w:t xml:space="preserve"> Mr. Vipin Kumar (DIN 07355025) was appointed as an Additional Non-Executive Non-Independent Director. Mr. Sanjay Gupta (DIN 11471106) was appointed as an Additional Executive Director for a consecutive term of three years, from January 31, 2026, to January 30, 2029.</w:t>
      </w:r>
    </w:p>
    <w:p>
      <w:pPr>
        <w:pStyle w:val="ListBullet"/>
        <w:spacing w:after="80"/>
      </w:pPr>
      <w:r>
        <w:rPr>
          <w:rFonts w:ascii="Calibri" w:hAnsi="Calibri"/>
          <w:color w:val="333333"/>
          <w:sz w:val="20"/>
        </w:rPr>
        <w:t xml:space="preserve">  </w:t>
      </w:r>
      <w:r>
        <w:rPr>
          <w:rFonts w:ascii="Calibri" w:hAnsi="Calibri"/>
          <w:b/>
          <w:color w:val="333333"/>
          <w:sz w:val="20"/>
        </w:rPr>
        <w:t>Committee Re-constitution:</w:t>
      </w:r>
      <w:r>
        <w:rPr>
          <w:rFonts w:ascii="Calibri" w:hAnsi="Calibri"/>
          <w:color w:val="333333"/>
          <w:sz w:val="20"/>
        </w:rPr>
        <w:t xml:space="preserve"> The Audit Committee, Nomination and Remuneration Committee, Stakeholders and Relationship Committee, CSR Committee, Risk Management Committee, and Committee of Policy on Prevention of Sexual Harassment (POSH) were re-constituted to reflect the changes in Board composition.</w:t>
      </w:r>
    </w:p>
    <w:p>
      <w:pPr>
        <w:pStyle w:val="Heading2"/>
      </w:pPr>
      <w:r>
        <w:rPr>
          <w:rFonts w:ascii="Calibri" w:hAnsi="Calibri"/>
          <w:color w:val="1F5F8B"/>
          <w:sz w:val="26"/>
        </w:rPr>
        <w:t>FY26 Audited Financial Results Approval (May 25, 2026)</w:t>
      </w:r>
    </w:p>
    <w:p>
      <w:pPr>
        <w:spacing w:after="80"/>
      </w:pPr>
      <w:r>
        <w:rPr>
          <w:rFonts w:ascii="Calibri" w:hAnsi="Calibri"/>
          <w:color w:val="333333"/>
          <w:sz w:val="20"/>
        </w:rPr>
        <w:t>The Board approved the Audited Standalone and Consolidated Financial Results for the financial year ended March 31, 2026. This confirmed the strong financial performance for the full year, with a consolidated PAT of ₹150.21 crore. Similar to FY25, no dividend was declared for FY26.</w:t>
      </w:r>
    </w:p>
    <w:p>
      <w:pPr>
        <w:pStyle w:val="Heading2"/>
      </w:pPr>
      <w:r>
        <w:rPr>
          <w:rFonts w:ascii="Calibri" w:hAnsi="Calibri"/>
          <w:color w:val="1F5F8B"/>
          <w:sz w:val="26"/>
        </w:rPr>
        <w:t>Internal and Cost Auditor Appointments for FY27 (May 25, 2026)</w:t>
      </w:r>
    </w:p>
    <w:p>
      <w:pPr>
        <w:spacing w:after="80"/>
      </w:pPr>
      <w:r>
        <w:rPr>
          <w:rFonts w:ascii="Calibri" w:hAnsi="Calibri"/>
          <w:color w:val="333333"/>
          <w:sz w:val="20"/>
        </w:rPr>
        <w:t>M/s Deloitte Haskins &amp; Sells LLP, Chartered Accountants, were appointed as the Internal Auditors for FY27. Mr. R. Krishnan, Cost Accountant, was re-appointed as the Cost Auditor for FY27.</w:t>
      </w:r>
    </w:p>
    <w:p>
      <w:pPr>
        <w:pStyle w:val="Heading2"/>
      </w:pPr>
      <w:r>
        <w:rPr>
          <w:rFonts w:ascii="Calibri" w:hAnsi="Calibri"/>
          <w:color w:val="1F5F8B"/>
          <w:sz w:val="26"/>
        </w:rPr>
        <w:t>Regulatory Actions and Penalties (Ongoing)</w:t>
      </w:r>
    </w:p>
    <w:p>
      <w:pPr>
        <w:spacing w:after="80"/>
      </w:pPr>
      <w:r>
        <w:rPr>
          <w:rFonts w:ascii="Calibri" w:hAnsi="Calibri"/>
          <w:color w:val="333333"/>
          <w:sz w:val="20"/>
        </w:rPr>
        <w:t>The company and its subsidiaries have been subject to several regulatory actions:</w:t>
      </w:r>
    </w:p>
    <w:p>
      <w:pPr>
        <w:pStyle w:val="ListBullet"/>
        <w:spacing w:after="80"/>
      </w:pPr>
      <w:r>
        <w:rPr>
          <w:rFonts w:ascii="Calibri" w:hAnsi="Calibri"/>
          <w:color w:val="333333"/>
          <w:sz w:val="20"/>
        </w:rPr>
        <w:t xml:space="preserve">  </w:t>
      </w:r>
      <w:r>
        <w:rPr>
          <w:rFonts w:ascii="Calibri" w:hAnsi="Calibri"/>
          <w:b/>
          <w:color w:val="333333"/>
          <w:sz w:val="20"/>
        </w:rPr>
        <w:t>NCLT Litigation (January 9, 2025):</w:t>
      </w:r>
      <w:r>
        <w:rPr>
          <w:rFonts w:ascii="Calibri" w:hAnsi="Calibri"/>
          <w:color w:val="333333"/>
          <w:sz w:val="20"/>
        </w:rPr>
        <w:t xml:space="preserve"> A wholly-owned subsidiary, Indorama Ventures Yarns Private Limited, was asked to reply to a petition before NCLT, Mumbai, regarding a disputed claim of INR 4.88 crore plus 18% interest from Rattan Singh Builders Private Limited for incomplete contractual works.</w:t>
      </w:r>
    </w:p>
    <w:p>
      <w:pPr>
        <w:pStyle w:val="ListBullet"/>
        <w:spacing w:after="80"/>
      </w:pPr>
      <w:r>
        <w:rPr>
          <w:rFonts w:ascii="Calibri" w:hAnsi="Calibri"/>
          <w:color w:val="333333"/>
          <w:sz w:val="20"/>
        </w:rPr>
        <w:t xml:space="preserve">  </w:t>
      </w:r>
      <w:r>
        <w:rPr>
          <w:rFonts w:ascii="Calibri" w:hAnsi="Calibri"/>
          <w:b/>
          <w:color w:val="333333"/>
          <w:sz w:val="20"/>
        </w:rPr>
        <w:t>Customs Show Cause Notice (January 14, 2025):</w:t>
      </w:r>
      <w:r>
        <w:rPr>
          <w:rFonts w:ascii="Calibri" w:hAnsi="Calibri"/>
          <w:color w:val="333333"/>
          <w:sz w:val="20"/>
        </w:rPr>
        <w:t xml:space="preserve"> The company received a show cause notice from the Customs Commissionerate for alleged import duty violations amounting to INR 47.45 lakhs, along with interest and penalty.</w:t>
      </w:r>
    </w:p>
    <w:p>
      <w:pPr>
        <w:pStyle w:val="ListBullet"/>
        <w:spacing w:after="80"/>
      </w:pPr>
      <w:r>
        <w:rPr>
          <w:rFonts w:ascii="Calibri" w:hAnsi="Calibri"/>
          <w:color w:val="333333"/>
          <w:sz w:val="20"/>
        </w:rPr>
        <w:t xml:space="preserve">  </w:t>
      </w:r>
      <w:r>
        <w:rPr>
          <w:rFonts w:ascii="Calibri" w:hAnsi="Calibri"/>
          <w:b/>
          <w:color w:val="333333"/>
          <w:sz w:val="20"/>
        </w:rPr>
        <w:t>GST Demand Notice FY21 (March 1, 2025, and June 6, 2025):</w:t>
      </w:r>
      <w:r>
        <w:rPr>
          <w:rFonts w:ascii="Calibri" w:hAnsi="Calibri"/>
          <w:color w:val="333333"/>
          <w:sz w:val="20"/>
        </w:rPr>
        <w:t xml:space="preserve"> An initial demand notice for FY21 from the Dy. Commissioner of GST, Maharashtra, for INR 8.58 crore (including tax, interest, and penalty) related to alleged Input Tax Credit violations. This was later rectified to INR 69.37 lakhs (including interest and penalty) in June 2025.</w:t>
      </w:r>
    </w:p>
    <w:p>
      <w:pPr>
        <w:pStyle w:val="ListBullet"/>
        <w:spacing w:after="80"/>
      </w:pPr>
      <w:r>
        <w:rPr>
          <w:rFonts w:ascii="Calibri" w:hAnsi="Calibri"/>
          <w:color w:val="333333"/>
          <w:sz w:val="20"/>
        </w:rPr>
        <w:t xml:space="preserve">  </w:t>
      </w:r>
      <w:r>
        <w:rPr>
          <w:rFonts w:ascii="Calibri" w:hAnsi="Calibri"/>
          <w:b/>
          <w:color w:val="333333"/>
          <w:sz w:val="20"/>
        </w:rPr>
        <w:t>GST Demand Notice FY22 (December 30, 2025):</w:t>
      </w:r>
      <w:r>
        <w:rPr>
          <w:rFonts w:ascii="Calibri" w:hAnsi="Calibri"/>
          <w:color w:val="333333"/>
          <w:sz w:val="20"/>
        </w:rPr>
        <w:t xml:space="preserve"> An order for determination of dues of INR 1.01 crore (including tax, interest, and penalty) for FY22, related to discrepancies in RCM liability on freight/carriage expenses.</w:t>
      </w:r>
    </w:p>
    <w:p>
      <w:pPr>
        <w:pStyle w:val="Heading2"/>
      </w:pPr>
      <w:r>
        <w:rPr>
          <w:rFonts w:ascii="Calibri" w:hAnsi="Calibri"/>
          <w:color w:val="1F5F8B"/>
          <w:sz w:val="26"/>
        </w:rPr>
        <w:t>Promoter Group Shareholding Restructuring (March 2024)</w:t>
      </w:r>
    </w:p>
    <w:p>
      <w:pPr>
        <w:spacing w:after="80"/>
      </w:pPr>
      <w:r>
        <w:rPr>
          <w:rFonts w:ascii="Calibri" w:hAnsi="Calibri"/>
          <w:color w:val="333333"/>
          <w:sz w:val="20"/>
        </w:rPr>
        <w:t>During March 2024, there was an internal restructuring within the promoter group involving significant share transfers:</w:t>
      </w:r>
    </w:p>
    <w:p>
      <w:pPr>
        <w:pStyle w:val="ListBullet"/>
        <w:spacing w:after="80"/>
      </w:pPr>
      <w:r>
        <w:rPr>
          <w:rFonts w:ascii="Calibri" w:hAnsi="Calibri"/>
          <w:color w:val="333333"/>
          <w:sz w:val="20"/>
        </w:rPr>
        <w:t xml:space="preserve">  Brookgrange Investments Limited disposed of 5,35,64,057 equity shares (20.51%) on March 7, 2024.</w:t>
      </w:r>
    </w:p>
    <w:p>
      <w:pPr>
        <w:pStyle w:val="ListBullet"/>
        <w:spacing w:after="80"/>
      </w:pPr>
      <w:r>
        <w:rPr>
          <w:rFonts w:ascii="Calibri" w:hAnsi="Calibri"/>
          <w:color w:val="333333"/>
          <w:sz w:val="20"/>
        </w:rPr>
        <w:t xml:space="preserve">  Mr. Aloke Lohia acquired these 5,35,64,057 equity shares (20.51%) on March 7, 2024.</w:t>
      </w:r>
    </w:p>
    <w:p>
      <w:pPr>
        <w:pStyle w:val="ListBullet"/>
        <w:spacing w:after="80"/>
      </w:pPr>
      <w:r>
        <w:rPr>
          <w:rFonts w:ascii="Calibri" w:hAnsi="Calibri"/>
          <w:color w:val="333333"/>
          <w:sz w:val="20"/>
        </w:rPr>
        <w:t xml:space="preserve">  Subsequently, Mr. Aloke Lohia disposed of the same 5,35,64,057 equity shares (20.51%) by way of a gift on March 22, 2024.</w:t>
      </w:r>
    </w:p>
    <w:p>
      <w:pPr>
        <w:pStyle w:val="ListBullet"/>
        <w:spacing w:after="80"/>
      </w:pPr>
      <w:r>
        <w:rPr>
          <w:rFonts w:ascii="Calibri" w:hAnsi="Calibri"/>
          <w:color w:val="333333"/>
          <w:sz w:val="20"/>
        </w:rPr>
        <w:t xml:space="preserve">  Mrs. Urmila Lohia acquired these 5,35,64,057 equity shares (20.51%) on March 22, 2024.</w:t>
      </w:r>
    </w:p>
    <w:p>
      <w:pPr>
        <w:spacing w:after="80"/>
      </w:pPr>
      <w:r>
        <w:rPr>
          <w:rFonts w:ascii="Calibri" w:hAnsi="Calibri"/>
          <w:color w:val="333333"/>
          <w:sz w:val="20"/>
        </w:rPr>
        <w:t>These transactions were inter-se transfers within the promoter/promoter group, resulting in no change to the overall promoter group holding percentage.</w:t>
      </w:r>
    </w:p>
    <w:p>
      <w:pPr>
        <w:pStyle w:val="Heading1"/>
      </w:pPr>
      <w:r>
        <w:rPr>
          <w:rFonts w:ascii="Calibri" w:hAnsi="Calibri"/>
          <w:color w:val="1F5F8B"/>
          <w:sz w:val="32"/>
        </w:rPr>
        <w:t>3. Financial Analysis</w:t>
      </w:r>
    </w:p>
    <w:p>
      <w:pPr>
        <w:spacing w:before="0" w:after="120"/>
      </w:pPr>
    </w:p>
    <w:p>
      <w:pPr>
        <w:spacing w:after="80"/>
      </w:pPr>
      <w:r>
        <w:rPr>
          <w:rFonts w:ascii="Calibri" w:hAnsi="Calibri"/>
          <w:color w:val="333333"/>
          <w:sz w:val="20"/>
        </w:rPr>
        <w:t>Indo Rama Synthetics has demonstrated a significant financial turnaround, particularly in FY26. After a challenging FY24 that saw substantial losses, the company returned to profitability in FY25 with a consolidated PAT of ₹1.40 crore on a total income of ₹4,287.96 crore. This positive momentum accelerated sharply in FY26, with total income growing to ₹4,929.01 crore and consolidated PAT surging to ₹150.21 crore. The company's operating cash flow has remained robust, with ₹391.11 crore generated from operations in FY25 and ₹392.34 crore in FY26, indicating strong underlying business operations. Despite continued investments in property, plant, and equipment (capex of ₹38.74 crore in FY25 and ₹23.79 crore in FY26), the company has managed its debt, leading to a reduction in finance costs from ₹157.24 crore in FY25 to ₹130.31 crore in FY26. The balance sheet, however, continues to show current liabilities exceeding current assets, highlighting ongoing working capital management as a key focus area.</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80"/>
        <w:gridCol w:w="2880"/>
        <w:gridCol w:w="2880"/>
      </w:tblGrid>
      <w:tr>
        <w:tc>
          <w:tcPr>
            <w:tcW w:type="dxa" w:w="2880"/>
            <w:shd w:fill="1F5F8B"/>
          </w:tcPr>
          <w:p>
            <w:pPr>
              <w:spacing w:before="40" w:after="40"/>
            </w:pPr>
            <w:r>
              <w:rPr>
                <w:rFonts w:ascii="Calibri" w:hAnsi="Calibri"/>
                <w:b/>
                <w:color w:val="FFFFFF"/>
                <w:sz w:val="18"/>
              </w:rPr>
              <w:t>Closing Cash &amp; Equivalents</w:t>
            </w:r>
          </w:p>
        </w:tc>
        <w:tc>
          <w:tcPr>
            <w:tcW w:type="dxa" w:w="2880"/>
            <w:shd w:fill="1F5F8B"/>
          </w:tcPr>
          <w:p>
            <w:pPr>
              <w:spacing w:before="40" w:after="40"/>
            </w:pPr>
            <w:r>
              <w:rPr>
                <w:rFonts w:ascii="Calibri" w:hAnsi="Calibri"/>
                <w:b/>
                <w:color w:val="FFFFFF"/>
                <w:sz w:val="18"/>
              </w:rPr>
              <w:t>FY25A</w:t>
            </w:r>
          </w:p>
        </w:tc>
        <w:tc>
          <w:tcPr>
            <w:tcW w:type="dxa" w:w="2880"/>
            <w:shd w:fill="1F5F8B"/>
          </w:tcPr>
          <w:p>
            <w:pPr>
              <w:spacing w:before="40" w:after="40"/>
            </w:pPr>
            <w:r>
              <w:rPr>
                <w:rFonts w:ascii="Calibri" w:hAnsi="Calibri"/>
                <w:b/>
                <w:color w:val="FFFFFF"/>
                <w:sz w:val="18"/>
              </w:rPr>
              <w:t>FY26A</w:t>
            </w:r>
          </w:p>
        </w:tc>
      </w:tr>
      <w:tr>
        <w:tc>
          <w:tcPr>
            <w:tcW w:type="dxa" w:w="2880"/>
          </w:tcPr>
          <w:p>
            <w:pPr>
              <w:spacing w:before="40" w:after="40"/>
            </w:pPr>
            <w:r>
              <w:rPr>
                <w:rFonts w:ascii="Calibri" w:hAnsi="Calibri"/>
                <w:b/>
                <w:sz w:val="18"/>
              </w:rPr>
              <w:t>Consolidated</w:t>
            </w:r>
          </w:p>
        </w:tc>
        <w:tc>
          <w:tcPr>
            <w:tcW w:type="dxa" w:w="2880"/>
          </w:tcPr>
          <w:p>
            <w:pPr>
              <w:spacing w:before="40" w:after="40"/>
            </w:pPr>
            <w:r>
              <w:rPr>
                <w:rFonts w:ascii="Calibri" w:hAnsi="Calibri"/>
                <w:sz w:val="18"/>
              </w:rPr>
              <w:t>2</w:t>
            </w:r>
          </w:p>
        </w:tc>
        <w:tc>
          <w:tcPr>
            <w:tcW w:type="dxa" w:w="2880"/>
          </w:tcPr>
          <w:p>
            <w:pPr>
              <w:spacing w:before="40" w:after="40"/>
            </w:pPr>
            <w:r>
              <w:rPr>
                <w:rFonts w:ascii="Calibri" w:hAnsi="Calibri"/>
                <w:sz w:val="18"/>
              </w:rPr>
            </w:r>
          </w:p>
        </w:tc>
      </w:tr>
    </w:tbl>
    <w:p/>
    <w:p>
      <w:pPr>
        <w:pStyle w:val="Heading2"/>
      </w:pPr>
      <w:r>
        <w:rPr>
          <w:rFonts w:ascii="Calibri" w:hAnsi="Calibri"/>
          <w:color w:val="1F5F8B"/>
          <w:sz w:val="26"/>
        </w:rPr>
        <w:t>3.1 Consolidated Profit &amp; Loss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65"/>
        <w:gridCol w:w="665"/>
        <w:gridCol w:w="665"/>
        <w:gridCol w:w="665"/>
        <w:gridCol w:w="665"/>
        <w:gridCol w:w="665"/>
        <w:gridCol w:w="665"/>
        <w:gridCol w:w="665"/>
        <w:gridCol w:w="665"/>
        <w:gridCol w:w="665"/>
        <w:gridCol w:w="665"/>
        <w:gridCol w:w="665"/>
        <w:gridCol w:w="665"/>
      </w:tblGrid>
      <w:tr>
        <w:tc>
          <w:tcPr>
            <w:tcW w:type="dxa" w:w="665"/>
            <w:shd w:fill="1F5F8B"/>
          </w:tcPr>
          <w:p>
            <w:pPr>
              <w:spacing w:before="40" w:after="40"/>
            </w:pPr>
            <w:r>
              <w:rPr>
                <w:rFonts w:ascii="Calibri" w:hAnsi="Calibri"/>
                <w:b/>
                <w:color w:val="FFFFFF"/>
                <w:sz w:val="18"/>
              </w:rPr>
            </w:r>
          </w:p>
        </w:tc>
        <w:tc>
          <w:tcPr>
            <w:tcW w:type="dxa" w:w="665"/>
            <w:shd w:fill="1F5F8B"/>
          </w:tcPr>
          <w:p>
            <w:pPr>
              <w:spacing w:before="40" w:after="40"/>
            </w:pPr>
            <w:r>
              <w:rPr>
                <w:rFonts w:ascii="Calibri" w:hAnsi="Calibri"/>
                <w:b/>
                <w:color w:val="FFFFFF"/>
                <w:sz w:val="18"/>
              </w:rPr>
              <w:t>Mar 2013</w:t>
            </w:r>
          </w:p>
        </w:tc>
        <w:tc>
          <w:tcPr>
            <w:tcW w:type="dxa" w:w="665"/>
            <w:shd w:fill="1F5F8B"/>
          </w:tcPr>
          <w:p>
            <w:pPr>
              <w:spacing w:before="40" w:after="40"/>
            </w:pPr>
            <w:r>
              <w:rPr>
                <w:rFonts w:ascii="Calibri" w:hAnsi="Calibri"/>
                <w:b/>
                <w:color w:val="FFFFFF"/>
                <w:sz w:val="18"/>
              </w:rPr>
              <w:t>Mar 2014</w:t>
            </w:r>
          </w:p>
        </w:tc>
        <w:tc>
          <w:tcPr>
            <w:tcW w:type="dxa" w:w="665"/>
            <w:shd w:fill="1F5F8B"/>
          </w:tcPr>
          <w:p>
            <w:pPr>
              <w:spacing w:before="40" w:after="40"/>
            </w:pPr>
            <w:r>
              <w:rPr>
                <w:rFonts w:ascii="Calibri" w:hAnsi="Calibri"/>
                <w:b/>
                <w:color w:val="FFFFFF"/>
                <w:sz w:val="18"/>
              </w:rPr>
              <w:t>Mar 2015</w:t>
            </w:r>
          </w:p>
        </w:tc>
        <w:tc>
          <w:tcPr>
            <w:tcW w:type="dxa" w:w="665"/>
            <w:shd w:fill="1F5F8B"/>
          </w:tcPr>
          <w:p>
            <w:pPr>
              <w:spacing w:before="40" w:after="40"/>
            </w:pPr>
            <w:r>
              <w:rPr>
                <w:rFonts w:ascii="Calibri" w:hAnsi="Calibri"/>
                <w:b/>
                <w:color w:val="FFFFFF"/>
                <w:sz w:val="18"/>
              </w:rPr>
              <w:t>Mar 2016</w:t>
            </w:r>
          </w:p>
        </w:tc>
        <w:tc>
          <w:tcPr>
            <w:tcW w:type="dxa" w:w="665"/>
            <w:shd w:fill="1F5F8B"/>
          </w:tcPr>
          <w:p>
            <w:pPr>
              <w:spacing w:before="40" w:after="40"/>
            </w:pPr>
            <w:r>
              <w:rPr>
                <w:rFonts w:ascii="Calibri" w:hAnsi="Calibri"/>
                <w:b/>
                <w:color w:val="FFFFFF"/>
                <w:sz w:val="18"/>
              </w:rPr>
              <w:t>Mar 2017</w:t>
            </w:r>
          </w:p>
        </w:tc>
        <w:tc>
          <w:tcPr>
            <w:tcW w:type="dxa" w:w="665"/>
            <w:shd w:fill="1F5F8B"/>
          </w:tcPr>
          <w:p>
            <w:pPr>
              <w:spacing w:before="40" w:after="40"/>
            </w:pPr>
            <w:r>
              <w:rPr>
                <w:rFonts w:ascii="Calibri" w:hAnsi="Calibri"/>
                <w:b/>
                <w:color w:val="FFFFFF"/>
                <w:sz w:val="18"/>
              </w:rPr>
              <w:t>Mar 2020</w:t>
            </w:r>
          </w:p>
        </w:tc>
        <w:tc>
          <w:tcPr>
            <w:tcW w:type="dxa" w:w="665"/>
            <w:shd w:fill="1F5F8B"/>
          </w:tcPr>
          <w:p>
            <w:pPr>
              <w:spacing w:before="40" w:after="40"/>
            </w:pPr>
            <w:r>
              <w:rPr>
                <w:rFonts w:ascii="Calibri" w:hAnsi="Calibri"/>
                <w:b/>
                <w:color w:val="FFFFFF"/>
                <w:sz w:val="18"/>
              </w:rPr>
              <w:t>Mar 2021</w:t>
            </w:r>
          </w:p>
        </w:tc>
        <w:tc>
          <w:tcPr>
            <w:tcW w:type="dxa" w:w="665"/>
            <w:shd w:fill="1F5F8B"/>
          </w:tcPr>
          <w:p>
            <w:pPr>
              <w:spacing w:before="40" w:after="40"/>
            </w:pPr>
            <w:r>
              <w:rPr>
                <w:rFonts w:ascii="Calibri" w:hAnsi="Calibri"/>
                <w:b/>
                <w:color w:val="FFFFFF"/>
                <w:sz w:val="18"/>
              </w:rPr>
              <w:t>Mar 2022</w:t>
            </w:r>
          </w:p>
        </w:tc>
        <w:tc>
          <w:tcPr>
            <w:tcW w:type="dxa" w:w="665"/>
            <w:shd w:fill="1F5F8B"/>
          </w:tcPr>
          <w:p>
            <w:pPr>
              <w:spacing w:before="40" w:after="40"/>
            </w:pPr>
            <w:r>
              <w:rPr>
                <w:rFonts w:ascii="Calibri" w:hAnsi="Calibri"/>
                <w:b/>
                <w:color w:val="FFFFFF"/>
                <w:sz w:val="18"/>
              </w:rPr>
              <w:t>Mar 2023</w:t>
            </w:r>
          </w:p>
        </w:tc>
        <w:tc>
          <w:tcPr>
            <w:tcW w:type="dxa" w:w="665"/>
            <w:shd w:fill="1F5F8B"/>
          </w:tcPr>
          <w:p>
            <w:pPr>
              <w:spacing w:before="40" w:after="40"/>
            </w:pPr>
            <w:r>
              <w:rPr>
                <w:rFonts w:ascii="Calibri" w:hAnsi="Calibri"/>
                <w:b/>
                <w:color w:val="FFFFFF"/>
                <w:sz w:val="18"/>
              </w:rPr>
              <w:t>Mar 2024</w:t>
            </w:r>
          </w:p>
        </w:tc>
        <w:tc>
          <w:tcPr>
            <w:tcW w:type="dxa" w:w="665"/>
            <w:shd w:fill="1F5F8B"/>
          </w:tcPr>
          <w:p>
            <w:pPr>
              <w:spacing w:before="40" w:after="40"/>
            </w:pPr>
            <w:r>
              <w:rPr>
                <w:rFonts w:ascii="Calibri" w:hAnsi="Calibri"/>
                <w:b/>
                <w:color w:val="FFFFFF"/>
                <w:sz w:val="18"/>
              </w:rPr>
              <w:t>Mar 2025</w:t>
            </w:r>
          </w:p>
        </w:tc>
        <w:tc>
          <w:tcPr>
            <w:tcW w:type="dxa" w:w="665"/>
            <w:shd w:fill="1F5F8B"/>
          </w:tcPr>
          <w:p>
            <w:pPr>
              <w:spacing w:before="40" w:after="40"/>
            </w:pPr>
            <w:r>
              <w:rPr>
                <w:rFonts w:ascii="Calibri" w:hAnsi="Calibri"/>
                <w:b/>
                <w:color w:val="FFFFFF"/>
                <w:sz w:val="18"/>
              </w:rPr>
              <w:t>Mar 2026</w:t>
            </w:r>
          </w:p>
        </w:tc>
      </w:tr>
      <w:tr>
        <w:tc>
          <w:tcPr>
            <w:tcW w:type="dxa" w:w="665"/>
          </w:tcPr>
          <w:p>
            <w:pPr>
              <w:spacing w:before="40" w:after="40"/>
            </w:pPr>
            <w:r>
              <w:rPr>
                <w:rFonts w:ascii="Calibri" w:hAnsi="Calibri"/>
                <w:b/>
                <w:sz w:val="18"/>
              </w:rPr>
              <w:t>Sales+</w:t>
            </w:r>
          </w:p>
        </w:tc>
        <w:tc>
          <w:tcPr>
            <w:tcW w:type="dxa" w:w="665"/>
          </w:tcPr>
          <w:p>
            <w:pPr>
              <w:spacing w:before="40" w:after="40"/>
            </w:pPr>
            <w:r>
              <w:rPr>
                <w:rFonts w:ascii="Calibri" w:hAnsi="Calibri"/>
                <w:sz w:val="18"/>
              </w:rPr>
              <w:t>2,908</w:t>
            </w:r>
          </w:p>
        </w:tc>
        <w:tc>
          <w:tcPr>
            <w:tcW w:type="dxa" w:w="665"/>
          </w:tcPr>
          <w:p>
            <w:pPr>
              <w:spacing w:before="40" w:after="40"/>
            </w:pPr>
            <w:r>
              <w:rPr>
                <w:rFonts w:ascii="Calibri" w:hAnsi="Calibri"/>
                <w:sz w:val="18"/>
              </w:rPr>
              <w:t>2,656</w:t>
            </w:r>
          </w:p>
        </w:tc>
        <w:tc>
          <w:tcPr>
            <w:tcW w:type="dxa" w:w="665"/>
          </w:tcPr>
          <w:p>
            <w:pPr>
              <w:spacing w:before="40" w:after="40"/>
            </w:pPr>
            <w:r>
              <w:rPr>
                <w:rFonts w:ascii="Calibri" w:hAnsi="Calibri"/>
                <w:sz w:val="18"/>
              </w:rPr>
              <w:t>2,758</w:t>
            </w:r>
          </w:p>
        </w:tc>
        <w:tc>
          <w:tcPr>
            <w:tcW w:type="dxa" w:w="665"/>
          </w:tcPr>
          <w:p>
            <w:pPr>
              <w:spacing w:before="40" w:after="40"/>
            </w:pPr>
            <w:r>
              <w:rPr>
                <w:rFonts w:ascii="Calibri" w:hAnsi="Calibri"/>
                <w:sz w:val="18"/>
              </w:rPr>
              <w:t>2,525</w:t>
            </w:r>
          </w:p>
        </w:tc>
        <w:tc>
          <w:tcPr>
            <w:tcW w:type="dxa" w:w="665"/>
          </w:tcPr>
          <w:p>
            <w:pPr>
              <w:spacing w:before="40" w:after="40"/>
            </w:pPr>
            <w:r>
              <w:rPr>
                <w:rFonts w:ascii="Calibri" w:hAnsi="Calibri"/>
                <w:sz w:val="18"/>
              </w:rPr>
              <w:t>2,459</w:t>
            </w:r>
          </w:p>
        </w:tc>
        <w:tc>
          <w:tcPr>
            <w:tcW w:type="dxa" w:w="665"/>
          </w:tcPr>
          <w:p>
            <w:pPr>
              <w:spacing w:before="40" w:after="40"/>
            </w:pPr>
            <w:r>
              <w:rPr>
                <w:rFonts w:ascii="Calibri" w:hAnsi="Calibri"/>
                <w:sz w:val="18"/>
              </w:rPr>
              <w:t>2,106</w:t>
            </w:r>
          </w:p>
        </w:tc>
        <w:tc>
          <w:tcPr>
            <w:tcW w:type="dxa" w:w="665"/>
          </w:tcPr>
          <w:p>
            <w:pPr>
              <w:spacing w:before="40" w:after="40"/>
            </w:pPr>
            <w:r>
              <w:rPr>
                <w:rFonts w:ascii="Calibri" w:hAnsi="Calibri"/>
                <w:sz w:val="18"/>
              </w:rPr>
              <w:t>2,043</w:t>
            </w:r>
          </w:p>
        </w:tc>
        <w:tc>
          <w:tcPr>
            <w:tcW w:type="dxa" w:w="665"/>
          </w:tcPr>
          <w:p>
            <w:pPr>
              <w:spacing w:before="40" w:after="40"/>
            </w:pPr>
            <w:r>
              <w:rPr>
                <w:rFonts w:ascii="Calibri" w:hAnsi="Calibri"/>
                <w:sz w:val="18"/>
              </w:rPr>
              <w:t>4,038</w:t>
            </w:r>
          </w:p>
        </w:tc>
        <w:tc>
          <w:tcPr>
            <w:tcW w:type="dxa" w:w="665"/>
          </w:tcPr>
          <w:p>
            <w:pPr>
              <w:spacing w:before="40" w:after="40"/>
            </w:pPr>
            <w:r>
              <w:rPr>
                <w:rFonts w:ascii="Calibri" w:hAnsi="Calibri"/>
                <w:sz w:val="18"/>
              </w:rPr>
              <w:t>4,085</w:t>
            </w:r>
          </w:p>
        </w:tc>
        <w:tc>
          <w:tcPr>
            <w:tcW w:type="dxa" w:w="665"/>
          </w:tcPr>
          <w:p>
            <w:pPr>
              <w:spacing w:before="40" w:after="40"/>
            </w:pPr>
            <w:r>
              <w:rPr>
                <w:rFonts w:ascii="Calibri" w:hAnsi="Calibri"/>
                <w:sz w:val="18"/>
              </w:rPr>
              <w:t>3,873</w:t>
            </w:r>
          </w:p>
        </w:tc>
        <w:tc>
          <w:tcPr>
            <w:tcW w:type="dxa" w:w="665"/>
          </w:tcPr>
          <w:p>
            <w:pPr>
              <w:spacing w:before="40" w:after="40"/>
            </w:pPr>
            <w:r>
              <w:rPr>
                <w:rFonts w:ascii="Calibri" w:hAnsi="Calibri"/>
                <w:sz w:val="18"/>
              </w:rPr>
              <w:t>4,259</w:t>
            </w:r>
          </w:p>
        </w:tc>
        <w:tc>
          <w:tcPr>
            <w:tcW w:type="dxa" w:w="665"/>
          </w:tcPr>
          <w:p>
            <w:pPr>
              <w:spacing w:before="40" w:after="40"/>
            </w:pPr>
            <w:r>
              <w:rPr>
                <w:rFonts w:ascii="Calibri" w:hAnsi="Calibri"/>
                <w:sz w:val="18"/>
              </w:rPr>
              <w:t>4,910</w:t>
            </w:r>
          </w:p>
        </w:tc>
      </w:tr>
      <w:tr>
        <w:tc>
          <w:tcPr>
            <w:tcW w:type="dxa" w:w="665"/>
            <w:shd w:fill="E8F0FE"/>
          </w:tcPr>
          <w:p>
            <w:pPr>
              <w:spacing w:before="40" w:after="40"/>
            </w:pPr>
            <w:r>
              <w:rPr>
                <w:rFonts w:ascii="Calibri" w:hAnsi="Calibri"/>
                <w:b/>
                <w:sz w:val="18"/>
              </w:rPr>
              <w:t>Expenses+</w:t>
            </w:r>
          </w:p>
        </w:tc>
        <w:tc>
          <w:tcPr>
            <w:tcW w:type="dxa" w:w="665"/>
            <w:shd w:fill="E8F0FE"/>
          </w:tcPr>
          <w:p>
            <w:pPr>
              <w:spacing w:before="40" w:after="40"/>
            </w:pPr>
            <w:r>
              <w:rPr>
                <w:rFonts w:ascii="Calibri" w:hAnsi="Calibri"/>
                <w:sz w:val="18"/>
              </w:rPr>
              <w:t>2,867</w:t>
            </w:r>
          </w:p>
        </w:tc>
        <w:tc>
          <w:tcPr>
            <w:tcW w:type="dxa" w:w="665"/>
            <w:shd w:fill="E8F0FE"/>
          </w:tcPr>
          <w:p>
            <w:pPr>
              <w:spacing w:before="40" w:after="40"/>
            </w:pPr>
            <w:r>
              <w:rPr>
                <w:rFonts w:ascii="Calibri" w:hAnsi="Calibri"/>
                <w:sz w:val="18"/>
              </w:rPr>
              <w:t>2,629</w:t>
            </w:r>
          </w:p>
        </w:tc>
        <w:tc>
          <w:tcPr>
            <w:tcW w:type="dxa" w:w="665"/>
            <w:shd w:fill="E8F0FE"/>
          </w:tcPr>
          <w:p>
            <w:pPr>
              <w:spacing w:before="40" w:after="40"/>
            </w:pPr>
            <w:r>
              <w:rPr>
                <w:rFonts w:ascii="Calibri" w:hAnsi="Calibri"/>
                <w:sz w:val="18"/>
              </w:rPr>
              <w:t>2,635</w:t>
            </w:r>
          </w:p>
        </w:tc>
        <w:tc>
          <w:tcPr>
            <w:tcW w:type="dxa" w:w="665"/>
            <w:shd w:fill="E8F0FE"/>
          </w:tcPr>
          <w:p>
            <w:pPr>
              <w:spacing w:before="40" w:after="40"/>
            </w:pPr>
            <w:r>
              <w:rPr>
                <w:rFonts w:ascii="Calibri" w:hAnsi="Calibri"/>
                <w:sz w:val="18"/>
              </w:rPr>
              <w:t>2,464</w:t>
            </w:r>
          </w:p>
        </w:tc>
        <w:tc>
          <w:tcPr>
            <w:tcW w:type="dxa" w:w="665"/>
            <w:shd w:fill="E8F0FE"/>
          </w:tcPr>
          <w:p>
            <w:pPr>
              <w:spacing w:before="40" w:after="40"/>
            </w:pPr>
            <w:r>
              <w:rPr>
                <w:rFonts w:ascii="Calibri" w:hAnsi="Calibri"/>
                <w:sz w:val="18"/>
              </w:rPr>
              <w:t>2,479</w:t>
            </w:r>
          </w:p>
        </w:tc>
        <w:tc>
          <w:tcPr>
            <w:tcW w:type="dxa" w:w="665"/>
            <w:shd w:fill="E8F0FE"/>
          </w:tcPr>
          <w:p>
            <w:pPr>
              <w:spacing w:before="40" w:after="40"/>
            </w:pPr>
            <w:r>
              <w:rPr>
                <w:rFonts w:ascii="Calibri" w:hAnsi="Calibri"/>
                <w:sz w:val="18"/>
              </w:rPr>
              <w:t>2,128</w:t>
            </w:r>
          </w:p>
        </w:tc>
        <w:tc>
          <w:tcPr>
            <w:tcW w:type="dxa" w:w="665"/>
            <w:shd w:fill="E8F0FE"/>
          </w:tcPr>
          <w:p>
            <w:pPr>
              <w:spacing w:before="40" w:after="40"/>
            </w:pPr>
            <w:r>
              <w:rPr>
                <w:rFonts w:ascii="Calibri" w:hAnsi="Calibri"/>
                <w:sz w:val="18"/>
              </w:rPr>
              <w:t>1,950</w:t>
            </w:r>
          </w:p>
        </w:tc>
        <w:tc>
          <w:tcPr>
            <w:tcW w:type="dxa" w:w="665"/>
            <w:shd w:fill="E8F0FE"/>
          </w:tcPr>
          <w:p>
            <w:pPr>
              <w:spacing w:before="40" w:after="40"/>
            </w:pPr>
            <w:r>
              <w:rPr>
                <w:rFonts w:ascii="Calibri" w:hAnsi="Calibri"/>
                <w:sz w:val="18"/>
              </w:rPr>
              <w:t>3,734</w:t>
            </w:r>
          </w:p>
        </w:tc>
        <w:tc>
          <w:tcPr>
            <w:tcW w:type="dxa" w:w="665"/>
            <w:shd w:fill="E8F0FE"/>
          </w:tcPr>
          <w:p>
            <w:pPr>
              <w:spacing w:before="40" w:after="40"/>
            </w:pPr>
            <w:r>
              <w:rPr>
                <w:rFonts w:ascii="Calibri" w:hAnsi="Calibri"/>
                <w:sz w:val="18"/>
              </w:rPr>
              <w:t>4,041</w:t>
            </w:r>
          </w:p>
        </w:tc>
        <w:tc>
          <w:tcPr>
            <w:tcW w:type="dxa" w:w="665"/>
            <w:shd w:fill="E8F0FE"/>
          </w:tcPr>
          <w:p>
            <w:pPr>
              <w:spacing w:before="40" w:after="40"/>
            </w:pPr>
            <w:r>
              <w:rPr>
                <w:rFonts w:ascii="Calibri" w:hAnsi="Calibri"/>
                <w:sz w:val="18"/>
              </w:rPr>
              <w:t>3,910</w:t>
            </w:r>
          </w:p>
        </w:tc>
        <w:tc>
          <w:tcPr>
            <w:tcW w:type="dxa" w:w="665"/>
            <w:shd w:fill="E8F0FE"/>
          </w:tcPr>
          <w:p>
            <w:pPr>
              <w:spacing w:before="40" w:after="40"/>
            </w:pPr>
            <w:r>
              <w:rPr>
                <w:rFonts w:ascii="Calibri" w:hAnsi="Calibri"/>
                <w:sz w:val="18"/>
              </w:rPr>
              <w:t>4,080</w:t>
            </w:r>
          </w:p>
        </w:tc>
        <w:tc>
          <w:tcPr>
            <w:tcW w:type="dxa" w:w="665"/>
            <w:shd w:fill="E8F0FE"/>
          </w:tcPr>
          <w:p>
            <w:pPr>
              <w:spacing w:before="40" w:after="40"/>
            </w:pPr>
            <w:r>
              <w:rPr>
                <w:rFonts w:ascii="Calibri" w:hAnsi="Calibri"/>
                <w:sz w:val="18"/>
              </w:rPr>
              <w:t>4,598</w:t>
            </w:r>
          </w:p>
        </w:tc>
      </w:tr>
      <w:tr>
        <w:tc>
          <w:tcPr>
            <w:tcW w:type="dxa" w:w="665"/>
          </w:tcPr>
          <w:p>
            <w:pPr>
              <w:spacing w:before="40" w:after="40"/>
            </w:pPr>
            <w:r>
              <w:rPr>
                <w:rFonts w:ascii="Calibri" w:hAnsi="Calibri"/>
                <w:b/>
                <w:sz w:val="18"/>
              </w:rPr>
              <w:t>Operating Profit</w:t>
            </w:r>
          </w:p>
        </w:tc>
        <w:tc>
          <w:tcPr>
            <w:tcW w:type="dxa" w:w="665"/>
          </w:tcPr>
          <w:p>
            <w:pPr>
              <w:spacing w:before="40" w:after="40"/>
            </w:pPr>
            <w:r>
              <w:rPr>
                <w:rFonts w:ascii="Calibri" w:hAnsi="Calibri"/>
                <w:sz w:val="18"/>
              </w:rPr>
              <w:t>41</w:t>
            </w:r>
          </w:p>
        </w:tc>
        <w:tc>
          <w:tcPr>
            <w:tcW w:type="dxa" w:w="665"/>
          </w:tcPr>
          <w:p>
            <w:pPr>
              <w:spacing w:before="40" w:after="40"/>
            </w:pPr>
            <w:r>
              <w:rPr>
                <w:rFonts w:ascii="Calibri" w:hAnsi="Calibri"/>
                <w:sz w:val="18"/>
              </w:rPr>
              <w:t>27</w:t>
            </w:r>
          </w:p>
        </w:tc>
        <w:tc>
          <w:tcPr>
            <w:tcW w:type="dxa" w:w="665"/>
          </w:tcPr>
          <w:p>
            <w:pPr>
              <w:spacing w:before="40" w:after="40"/>
            </w:pPr>
            <w:r>
              <w:rPr>
                <w:rFonts w:ascii="Calibri" w:hAnsi="Calibri"/>
                <w:sz w:val="18"/>
              </w:rPr>
              <w:t>122</w:t>
            </w:r>
          </w:p>
        </w:tc>
        <w:tc>
          <w:tcPr>
            <w:tcW w:type="dxa" w:w="665"/>
          </w:tcPr>
          <w:p>
            <w:pPr>
              <w:spacing w:before="40" w:after="40"/>
            </w:pPr>
            <w:r>
              <w:rPr>
                <w:rFonts w:ascii="Calibri" w:hAnsi="Calibri"/>
                <w:sz w:val="18"/>
              </w:rPr>
              <w:t>61</w:t>
            </w:r>
          </w:p>
        </w:tc>
        <w:tc>
          <w:tcPr>
            <w:tcW w:type="dxa" w:w="665"/>
          </w:tcPr>
          <w:p>
            <w:pPr>
              <w:spacing w:before="40" w:after="40"/>
            </w:pPr>
            <w:r>
              <w:rPr>
                <w:rFonts w:ascii="Calibri" w:hAnsi="Calibri"/>
                <w:sz w:val="18"/>
              </w:rPr>
              <w:t>-20</w:t>
            </w:r>
          </w:p>
        </w:tc>
        <w:tc>
          <w:tcPr>
            <w:tcW w:type="dxa" w:w="665"/>
          </w:tcPr>
          <w:p>
            <w:pPr>
              <w:spacing w:before="40" w:after="40"/>
            </w:pPr>
            <w:r>
              <w:rPr>
                <w:rFonts w:ascii="Calibri" w:hAnsi="Calibri"/>
                <w:sz w:val="18"/>
              </w:rPr>
              <w:t>-22</w:t>
            </w:r>
          </w:p>
        </w:tc>
        <w:tc>
          <w:tcPr>
            <w:tcW w:type="dxa" w:w="665"/>
          </w:tcPr>
          <w:p>
            <w:pPr>
              <w:spacing w:before="40" w:after="40"/>
            </w:pPr>
            <w:r>
              <w:rPr>
                <w:rFonts w:ascii="Calibri" w:hAnsi="Calibri"/>
                <w:sz w:val="18"/>
              </w:rPr>
              <w:t>93</w:t>
            </w:r>
          </w:p>
        </w:tc>
        <w:tc>
          <w:tcPr>
            <w:tcW w:type="dxa" w:w="665"/>
          </w:tcPr>
          <w:p>
            <w:pPr>
              <w:spacing w:before="40" w:after="40"/>
            </w:pPr>
            <w:r>
              <w:rPr>
                <w:rFonts w:ascii="Calibri" w:hAnsi="Calibri"/>
                <w:sz w:val="18"/>
              </w:rPr>
              <w:t>304</w:t>
            </w:r>
          </w:p>
        </w:tc>
        <w:tc>
          <w:tcPr>
            <w:tcW w:type="dxa" w:w="665"/>
          </w:tcPr>
          <w:p>
            <w:pPr>
              <w:spacing w:before="40" w:after="40"/>
            </w:pPr>
            <w:r>
              <w:rPr>
                <w:rFonts w:ascii="Calibri" w:hAnsi="Calibri"/>
                <w:sz w:val="18"/>
              </w:rPr>
              <w:t>44</w:t>
            </w:r>
          </w:p>
        </w:tc>
        <w:tc>
          <w:tcPr>
            <w:tcW w:type="dxa" w:w="665"/>
          </w:tcPr>
          <w:p>
            <w:pPr>
              <w:spacing w:before="40" w:after="40"/>
            </w:pPr>
            <w:r>
              <w:rPr>
                <w:rFonts w:ascii="Calibri" w:hAnsi="Calibri"/>
                <w:sz w:val="18"/>
              </w:rPr>
              <w:t>-37</w:t>
            </w:r>
          </w:p>
        </w:tc>
        <w:tc>
          <w:tcPr>
            <w:tcW w:type="dxa" w:w="665"/>
          </w:tcPr>
          <w:p>
            <w:pPr>
              <w:spacing w:before="40" w:after="40"/>
            </w:pPr>
            <w:r>
              <w:rPr>
                <w:rFonts w:ascii="Calibri" w:hAnsi="Calibri"/>
                <w:sz w:val="18"/>
              </w:rPr>
              <w:t>179</w:t>
            </w:r>
          </w:p>
        </w:tc>
        <w:tc>
          <w:tcPr>
            <w:tcW w:type="dxa" w:w="665"/>
          </w:tcPr>
          <w:p>
            <w:pPr>
              <w:spacing w:before="40" w:after="40"/>
            </w:pPr>
            <w:r>
              <w:rPr>
                <w:rFonts w:ascii="Calibri" w:hAnsi="Calibri"/>
                <w:sz w:val="18"/>
              </w:rPr>
              <w:t>312</w:t>
            </w:r>
          </w:p>
        </w:tc>
      </w:tr>
      <w:tr>
        <w:tc>
          <w:tcPr>
            <w:tcW w:type="dxa" w:w="665"/>
            <w:shd w:fill="E8F0FE"/>
          </w:tcPr>
          <w:p>
            <w:pPr>
              <w:spacing w:before="40" w:after="40"/>
            </w:pPr>
            <w:r>
              <w:rPr>
                <w:rFonts w:ascii="Calibri" w:hAnsi="Calibri"/>
                <w:b/>
                <w:sz w:val="18"/>
              </w:rPr>
              <w:t>OPM %</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4%</w:t>
            </w:r>
          </w:p>
        </w:tc>
        <w:tc>
          <w:tcPr>
            <w:tcW w:type="dxa" w:w="665"/>
            <w:shd w:fill="E8F0FE"/>
          </w:tcPr>
          <w:p>
            <w:pPr>
              <w:spacing w:before="40" w:after="40"/>
            </w:pPr>
            <w:r>
              <w:rPr>
                <w:rFonts w:ascii="Calibri" w:hAnsi="Calibri"/>
                <w:sz w:val="18"/>
              </w:rPr>
              <w:t>2%</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5%</w:t>
            </w:r>
          </w:p>
        </w:tc>
        <w:tc>
          <w:tcPr>
            <w:tcW w:type="dxa" w:w="665"/>
            <w:shd w:fill="E8F0FE"/>
          </w:tcPr>
          <w:p>
            <w:pPr>
              <w:spacing w:before="40" w:after="40"/>
            </w:pPr>
            <w:r>
              <w:rPr>
                <w:rFonts w:ascii="Calibri" w:hAnsi="Calibri"/>
                <w:sz w:val="18"/>
              </w:rPr>
              <w:t>8%</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4%</w:t>
            </w:r>
          </w:p>
        </w:tc>
        <w:tc>
          <w:tcPr>
            <w:tcW w:type="dxa" w:w="665"/>
            <w:shd w:fill="E8F0FE"/>
          </w:tcPr>
          <w:p>
            <w:pPr>
              <w:spacing w:before="40" w:after="40"/>
            </w:pPr>
            <w:r>
              <w:rPr>
                <w:rFonts w:ascii="Calibri" w:hAnsi="Calibri"/>
                <w:sz w:val="18"/>
              </w:rPr>
              <w:t>6%</w:t>
            </w:r>
          </w:p>
        </w:tc>
      </w:tr>
      <w:tr>
        <w:tc>
          <w:tcPr>
            <w:tcW w:type="dxa" w:w="665"/>
          </w:tcPr>
          <w:p>
            <w:pPr>
              <w:spacing w:before="40" w:after="40"/>
            </w:pPr>
            <w:r>
              <w:rPr>
                <w:rFonts w:ascii="Calibri" w:hAnsi="Calibri"/>
                <w:b/>
                <w:sz w:val="18"/>
              </w:rPr>
              <w:t>Other Income+</w:t>
            </w:r>
          </w:p>
        </w:tc>
        <w:tc>
          <w:tcPr>
            <w:tcW w:type="dxa" w:w="665"/>
          </w:tcPr>
          <w:p>
            <w:pPr>
              <w:spacing w:before="40" w:after="40"/>
            </w:pPr>
            <w:r>
              <w:rPr>
                <w:rFonts w:ascii="Calibri" w:hAnsi="Calibri"/>
                <w:sz w:val="18"/>
              </w:rPr>
              <w:t>202</w:t>
            </w:r>
          </w:p>
        </w:tc>
        <w:tc>
          <w:tcPr>
            <w:tcW w:type="dxa" w:w="665"/>
          </w:tcPr>
          <w:p>
            <w:pPr>
              <w:spacing w:before="40" w:after="40"/>
            </w:pPr>
            <w:r>
              <w:rPr>
                <w:rFonts w:ascii="Calibri" w:hAnsi="Calibri"/>
                <w:sz w:val="18"/>
              </w:rPr>
              <w:t>136</w:t>
            </w:r>
          </w:p>
        </w:tc>
        <w:tc>
          <w:tcPr>
            <w:tcW w:type="dxa" w:w="665"/>
          </w:tcPr>
          <w:p>
            <w:pPr>
              <w:spacing w:before="40" w:after="40"/>
            </w:pPr>
            <w:r>
              <w:rPr>
                <w:rFonts w:ascii="Calibri" w:hAnsi="Calibri"/>
                <w:sz w:val="18"/>
              </w:rPr>
              <w:t>5</w:t>
            </w:r>
          </w:p>
        </w:tc>
        <w:tc>
          <w:tcPr>
            <w:tcW w:type="dxa" w:w="665"/>
          </w:tcPr>
          <w:p>
            <w:pPr>
              <w:spacing w:before="40" w:after="40"/>
            </w:pPr>
            <w:r>
              <w:rPr>
                <w:rFonts w:ascii="Calibri" w:hAnsi="Calibri"/>
                <w:sz w:val="18"/>
              </w:rPr>
              <w:t>-24</w:t>
            </w:r>
          </w:p>
        </w:tc>
        <w:tc>
          <w:tcPr>
            <w:tcW w:type="dxa" w:w="665"/>
          </w:tcPr>
          <w:p>
            <w:pPr>
              <w:spacing w:before="40" w:after="40"/>
            </w:pPr>
            <w:r>
              <w:rPr>
                <w:rFonts w:ascii="Calibri" w:hAnsi="Calibri"/>
                <w:sz w:val="18"/>
              </w:rPr>
              <w:t>55</w:t>
            </w:r>
          </w:p>
        </w:tc>
        <w:tc>
          <w:tcPr>
            <w:tcW w:type="dxa" w:w="665"/>
          </w:tcPr>
          <w:p>
            <w:pPr>
              <w:spacing w:before="40" w:after="40"/>
            </w:pPr>
            <w:r>
              <w:rPr>
                <w:rFonts w:ascii="Calibri" w:hAnsi="Calibri"/>
                <w:sz w:val="18"/>
              </w:rPr>
              <w:t>20</w:t>
            </w:r>
          </w:p>
        </w:tc>
        <w:tc>
          <w:tcPr>
            <w:tcW w:type="dxa" w:w="665"/>
          </w:tcPr>
          <w:p>
            <w:pPr>
              <w:spacing w:before="40" w:after="40"/>
            </w:pPr>
            <w:r>
              <w:rPr>
                <w:rFonts w:ascii="Calibri" w:hAnsi="Calibri"/>
                <w:sz w:val="18"/>
              </w:rPr>
              <w:t>10</w:t>
            </w:r>
          </w:p>
        </w:tc>
        <w:tc>
          <w:tcPr>
            <w:tcW w:type="dxa" w:w="665"/>
          </w:tcPr>
          <w:p>
            <w:pPr>
              <w:spacing w:before="40" w:after="40"/>
            </w:pPr>
            <w:r>
              <w:rPr>
                <w:rFonts w:ascii="Calibri" w:hAnsi="Calibri"/>
                <w:sz w:val="18"/>
              </w:rPr>
              <w:t>9</w:t>
            </w:r>
          </w:p>
        </w:tc>
        <w:tc>
          <w:tcPr>
            <w:tcW w:type="dxa" w:w="665"/>
          </w:tcPr>
          <w:p>
            <w:pPr>
              <w:spacing w:before="40" w:after="40"/>
            </w:pPr>
            <w:r>
              <w:rPr>
                <w:rFonts w:ascii="Calibri" w:hAnsi="Calibri"/>
                <w:sz w:val="18"/>
              </w:rPr>
              <w:t>22</w:t>
            </w:r>
          </w:p>
        </w:tc>
        <w:tc>
          <w:tcPr>
            <w:tcW w:type="dxa" w:w="665"/>
          </w:tcPr>
          <w:p>
            <w:pPr>
              <w:spacing w:before="40" w:after="40"/>
            </w:pPr>
            <w:r>
              <w:rPr>
                <w:rFonts w:ascii="Calibri" w:hAnsi="Calibri"/>
                <w:sz w:val="18"/>
              </w:rPr>
              <w:t>4</w:t>
            </w:r>
          </w:p>
        </w:tc>
        <w:tc>
          <w:tcPr>
            <w:tcW w:type="dxa" w:w="665"/>
          </w:tcPr>
          <w:p>
            <w:pPr>
              <w:spacing w:before="40" w:after="40"/>
            </w:pPr>
            <w:r>
              <w:rPr>
                <w:rFonts w:ascii="Calibri" w:hAnsi="Calibri"/>
                <w:sz w:val="18"/>
              </w:rPr>
              <w:t>28</w:t>
            </w:r>
          </w:p>
        </w:tc>
        <w:tc>
          <w:tcPr>
            <w:tcW w:type="dxa" w:w="665"/>
          </w:tcPr>
          <w:p>
            <w:pPr>
              <w:spacing w:before="40" w:after="40"/>
            </w:pPr>
            <w:r>
              <w:rPr>
                <w:rFonts w:ascii="Calibri" w:hAnsi="Calibri"/>
                <w:sz w:val="18"/>
              </w:rPr>
              <w:t>16</w:t>
            </w:r>
          </w:p>
        </w:tc>
      </w:tr>
      <w:tr>
        <w:tc>
          <w:tcPr>
            <w:tcW w:type="dxa" w:w="665"/>
            <w:shd w:fill="E8F0FE"/>
          </w:tcPr>
          <w:p>
            <w:pPr>
              <w:spacing w:before="40" w:after="40"/>
            </w:pPr>
            <w:r>
              <w:rPr>
                <w:rFonts w:ascii="Calibri" w:hAnsi="Calibri"/>
                <w:b/>
                <w:sz w:val="18"/>
              </w:rPr>
              <w:t>Interest</w:t>
            </w:r>
          </w:p>
        </w:tc>
        <w:tc>
          <w:tcPr>
            <w:tcW w:type="dxa" w:w="665"/>
            <w:shd w:fill="E8F0FE"/>
          </w:tcPr>
          <w:p>
            <w:pPr>
              <w:spacing w:before="40" w:after="40"/>
            </w:pPr>
            <w:r>
              <w:rPr>
                <w:rFonts w:ascii="Calibri" w:hAnsi="Calibri"/>
                <w:sz w:val="18"/>
              </w:rPr>
              <w:t>45</w:t>
            </w:r>
          </w:p>
        </w:tc>
        <w:tc>
          <w:tcPr>
            <w:tcW w:type="dxa" w:w="665"/>
            <w:shd w:fill="E8F0FE"/>
          </w:tcPr>
          <w:p>
            <w:pPr>
              <w:spacing w:before="40" w:after="40"/>
            </w:pPr>
            <w:r>
              <w:rPr>
                <w:rFonts w:ascii="Calibri" w:hAnsi="Calibri"/>
                <w:sz w:val="18"/>
              </w:rPr>
              <w:t>50</w:t>
            </w:r>
          </w:p>
        </w:tc>
        <w:tc>
          <w:tcPr>
            <w:tcW w:type="dxa" w:w="665"/>
            <w:shd w:fill="E8F0FE"/>
          </w:tcPr>
          <w:p>
            <w:pPr>
              <w:spacing w:before="40" w:after="40"/>
            </w:pPr>
            <w:r>
              <w:rPr>
                <w:rFonts w:ascii="Calibri" w:hAnsi="Calibri"/>
                <w:sz w:val="18"/>
              </w:rPr>
              <w:t>43</w:t>
            </w:r>
          </w:p>
        </w:tc>
        <w:tc>
          <w:tcPr>
            <w:tcW w:type="dxa" w:w="665"/>
            <w:shd w:fill="E8F0FE"/>
          </w:tcPr>
          <w:p>
            <w:pPr>
              <w:spacing w:before="40" w:after="40"/>
            </w:pPr>
            <w:r>
              <w:rPr>
                <w:rFonts w:ascii="Calibri" w:hAnsi="Calibri"/>
                <w:sz w:val="18"/>
              </w:rPr>
              <w:t>54</w:t>
            </w:r>
          </w:p>
        </w:tc>
        <w:tc>
          <w:tcPr>
            <w:tcW w:type="dxa" w:w="665"/>
            <w:shd w:fill="E8F0FE"/>
          </w:tcPr>
          <w:p>
            <w:pPr>
              <w:spacing w:before="40" w:after="40"/>
            </w:pPr>
            <w:r>
              <w:rPr>
                <w:rFonts w:ascii="Calibri" w:hAnsi="Calibri"/>
                <w:sz w:val="18"/>
              </w:rPr>
              <w:t>91</w:t>
            </w:r>
          </w:p>
        </w:tc>
        <w:tc>
          <w:tcPr>
            <w:tcW w:type="dxa" w:w="665"/>
            <w:shd w:fill="E8F0FE"/>
          </w:tcPr>
          <w:p>
            <w:pPr>
              <w:spacing w:before="40" w:after="40"/>
            </w:pPr>
            <w:r>
              <w:rPr>
                <w:rFonts w:ascii="Calibri" w:hAnsi="Calibri"/>
                <w:sz w:val="18"/>
              </w:rPr>
              <w:t>92</w:t>
            </w:r>
          </w:p>
        </w:tc>
        <w:tc>
          <w:tcPr>
            <w:tcW w:type="dxa" w:w="665"/>
            <w:shd w:fill="E8F0FE"/>
          </w:tcPr>
          <w:p>
            <w:pPr>
              <w:spacing w:before="40" w:after="40"/>
            </w:pPr>
            <w:r>
              <w:rPr>
                <w:rFonts w:ascii="Calibri" w:hAnsi="Calibri"/>
                <w:sz w:val="18"/>
              </w:rPr>
              <w:t>66</w:t>
            </w:r>
          </w:p>
        </w:tc>
        <w:tc>
          <w:tcPr>
            <w:tcW w:type="dxa" w:w="665"/>
            <w:shd w:fill="E8F0FE"/>
          </w:tcPr>
          <w:p>
            <w:pPr>
              <w:spacing w:before="40" w:after="40"/>
            </w:pPr>
            <w:r>
              <w:rPr>
                <w:rFonts w:ascii="Calibri" w:hAnsi="Calibri"/>
                <w:sz w:val="18"/>
              </w:rPr>
              <w:t>62</w:t>
            </w:r>
          </w:p>
        </w:tc>
        <w:tc>
          <w:tcPr>
            <w:tcW w:type="dxa" w:w="665"/>
            <w:shd w:fill="E8F0FE"/>
          </w:tcPr>
          <w:p>
            <w:pPr>
              <w:spacing w:before="40" w:after="40"/>
            </w:pPr>
            <w:r>
              <w:rPr>
                <w:rFonts w:ascii="Calibri" w:hAnsi="Calibri"/>
                <w:sz w:val="18"/>
              </w:rPr>
              <w:t>60</w:t>
            </w:r>
          </w:p>
        </w:tc>
        <w:tc>
          <w:tcPr>
            <w:tcW w:type="dxa" w:w="665"/>
            <w:shd w:fill="E8F0FE"/>
          </w:tcPr>
          <w:p>
            <w:pPr>
              <w:spacing w:before="40" w:after="40"/>
            </w:pPr>
            <w:r>
              <w:rPr>
                <w:rFonts w:ascii="Calibri" w:hAnsi="Calibri"/>
                <w:sz w:val="18"/>
              </w:rPr>
              <w:t>132</w:t>
            </w:r>
          </w:p>
        </w:tc>
        <w:tc>
          <w:tcPr>
            <w:tcW w:type="dxa" w:w="665"/>
            <w:shd w:fill="E8F0FE"/>
          </w:tcPr>
          <w:p>
            <w:pPr>
              <w:spacing w:before="40" w:after="40"/>
            </w:pPr>
            <w:r>
              <w:rPr>
                <w:rFonts w:ascii="Calibri" w:hAnsi="Calibri"/>
                <w:sz w:val="18"/>
              </w:rPr>
              <w:t>157</w:t>
            </w:r>
          </w:p>
        </w:tc>
        <w:tc>
          <w:tcPr>
            <w:tcW w:type="dxa" w:w="665"/>
            <w:shd w:fill="E8F0FE"/>
          </w:tcPr>
          <w:p>
            <w:pPr>
              <w:spacing w:before="40" w:after="40"/>
            </w:pPr>
            <w:r>
              <w:rPr>
                <w:rFonts w:ascii="Calibri" w:hAnsi="Calibri"/>
                <w:sz w:val="18"/>
              </w:rPr>
              <w:t>130</w:t>
            </w:r>
          </w:p>
        </w:tc>
      </w:tr>
      <w:tr>
        <w:tc>
          <w:tcPr>
            <w:tcW w:type="dxa" w:w="665"/>
          </w:tcPr>
          <w:p>
            <w:pPr>
              <w:spacing w:before="40" w:after="40"/>
            </w:pPr>
            <w:r>
              <w:rPr>
                <w:rFonts w:ascii="Calibri" w:hAnsi="Calibri"/>
                <w:b/>
                <w:sz w:val="18"/>
              </w:rPr>
              <w:t>Depreciation</w:t>
            </w:r>
          </w:p>
        </w:tc>
        <w:tc>
          <w:tcPr>
            <w:tcW w:type="dxa" w:w="665"/>
          </w:tcPr>
          <w:p>
            <w:pPr>
              <w:spacing w:before="40" w:after="40"/>
            </w:pPr>
            <w:r>
              <w:rPr>
                <w:rFonts w:ascii="Calibri" w:hAnsi="Calibri"/>
                <w:sz w:val="18"/>
              </w:rPr>
              <w:t>158</w:t>
            </w:r>
          </w:p>
        </w:tc>
        <w:tc>
          <w:tcPr>
            <w:tcW w:type="dxa" w:w="665"/>
          </w:tcPr>
          <w:p>
            <w:pPr>
              <w:spacing w:before="40" w:after="40"/>
            </w:pPr>
            <w:r>
              <w:rPr>
                <w:rFonts w:ascii="Calibri" w:hAnsi="Calibri"/>
                <w:sz w:val="18"/>
              </w:rPr>
              <w:t>143</w:t>
            </w:r>
          </w:p>
        </w:tc>
        <w:tc>
          <w:tcPr>
            <w:tcW w:type="dxa" w:w="665"/>
          </w:tcPr>
          <w:p>
            <w:pPr>
              <w:spacing w:before="40" w:after="40"/>
            </w:pPr>
            <w:r>
              <w:rPr>
                <w:rFonts w:ascii="Calibri" w:hAnsi="Calibri"/>
                <w:sz w:val="18"/>
              </w:rPr>
              <w:t>117</w:t>
            </w:r>
          </w:p>
        </w:tc>
        <w:tc>
          <w:tcPr>
            <w:tcW w:type="dxa" w:w="665"/>
          </w:tcPr>
          <w:p>
            <w:pPr>
              <w:spacing w:before="40" w:after="40"/>
            </w:pPr>
            <w:r>
              <w:rPr>
                <w:rFonts w:ascii="Calibri" w:hAnsi="Calibri"/>
                <w:sz w:val="18"/>
              </w:rPr>
              <w:t>78</w:t>
            </w:r>
          </w:p>
        </w:tc>
        <w:tc>
          <w:tcPr>
            <w:tcW w:type="dxa" w:w="665"/>
          </w:tcPr>
          <w:p>
            <w:pPr>
              <w:spacing w:before="40" w:after="40"/>
            </w:pPr>
            <w:r>
              <w:rPr>
                <w:rFonts w:ascii="Calibri" w:hAnsi="Calibri"/>
                <w:sz w:val="18"/>
              </w:rPr>
              <w:t>79</w:t>
            </w:r>
          </w:p>
        </w:tc>
        <w:tc>
          <w:tcPr>
            <w:tcW w:type="dxa" w:w="665"/>
          </w:tcPr>
          <w:p>
            <w:pPr>
              <w:spacing w:before="40" w:after="40"/>
            </w:pPr>
            <w:r>
              <w:rPr>
                <w:rFonts w:ascii="Calibri" w:hAnsi="Calibri"/>
                <w:sz w:val="18"/>
              </w:rPr>
              <w:t>86</w:t>
            </w:r>
          </w:p>
        </w:tc>
        <w:tc>
          <w:tcPr>
            <w:tcW w:type="dxa" w:w="665"/>
          </w:tcPr>
          <w:p>
            <w:pPr>
              <w:spacing w:before="40" w:after="40"/>
            </w:pPr>
            <w:r>
              <w:rPr>
                <w:rFonts w:ascii="Calibri" w:hAnsi="Calibri"/>
                <w:sz w:val="18"/>
              </w:rPr>
              <w:t>34</w:t>
            </w:r>
          </w:p>
        </w:tc>
        <w:tc>
          <w:tcPr>
            <w:tcW w:type="dxa" w:w="665"/>
          </w:tcPr>
          <w:p>
            <w:pPr>
              <w:spacing w:before="40" w:after="40"/>
            </w:pPr>
            <w:r>
              <w:rPr>
                <w:rFonts w:ascii="Calibri" w:hAnsi="Calibri"/>
                <w:sz w:val="18"/>
              </w:rPr>
              <w:t>31</w:t>
            </w:r>
          </w:p>
        </w:tc>
        <w:tc>
          <w:tcPr>
            <w:tcW w:type="dxa" w:w="665"/>
          </w:tcPr>
          <w:p>
            <w:pPr>
              <w:spacing w:before="40" w:after="40"/>
            </w:pPr>
            <w:r>
              <w:rPr>
                <w:rFonts w:ascii="Calibri" w:hAnsi="Calibri"/>
                <w:sz w:val="18"/>
              </w:rPr>
              <w:t>31</w:t>
            </w:r>
          </w:p>
        </w:tc>
        <w:tc>
          <w:tcPr>
            <w:tcW w:type="dxa" w:w="665"/>
          </w:tcPr>
          <w:p>
            <w:pPr>
              <w:spacing w:before="40" w:after="40"/>
            </w:pPr>
            <w:r>
              <w:rPr>
                <w:rFonts w:ascii="Calibri" w:hAnsi="Calibri"/>
                <w:sz w:val="18"/>
              </w:rPr>
              <w:t>39</w:t>
            </w:r>
          </w:p>
        </w:tc>
        <w:tc>
          <w:tcPr>
            <w:tcW w:type="dxa" w:w="665"/>
          </w:tcPr>
          <w:p>
            <w:pPr>
              <w:spacing w:before="40" w:after="40"/>
            </w:pPr>
            <w:r>
              <w:rPr>
                <w:rFonts w:ascii="Calibri" w:hAnsi="Calibri"/>
                <w:sz w:val="18"/>
              </w:rPr>
              <w:t>48</w:t>
            </w:r>
          </w:p>
        </w:tc>
        <w:tc>
          <w:tcPr>
            <w:tcW w:type="dxa" w:w="665"/>
          </w:tcPr>
          <w:p>
            <w:pPr>
              <w:spacing w:before="40" w:after="40"/>
            </w:pPr>
            <w:r>
              <w:rPr>
                <w:rFonts w:ascii="Calibri" w:hAnsi="Calibri"/>
                <w:sz w:val="18"/>
              </w:rPr>
              <w:t>48</w:t>
            </w:r>
          </w:p>
        </w:tc>
      </w:tr>
      <w:tr>
        <w:tc>
          <w:tcPr>
            <w:tcW w:type="dxa" w:w="665"/>
            <w:shd w:fill="E8F0FE"/>
          </w:tcPr>
          <w:p>
            <w:pPr>
              <w:spacing w:before="40" w:after="40"/>
            </w:pPr>
            <w:r>
              <w:rPr>
                <w:rFonts w:ascii="Calibri" w:hAnsi="Calibri"/>
                <w:b/>
                <w:sz w:val="18"/>
              </w:rPr>
              <w:t>Profit before tax</w:t>
            </w:r>
          </w:p>
        </w:tc>
        <w:tc>
          <w:tcPr>
            <w:tcW w:type="dxa" w:w="665"/>
            <w:shd w:fill="E8F0FE"/>
          </w:tcPr>
          <w:p>
            <w:pPr>
              <w:spacing w:before="40" w:after="40"/>
            </w:pPr>
            <w:r>
              <w:rPr>
                <w:rFonts w:ascii="Calibri" w:hAnsi="Calibri"/>
                <w:sz w:val="18"/>
              </w:rPr>
              <w:t>40</w:t>
            </w:r>
          </w:p>
        </w:tc>
        <w:tc>
          <w:tcPr>
            <w:tcW w:type="dxa" w:w="665"/>
            <w:shd w:fill="E8F0FE"/>
          </w:tcPr>
          <w:p>
            <w:pPr>
              <w:spacing w:before="40" w:after="40"/>
            </w:pPr>
            <w:r>
              <w:rPr>
                <w:rFonts w:ascii="Calibri" w:hAnsi="Calibri"/>
                <w:sz w:val="18"/>
              </w:rPr>
              <w:t>-31</w:t>
            </w:r>
          </w:p>
        </w:tc>
        <w:tc>
          <w:tcPr>
            <w:tcW w:type="dxa" w:w="665"/>
            <w:shd w:fill="E8F0FE"/>
          </w:tcPr>
          <w:p>
            <w:pPr>
              <w:spacing w:before="40" w:after="40"/>
            </w:pPr>
            <w:r>
              <w:rPr>
                <w:rFonts w:ascii="Calibri" w:hAnsi="Calibri"/>
                <w:sz w:val="18"/>
              </w:rPr>
              <w:t>-33</w:t>
            </w:r>
          </w:p>
        </w:tc>
        <w:tc>
          <w:tcPr>
            <w:tcW w:type="dxa" w:w="665"/>
            <w:shd w:fill="E8F0FE"/>
          </w:tcPr>
          <w:p>
            <w:pPr>
              <w:spacing w:before="40" w:after="40"/>
            </w:pPr>
            <w:r>
              <w:rPr>
                <w:rFonts w:ascii="Calibri" w:hAnsi="Calibri"/>
                <w:sz w:val="18"/>
              </w:rPr>
              <w:t>-94</w:t>
            </w:r>
          </w:p>
        </w:tc>
        <w:tc>
          <w:tcPr>
            <w:tcW w:type="dxa" w:w="665"/>
            <w:shd w:fill="E8F0FE"/>
          </w:tcPr>
          <w:p>
            <w:pPr>
              <w:spacing w:before="40" w:after="40"/>
            </w:pPr>
            <w:r>
              <w:rPr>
                <w:rFonts w:ascii="Calibri" w:hAnsi="Calibri"/>
                <w:sz w:val="18"/>
              </w:rPr>
              <w:t>-135</w:t>
            </w:r>
          </w:p>
        </w:tc>
        <w:tc>
          <w:tcPr>
            <w:tcW w:type="dxa" w:w="665"/>
            <w:shd w:fill="E8F0FE"/>
          </w:tcPr>
          <w:p>
            <w:pPr>
              <w:spacing w:before="40" w:after="40"/>
            </w:pPr>
            <w:r>
              <w:rPr>
                <w:rFonts w:ascii="Calibri" w:hAnsi="Calibri"/>
                <w:sz w:val="18"/>
              </w:rPr>
              <w:t>-180</w:t>
            </w:r>
          </w:p>
        </w:tc>
        <w:tc>
          <w:tcPr>
            <w:tcW w:type="dxa" w:w="665"/>
            <w:shd w:fill="E8F0FE"/>
          </w:tcPr>
          <w:p>
            <w:pPr>
              <w:spacing w:before="40" w:after="40"/>
            </w:pPr>
            <w:r>
              <w:rPr>
                <w:rFonts w:ascii="Calibri" w:hAnsi="Calibri"/>
                <w:sz w:val="18"/>
              </w:rPr>
              <w:t>3</w:t>
            </w:r>
          </w:p>
        </w:tc>
        <w:tc>
          <w:tcPr>
            <w:tcW w:type="dxa" w:w="665"/>
            <w:shd w:fill="E8F0FE"/>
          </w:tcPr>
          <w:p>
            <w:pPr>
              <w:spacing w:before="40" w:after="40"/>
            </w:pPr>
            <w:r>
              <w:rPr>
                <w:rFonts w:ascii="Calibri" w:hAnsi="Calibri"/>
                <w:sz w:val="18"/>
              </w:rPr>
              <w:t>219</w:t>
            </w:r>
          </w:p>
        </w:tc>
        <w:tc>
          <w:tcPr>
            <w:tcW w:type="dxa" w:w="665"/>
            <w:shd w:fill="E8F0FE"/>
          </w:tcPr>
          <w:p>
            <w:pPr>
              <w:spacing w:before="40" w:after="40"/>
            </w:pPr>
            <w:r>
              <w:rPr>
                <w:rFonts w:ascii="Calibri" w:hAnsi="Calibri"/>
                <w:sz w:val="18"/>
              </w:rPr>
              <w:t>-25</w:t>
            </w:r>
          </w:p>
        </w:tc>
        <w:tc>
          <w:tcPr>
            <w:tcW w:type="dxa" w:w="665"/>
            <w:shd w:fill="E8F0FE"/>
          </w:tcPr>
          <w:p>
            <w:pPr>
              <w:spacing w:before="40" w:after="40"/>
            </w:pPr>
            <w:r>
              <w:rPr>
                <w:rFonts w:ascii="Calibri" w:hAnsi="Calibri"/>
                <w:sz w:val="18"/>
              </w:rPr>
              <w:t>-203</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150</w:t>
            </w:r>
          </w:p>
        </w:tc>
      </w:tr>
      <w:tr>
        <w:tc>
          <w:tcPr>
            <w:tcW w:type="dxa" w:w="665"/>
          </w:tcPr>
          <w:p>
            <w:pPr>
              <w:spacing w:before="40" w:after="40"/>
            </w:pPr>
            <w:r>
              <w:rPr>
                <w:rFonts w:ascii="Calibri" w:hAnsi="Calibri"/>
                <w:b/>
                <w:sz w:val="18"/>
              </w:rPr>
              <w:t>Tax %</w:t>
            </w:r>
          </w:p>
        </w:tc>
        <w:tc>
          <w:tcPr>
            <w:tcW w:type="dxa" w:w="665"/>
          </w:tcPr>
          <w:p>
            <w:pPr>
              <w:spacing w:before="40" w:after="40"/>
            </w:pPr>
            <w:r>
              <w:rPr>
                <w:rFonts w:ascii="Calibri" w:hAnsi="Calibri"/>
                <w:sz w:val="18"/>
              </w:rPr>
              <w:t>-1%</w:t>
            </w:r>
          </w:p>
        </w:tc>
        <w:tc>
          <w:tcPr>
            <w:tcW w:type="dxa" w:w="665"/>
          </w:tcPr>
          <w:p>
            <w:pPr>
              <w:spacing w:before="40" w:after="40"/>
            </w:pPr>
            <w:r>
              <w:rPr>
                <w:rFonts w:ascii="Calibri" w:hAnsi="Calibri"/>
                <w:sz w:val="18"/>
              </w:rPr>
              <w:t>-56%</w:t>
            </w:r>
          </w:p>
        </w:tc>
        <w:tc>
          <w:tcPr>
            <w:tcW w:type="dxa" w:w="665"/>
          </w:tcPr>
          <w:p>
            <w:pPr>
              <w:spacing w:before="40" w:after="40"/>
            </w:pPr>
            <w:r>
              <w:rPr>
                <w:rFonts w:ascii="Calibri" w:hAnsi="Calibri"/>
                <w:sz w:val="18"/>
              </w:rPr>
              <w:t>-38%</w:t>
            </w:r>
          </w:p>
        </w:tc>
        <w:tc>
          <w:tcPr>
            <w:tcW w:type="dxa" w:w="665"/>
          </w:tcPr>
          <w:p>
            <w:pPr>
              <w:spacing w:before="40" w:after="40"/>
            </w:pPr>
            <w:r>
              <w:rPr>
                <w:rFonts w:ascii="Calibri" w:hAnsi="Calibri"/>
                <w:sz w:val="18"/>
              </w:rPr>
              <w:t>-140%</w:t>
            </w:r>
          </w:p>
        </w:tc>
        <w:tc>
          <w:tcPr>
            <w:tcW w:type="dxa" w:w="665"/>
          </w:tcPr>
          <w:p>
            <w:pPr>
              <w:spacing w:before="40" w:after="40"/>
            </w:pPr>
            <w:r>
              <w:rPr>
                <w:rFonts w:ascii="Calibri" w:hAnsi="Calibri"/>
                <w:sz w:val="18"/>
              </w:rPr>
              <w:t>-40%</w:t>
            </w:r>
          </w:p>
        </w:tc>
        <w:tc>
          <w:tcPr>
            <w:tcW w:type="dxa" w:w="665"/>
          </w:tcPr>
          <w:p>
            <w:pPr>
              <w:spacing w:before="40" w:after="40"/>
            </w:pPr>
            <w:r>
              <w:rPr>
                <w:rFonts w:ascii="Calibri" w:hAnsi="Calibri"/>
                <w:sz w:val="18"/>
              </w:rPr>
              <w:t>75%</w:t>
            </w:r>
          </w:p>
        </w:tc>
        <w:tc>
          <w:tcPr>
            <w:tcW w:type="dxa" w:w="665"/>
          </w:tcPr>
          <w:p>
            <w:pPr>
              <w:spacing w:before="40" w:after="40"/>
            </w:pPr>
            <w:r>
              <w:rPr>
                <w:rFonts w:ascii="Calibri" w:hAnsi="Calibri"/>
                <w:sz w:val="18"/>
              </w:rPr>
              <w:t>-3,245%</w:t>
            </w:r>
          </w:p>
        </w:tc>
        <w:tc>
          <w:tcPr>
            <w:tcW w:type="dxa" w:w="665"/>
          </w:tcPr>
          <w:p>
            <w:pPr>
              <w:spacing w:before="40" w:after="40"/>
            </w:pPr>
            <w:r>
              <w:rPr>
                <w:rFonts w:ascii="Calibri" w:hAnsi="Calibri"/>
                <w:sz w:val="18"/>
              </w:rPr>
              <w:t>-23%</w:t>
            </w:r>
          </w:p>
        </w:tc>
        <w:tc>
          <w:tcPr>
            <w:tcW w:type="dxa" w:w="665"/>
          </w:tcPr>
          <w:p>
            <w:pPr>
              <w:spacing w:before="40" w:after="40"/>
            </w:pPr>
            <w:r>
              <w:rPr>
                <w:rFonts w:ascii="Calibri" w:hAnsi="Calibri"/>
                <w:sz w:val="18"/>
              </w:rPr>
              <w:t>-1%</w:t>
            </w:r>
          </w:p>
        </w:tc>
        <w:tc>
          <w:tcPr>
            <w:tcW w:type="dxa" w:w="665"/>
          </w:tcPr>
          <w:p>
            <w:pPr>
              <w:spacing w:before="40" w:after="40"/>
            </w:pPr>
            <w:r>
              <w:rPr>
                <w:rFonts w:ascii="Calibri" w:hAnsi="Calibri"/>
                <w:sz w:val="18"/>
              </w:rPr>
              <w:t>0%</w:t>
            </w:r>
          </w:p>
        </w:tc>
        <w:tc>
          <w:tcPr>
            <w:tcW w:type="dxa" w:w="665"/>
          </w:tcPr>
          <w:p>
            <w:pPr>
              <w:spacing w:before="40" w:after="40"/>
            </w:pPr>
            <w:r>
              <w:rPr>
                <w:rFonts w:ascii="Calibri" w:hAnsi="Calibri"/>
                <w:sz w:val="18"/>
              </w:rPr>
              <w:t>0%</w:t>
            </w:r>
          </w:p>
        </w:tc>
        <w:tc>
          <w:tcPr>
            <w:tcW w:type="dxa" w:w="665"/>
          </w:tcPr>
          <w:p>
            <w:pPr>
              <w:spacing w:before="40" w:after="40"/>
            </w:pPr>
            <w:r>
              <w:rPr>
                <w:rFonts w:ascii="Calibri" w:hAnsi="Calibri"/>
                <w:sz w:val="18"/>
              </w:rPr>
              <w:t>0%</w:t>
            </w:r>
          </w:p>
        </w:tc>
      </w:tr>
      <w:tr>
        <w:tc>
          <w:tcPr>
            <w:tcW w:type="dxa" w:w="665"/>
            <w:shd w:fill="E8F0FE"/>
          </w:tcPr>
          <w:p>
            <w:pPr>
              <w:spacing w:before="40" w:after="40"/>
            </w:pPr>
            <w:r>
              <w:rPr>
                <w:rFonts w:ascii="Calibri" w:hAnsi="Calibri"/>
                <w:b/>
                <w:sz w:val="18"/>
              </w:rPr>
              <w:t>Net Profit+</w:t>
            </w:r>
          </w:p>
        </w:tc>
        <w:tc>
          <w:tcPr>
            <w:tcW w:type="dxa" w:w="665"/>
            <w:shd w:fill="E8F0FE"/>
          </w:tcPr>
          <w:p>
            <w:pPr>
              <w:spacing w:before="40" w:after="40"/>
            </w:pPr>
            <w:r>
              <w:rPr>
                <w:rFonts w:ascii="Calibri" w:hAnsi="Calibri"/>
                <w:sz w:val="18"/>
              </w:rPr>
              <w:t>40</w:t>
            </w:r>
          </w:p>
        </w:tc>
        <w:tc>
          <w:tcPr>
            <w:tcW w:type="dxa" w:w="665"/>
            <w:shd w:fill="E8F0FE"/>
          </w:tcPr>
          <w:p>
            <w:pPr>
              <w:spacing w:before="40" w:after="40"/>
            </w:pPr>
            <w:r>
              <w:rPr>
                <w:rFonts w:ascii="Calibri" w:hAnsi="Calibri"/>
                <w:sz w:val="18"/>
              </w:rPr>
              <w:t>-14</w:t>
            </w:r>
          </w:p>
        </w:tc>
        <w:tc>
          <w:tcPr>
            <w:tcW w:type="dxa" w:w="665"/>
            <w:shd w:fill="E8F0FE"/>
          </w:tcPr>
          <w:p>
            <w:pPr>
              <w:spacing w:before="40" w:after="40"/>
            </w:pPr>
            <w:r>
              <w:rPr>
                <w:rFonts w:ascii="Calibri" w:hAnsi="Calibri"/>
                <w:sz w:val="18"/>
              </w:rPr>
              <w:t>-21</w:t>
            </w:r>
          </w:p>
        </w:tc>
        <w:tc>
          <w:tcPr>
            <w:tcW w:type="dxa" w:w="665"/>
            <w:shd w:fill="E8F0FE"/>
          </w:tcPr>
          <w:p>
            <w:pPr>
              <w:spacing w:before="40" w:after="40"/>
            </w:pPr>
            <w:r>
              <w:rPr>
                <w:rFonts w:ascii="Calibri" w:hAnsi="Calibri"/>
                <w:sz w:val="18"/>
              </w:rPr>
              <w:t>38</w:t>
            </w:r>
          </w:p>
        </w:tc>
        <w:tc>
          <w:tcPr>
            <w:tcW w:type="dxa" w:w="665"/>
            <w:shd w:fill="E8F0FE"/>
          </w:tcPr>
          <w:p>
            <w:pPr>
              <w:spacing w:before="40" w:after="40"/>
            </w:pPr>
            <w:r>
              <w:rPr>
                <w:rFonts w:ascii="Calibri" w:hAnsi="Calibri"/>
                <w:sz w:val="18"/>
              </w:rPr>
              <w:t>-81</w:t>
            </w:r>
          </w:p>
        </w:tc>
        <w:tc>
          <w:tcPr>
            <w:tcW w:type="dxa" w:w="665"/>
            <w:shd w:fill="E8F0FE"/>
          </w:tcPr>
          <w:p>
            <w:pPr>
              <w:spacing w:before="40" w:after="40"/>
            </w:pPr>
            <w:r>
              <w:rPr>
                <w:rFonts w:ascii="Calibri" w:hAnsi="Calibri"/>
                <w:sz w:val="18"/>
              </w:rPr>
              <w:t>-317</w:t>
            </w:r>
          </w:p>
        </w:tc>
        <w:tc>
          <w:tcPr>
            <w:tcW w:type="dxa" w:w="665"/>
            <w:shd w:fill="E8F0FE"/>
          </w:tcPr>
          <w:p>
            <w:pPr>
              <w:spacing w:before="40" w:after="40"/>
            </w:pPr>
            <w:r>
              <w:rPr>
                <w:rFonts w:ascii="Calibri" w:hAnsi="Calibri"/>
                <w:sz w:val="18"/>
              </w:rPr>
              <w:t>113</w:t>
            </w:r>
          </w:p>
        </w:tc>
        <w:tc>
          <w:tcPr>
            <w:tcW w:type="dxa" w:w="665"/>
            <w:shd w:fill="E8F0FE"/>
          </w:tcPr>
          <w:p>
            <w:pPr>
              <w:spacing w:before="40" w:after="40"/>
            </w:pPr>
            <w:r>
              <w:rPr>
                <w:rFonts w:ascii="Calibri" w:hAnsi="Calibri"/>
                <w:sz w:val="18"/>
              </w:rPr>
              <w:t>269</w:t>
            </w:r>
          </w:p>
        </w:tc>
        <w:tc>
          <w:tcPr>
            <w:tcW w:type="dxa" w:w="665"/>
            <w:shd w:fill="E8F0FE"/>
          </w:tcPr>
          <w:p>
            <w:pPr>
              <w:spacing w:before="40" w:after="40"/>
            </w:pPr>
            <w:r>
              <w:rPr>
                <w:rFonts w:ascii="Calibri" w:hAnsi="Calibri"/>
                <w:sz w:val="18"/>
              </w:rPr>
              <w:t>-25</w:t>
            </w:r>
          </w:p>
        </w:tc>
        <w:tc>
          <w:tcPr>
            <w:tcW w:type="dxa" w:w="665"/>
            <w:shd w:fill="E8F0FE"/>
          </w:tcPr>
          <w:p>
            <w:pPr>
              <w:spacing w:before="40" w:after="40"/>
            </w:pPr>
            <w:r>
              <w:rPr>
                <w:rFonts w:ascii="Calibri" w:hAnsi="Calibri"/>
                <w:sz w:val="18"/>
              </w:rPr>
              <w:t>-203</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150</w:t>
            </w:r>
          </w:p>
        </w:tc>
      </w:tr>
      <w:tr>
        <w:tc>
          <w:tcPr>
            <w:tcW w:type="dxa" w:w="665"/>
          </w:tcPr>
          <w:p>
            <w:pPr>
              <w:spacing w:before="40" w:after="40"/>
            </w:pPr>
            <w:r>
              <w:rPr>
                <w:rFonts w:ascii="Calibri" w:hAnsi="Calibri"/>
                <w:b/>
                <w:sz w:val="18"/>
              </w:rPr>
              <w:t>EPS in Rs</w:t>
            </w:r>
          </w:p>
        </w:tc>
        <w:tc>
          <w:tcPr>
            <w:tcW w:type="dxa" w:w="665"/>
          </w:tcPr>
          <w:p>
            <w:pPr>
              <w:spacing w:before="40" w:after="40"/>
            </w:pPr>
            <w:r>
              <w:rPr>
                <w:rFonts w:ascii="Calibri" w:hAnsi="Calibri"/>
                <w:sz w:val="18"/>
              </w:rPr>
              <w:t>2.65</w:t>
            </w:r>
          </w:p>
        </w:tc>
        <w:tc>
          <w:tcPr>
            <w:tcW w:type="dxa" w:w="665"/>
          </w:tcPr>
          <w:p>
            <w:pPr>
              <w:spacing w:before="40" w:after="40"/>
            </w:pPr>
            <w:r>
              <w:rPr>
                <w:rFonts w:ascii="Calibri" w:hAnsi="Calibri"/>
                <w:sz w:val="18"/>
              </w:rPr>
              <w:t>-0.89</w:t>
            </w:r>
          </w:p>
        </w:tc>
        <w:tc>
          <w:tcPr>
            <w:tcW w:type="dxa" w:w="665"/>
          </w:tcPr>
          <w:p>
            <w:pPr>
              <w:spacing w:before="40" w:after="40"/>
            </w:pPr>
            <w:r>
              <w:rPr>
                <w:rFonts w:ascii="Calibri" w:hAnsi="Calibri"/>
                <w:sz w:val="18"/>
              </w:rPr>
              <w:t>-1.36</w:t>
            </w:r>
          </w:p>
        </w:tc>
        <w:tc>
          <w:tcPr>
            <w:tcW w:type="dxa" w:w="665"/>
          </w:tcPr>
          <w:p>
            <w:pPr>
              <w:spacing w:before="40" w:after="40"/>
            </w:pPr>
            <w:r>
              <w:rPr>
                <w:rFonts w:ascii="Calibri" w:hAnsi="Calibri"/>
                <w:sz w:val="18"/>
              </w:rPr>
              <w:t>2.48</w:t>
            </w:r>
          </w:p>
        </w:tc>
        <w:tc>
          <w:tcPr>
            <w:tcW w:type="dxa" w:w="665"/>
          </w:tcPr>
          <w:p>
            <w:pPr>
              <w:spacing w:before="40" w:after="40"/>
            </w:pPr>
            <w:r>
              <w:rPr>
                <w:rFonts w:ascii="Calibri" w:hAnsi="Calibri"/>
                <w:sz w:val="18"/>
              </w:rPr>
              <w:t>-5.36</w:t>
            </w:r>
          </w:p>
        </w:tc>
        <w:tc>
          <w:tcPr>
            <w:tcW w:type="dxa" w:w="665"/>
          </w:tcPr>
          <w:p>
            <w:pPr>
              <w:spacing w:before="40" w:after="40"/>
            </w:pPr>
            <w:r>
              <w:rPr>
                <w:rFonts w:ascii="Calibri" w:hAnsi="Calibri"/>
                <w:sz w:val="18"/>
              </w:rPr>
              <w:t>-12.12</w:t>
            </w:r>
          </w:p>
        </w:tc>
        <w:tc>
          <w:tcPr>
            <w:tcW w:type="dxa" w:w="665"/>
          </w:tcPr>
          <w:p>
            <w:pPr>
              <w:spacing w:before="40" w:after="40"/>
            </w:pPr>
            <w:r>
              <w:rPr>
                <w:rFonts w:ascii="Calibri" w:hAnsi="Calibri"/>
                <w:sz w:val="18"/>
              </w:rPr>
              <w:t>4.34</w:t>
            </w:r>
          </w:p>
        </w:tc>
        <w:tc>
          <w:tcPr>
            <w:tcW w:type="dxa" w:w="665"/>
          </w:tcPr>
          <w:p>
            <w:pPr>
              <w:spacing w:before="40" w:after="40"/>
            </w:pPr>
            <w:r>
              <w:rPr>
                <w:rFonts w:ascii="Calibri" w:hAnsi="Calibri"/>
                <w:sz w:val="18"/>
              </w:rPr>
              <w:t>10.30</w:t>
            </w:r>
          </w:p>
        </w:tc>
        <w:tc>
          <w:tcPr>
            <w:tcW w:type="dxa" w:w="665"/>
          </w:tcPr>
          <w:p>
            <w:pPr>
              <w:spacing w:before="40" w:after="40"/>
            </w:pPr>
            <w:r>
              <w:rPr>
                <w:rFonts w:ascii="Calibri" w:hAnsi="Calibri"/>
                <w:sz w:val="18"/>
              </w:rPr>
              <w:t>-0.94</w:t>
            </w:r>
          </w:p>
        </w:tc>
        <w:tc>
          <w:tcPr>
            <w:tcW w:type="dxa" w:w="665"/>
          </w:tcPr>
          <w:p>
            <w:pPr>
              <w:spacing w:before="40" w:after="40"/>
            </w:pPr>
            <w:r>
              <w:rPr>
                <w:rFonts w:ascii="Calibri" w:hAnsi="Calibri"/>
                <w:sz w:val="18"/>
              </w:rPr>
              <w:t>-7.79</w:t>
            </w:r>
          </w:p>
        </w:tc>
        <w:tc>
          <w:tcPr>
            <w:tcW w:type="dxa" w:w="665"/>
          </w:tcPr>
          <w:p>
            <w:pPr>
              <w:spacing w:before="40" w:after="40"/>
            </w:pPr>
            <w:r>
              <w:rPr>
                <w:rFonts w:ascii="Calibri" w:hAnsi="Calibri"/>
                <w:sz w:val="18"/>
              </w:rPr>
              <w:t>0.05</w:t>
            </w:r>
          </w:p>
        </w:tc>
        <w:tc>
          <w:tcPr>
            <w:tcW w:type="dxa" w:w="665"/>
          </w:tcPr>
          <w:p>
            <w:pPr>
              <w:spacing w:before="40" w:after="40"/>
            </w:pPr>
            <w:r>
              <w:rPr>
                <w:rFonts w:ascii="Calibri" w:hAnsi="Calibri"/>
                <w:sz w:val="18"/>
              </w:rPr>
              <w:t>5.75</w:t>
            </w:r>
          </w:p>
        </w:tc>
      </w:tr>
      <w:tr>
        <w:tc>
          <w:tcPr>
            <w:tcW w:type="dxa" w:w="665"/>
            <w:shd w:fill="E8F0FE"/>
          </w:tcPr>
          <w:p>
            <w:pPr>
              <w:spacing w:before="40" w:after="40"/>
            </w:pPr>
            <w:r>
              <w:rPr>
                <w:rFonts w:ascii="Calibri" w:hAnsi="Calibri"/>
                <w:b/>
                <w:sz w:val="18"/>
              </w:rPr>
              <w:t>Dividend Payout %</w:t>
            </w:r>
          </w:p>
        </w:tc>
        <w:tc>
          <w:tcPr>
            <w:tcW w:type="dxa" w:w="665"/>
            <w:shd w:fill="E8F0FE"/>
          </w:tcPr>
          <w:p>
            <w:pPr>
              <w:spacing w:before="40" w:after="40"/>
            </w:pPr>
            <w:r>
              <w:rPr>
                <w:rFonts w:ascii="Calibri" w:hAnsi="Calibri"/>
                <w:sz w:val="18"/>
              </w:rPr>
              <w:t>38%</w:t>
            </w:r>
          </w:p>
        </w:tc>
        <w:tc>
          <w:tcPr>
            <w:tcW w:type="dxa" w:w="665"/>
            <w:shd w:fill="E8F0FE"/>
          </w:tcPr>
          <w:p>
            <w:pPr>
              <w:spacing w:before="40" w:after="40"/>
            </w:pPr>
            <w:r>
              <w:rPr>
                <w:rFonts w:ascii="Calibri" w:hAnsi="Calibri"/>
                <w:sz w:val="18"/>
              </w:rPr>
              <w:t>-112%</w:t>
            </w:r>
          </w:p>
        </w:tc>
        <w:tc>
          <w:tcPr>
            <w:tcW w:type="dxa" w:w="665"/>
            <w:shd w:fill="E8F0FE"/>
          </w:tcPr>
          <w:p>
            <w:pPr>
              <w:spacing w:before="40" w:after="40"/>
            </w:pPr>
            <w:r>
              <w:rPr>
                <w:rFonts w:ascii="Calibri" w:hAnsi="Calibri"/>
                <w:sz w:val="18"/>
              </w:rPr>
              <w:t>-73%</w:t>
            </w:r>
          </w:p>
        </w:tc>
        <w:tc>
          <w:tcPr>
            <w:tcW w:type="dxa" w:w="665"/>
            <w:shd w:fill="E8F0FE"/>
          </w:tcPr>
          <w:p>
            <w:pPr>
              <w:spacing w:before="40" w:after="40"/>
            </w:pPr>
            <w:r>
              <w:rPr>
                <w:rFonts w:ascii="Calibri" w:hAnsi="Calibri"/>
                <w:sz w:val="18"/>
              </w:rPr>
              <w:t>40%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r>
    </w:tbl>
    <w:p/>
    <w:p>
      <w:pPr>
        <w:pStyle w:val="Heading2"/>
      </w:pPr>
      <w:r>
        <w:rPr>
          <w:rFonts w:ascii="Calibri" w:hAnsi="Calibri"/>
          <w:color w:val="1F5F8B"/>
          <w:sz w:val="26"/>
        </w:rPr>
        <w:t>3.2 Consolidated Balance Sheet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65"/>
        <w:gridCol w:w="665"/>
        <w:gridCol w:w="665"/>
        <w:gridCol w:w="665"/>
        <w:gridCol w:w="665"/>
        <w:gridCol w:w="665"/>
        <w:gridCol w:w="665"/>
        <w:gridCol w:w="665"/>
        <w:gridCol w:w="665"/>
        <w:gridCol w:w="665"/>
        <w:gridCol w:w="665"/>
        <w:gridCol w:w="665"/>
        <w:gridCol w:w="665"/>
      </w:tblGrid>
      <w:tr>
        <w:tc>
          <w:tcPr>
            <w:tcW w:type="dxa" w:w="665"/>
            <w:shd w:fill="1F5F8B"/>
          </w:tcPr>
          <w:p>
            <w:pPr>
              <w:spacing w:before="40" w:after="40"/>
            </w:pPr>
            <w:r>
              <w:rPr>
                <w:rFonts w:ascii="Calibri" w:hAnsi="Calibri"/>
                <w:b/>
                <w:color w:val="FFFFFF"/>
                <w:sz w:val="18"/>
              </w:rPr>
            </w:r>
          </w:p>
        </w:tc>
        <w:tc>
          <w:tcPr>
            <w:tcW w:type="dxa" w:w="665"/>
            <w:shd w:fill="1F5F8B"/>
          </w:tcPr>
          <w:p>
            <w:pPr>
              <w:spacing w:before="40" w:after="40"/>
            </w:pPr>
            <w:r>
              <w:rPr>
                <w:rFonts w:ascii="Calibri" w:hAnsi="Calibri"/>
                <w:b/>
                <w:color w:val="FFFFFF"/>
                <w:sz w:val="18"/>
              </w:rPr>
              <w:t>Mar 2013</w:t>
            </w:r>
          </w:p>
        </w:tc>
        <w:tc>
          <w:tcPr>
            <w:tcW w:type="dxa" w:w="665"/>
            <w:shd w:fill="1F5F8B"/>
          </w:tcPr>
          <w:p>
            <w:pPr>
              <w:spacing w:before="40" w:after="40"/>
            </w:pPr>
            <w:r>
              <w:rPr>
                <w:rFonts w:ascii="Calibri" w:hAnsi="Calibri"/>
                <w:b/>
                <w:color w:val="FFFFFF"/>
                <w:sz w:val="18"/>
              </w:rPr>
              <w:t>Mar 2014</w:t>
            </w:r>
          </w:p>
        </w:tc>
        <w:tc>
          <w:tcPr>
            <w:tcW w:type="dxa" w:w="665"/>
            <w:shd w:fill="1F5F8B"/>
          </w:tcPr>
          <w:p>
            <w:pPr>
              <w:spacing w:before="40" w:after="40"/>
            </w:pPr>
            <w:r>
              <w:rPr>
                <w:rFonts w:ascii="Calibri" w:hAnsi="Calibri"/>
                <w:b/>
                <w:color w:val="FFFFFF"/>
                <w:sz w:val="18"/>
              </w:rPr>
              <w:t>Mar 2015</w:t>
            </w:r>
          </w:p>
        </w:tc>
        <w:tc>
          <w:tcPr>
            <w:tcW w:type="dxa" w:w="665"/>
            <w:shd w:fill="1F5F8B"/>
          </w:tcPr>
          <w:p>
            <w:pPr>
              <w:spacing w:before="40" w:after="40"/>
            </w:pPr>
            <w:r>
              <w:rPr>
                <w:rFonts w:ascii="Calibri" w:hAnsi="Calibri"/>
                <w:b/>
                <w:color w:val="FFFFFF"/>
                <w:sz w:val="18"/>
              </w:rPr>
              <w:t>Mar 2016</w:t>
            </w:r>
          </w:p>
        </w:tc>
        <w:tc>
          <w:tcPr>
            <w:tcW w:type="dxa" w:w="665"/>
            <w:shd w:fill="1F5F8B"/>
          </w:tcPr>
          <w:p>
            <w:pPr>
              <w:spacing w:before="40" w:after="40"/>
            </w:pPr>
            <w:r>
              <w:rPr>
                <w:rFonts w:ascii="Calibri" w:hAnsi="Calibri"/>
                <w:b/>
                <w:color w:val="FFFFFF"/>
                <w:sz w:val="18"/>
              </w:rPr>
              <w:t>Mar 2017</w:t>
            </w:r>
          </w:p>
        </w:tc>
        <w:tc>
          <w:tcPr>
            <w:tcW w:type="dxa" w:w="665"/>
            <w:shd w:fill="1F5F8B"/>
          </w:tcPr>
          <w:p>
            <w:pPr>
              <w:spacing w:before="40" w:after="40"/>
            </w:pPr>
            <w:r>
              <w:rPr>
                <w:rFonts w:ascii="Calibri" w:hAnsi="Calibri"/>
                <w:b/>
                <w:color w:val="FFFFFF"/>
                <w:sz w:val="18"/>
              </w:rPr>
              <w:t>Mar 2020</w:t>
            </w:r>
          </w:p>
        </w:tc>
        <w:tc>
          <w:tcPr>
            <w:tcW w:type="dxa" w:w="665"/>
            <w:shd w:fill="1F5F8B"/>
          </w:tcPr>
          <w:p>
            <w:pPr>
              <w:spacing w:before="40" w:after="40"/>
            </w:pPr>
            <w:r>
              <w:rPr>
                <w:rFonts w:ascii="Calibri" w:hAnsi="Calibri"/>
                <w:b/>
                <w:color w:val="FFFFFF"/>
                <w:sz w:val="18"/>
              </w:rPr>
              <w:t>Mar 2021</w:t>
            </w:r>
          </w:p>
        </w:tc>
        <w:tc>
          <w:tcPr>
            <w:tcW w:type="dxa" w:w="665"/>
            <w:shd w:fill="1F5F8B"/>
          </w:tcPr>
          <w:p>
            <w:pPr>
              <w:spacing w:before="40" w:after="40"/>
            </w:pPr>
            <w:r>
              <w:rPr>
                <w:rFonts w:ascii="Calibri" w:hAnsi="Calibri"/>
                <w:b/>
                <w:color w:val="FFFFFF"/>
                <w:sz w:val="18"/>
              </w:rPr>
              <w:t>Mar 2022</w:t>
            </w:r>
          </w:p>
        </w:tc>
        <w:tc>
          <w:tcPr>
            <w:tcW w:type="dxa" w:w="665"/>
            <w:shd w:fill="1F5F8B"/>
          </w:tcPr>
          <w:p>
            <w:pPr>
              <w:spacing w:before="40" w:after="40"/>
            </w:pPr>
            <w:r>
              <w:rPr>
                <w:rFonts w:ascii="Calibri" w:hAnsi="Calibri"/>
                <w:b/>
                <w:color w:val="FFFFFF"/>
                <w:sz w:val="18"/>
              </w:rPr>
              <w:t>Mar 2023</w:t>
            </w:r>
          </w:p>
        </w:tc>
        <w:tc>
          <w:tcPr>
            <w:tcW w:type="dxa" w:w="665"/>
            <w:shd w:fill="1F5F8B"/>
          </w:tcPr>
          <w:p>
            <w:pPr>
              <w:spacing w:before="40" w:after="40"/>
            </w:pPr>
            <w:r>
              <w:rPr>
                <w:rFonts w:ascii="Calibri" w:hAnsi="Calibri"/>
                <w:b/>
                <w:color w:val="FFFFFF"/>
                <w:sz w:val="18"/>
              </w:rPr>
              <w:t>Mar 2024</w:t>
            </w:r>
          </w:p>
        </w:tc>
        <w:tc>
          <w:tcPr>
            <w:tcW w:type="dxa" w:w="665"/>
            <w:shd w:fill="1F5F8B"/>
          </w:tcPr>
          <w:p>
            <w:pPr>
              <w:spacing w:before="40" w:after="40"/>
            </w:pPr>
            <w:r>
              <w:rPr>
                <w:rFonts w:ascii="Calibri" w:hAnsi="Calibri"/>
                <w:b/>
                <w:color w:val="FFFFFF"/>
                <w:sz w:val="18"/>
              </w:rPr>
              <w:t>Mar 2025</w:t>
            </w:r>
          </w:p>
        </w:tc>
        <w:tc>
          <w:tcPr>
            <w:tcW w:type="dxa" w:w="665"/>
            <w:shd w:fill="1F5F8B"/>
          </w:tcPr>
          <w:p>
            <w:pPr>
              <w:spacing w:before="40" w:after="40"/>
            </w:pPr>
            <w:r>
              <w:rPr>
                <w:rFonts w:ascii="Calibri" w:hAnsi="Calibri"/>
                <w:b/>
                <w:color w:val="FFFFFF"/>
                <w:sz w:val="18"/>
              </w:rPr>
              <w:t>Mar 2026</w:t>
            </w:r>
          </w:p>
        </w:tc>
      </w:tr>
      <w:tr>
        <w:tc>
          <w:tcPr>
            <w:tcW w:type="dxa" w:w="665"/>
          </w:tcPr>
          <w:p>
            <w:pPr>
              <w:spacing w:before="40" w:after="40"/>
            </w:pPr>
            <w:r>
              <w:rPr>
                <w:rFonts w:ascii="Calibri" w:hAnsi="Calibri"/>
                <w:b/>
                <w:sz w:val="18"/>
              </w:rPr>
              <w:t>Equity Capital</w:t>
            </w:r>
          </w:p>
        </w:tc>
        <w:tc>
          <w:tcPr>
            <w:tcW w:type="dxa" w:w="665"/>
          </w:tcPr>
          <w:p>
            <w:pPr>
              <w:spacing w:before="40" w:after="40"/>
            </w:pPr>
            <w:r>
              <w:rPr>
                <w:rFonts w:ascii="Calibri" w:hAnsi="Calibri"/>
                <w:sz w:val="18"/>
              </w:rPr>
              <w:t>152</w:t>
            </w:r>
          </w:p>
        </w:tc>
        <w:tc>
          <w:tcPr>
            <w:tcW w:type="dxa" w:w="665"/>
          </w:tcPr>
          <w:p>
            <w:pPr>
              <w:spacing w:before="40" w:after="40"/>
            </w:pPr>
            <w:r>
              <w:rPr>
                <w:rFonts w:ascii="Calibri" w:hAnsi="Calibri"/>
                <w:sz w:val="18"/>
              </w:rPr>
              <w:t>152</w:t>
            </w:r>
          </w:p>
        </w:tc>
        <w:tc>
          <w:tcPr>
            <w:tcW w:type="dxa" w:w="665"/>
          </w:tcPr>
          <w:p>
            <w:pPr>
              <w:spacing w:before="40" w:after="40"/>
            </w:pPr>
            <w:r>
              <w:rPr>
                <w:rFonts w:ascii="Calibri" w:hAnsi="Calibri"/>
                <w:sz w:val="18"/>
              </w:rPr>
              <w:t>152</w:t>
            </w:r>
          </w:p>
        </w:tc>
        <w:tc>
          <w:tcPr>
            <w:tcW w:type="dxa" w:w="665"/>
          </w:tcPr>
          <w:p>
            <w:pPr>
              <w:spacing w:before="40" w:after="40"/>
            </w:pPr>
            <w:r>
              <w:rPr>
                <w:rFonts w:ascii="Calibri" w:hAnsi="Calibri"/>
                <w:sz w:val="18"/>
              </w:rPr>
              <w:t>152</w:t>
            </w:r>
          </w:p>
        </w:tc>
        <w:tc>
          <w:tcPr>
            <w:tcW w:type="dxa" w:w="665"/>
          </w:tcPr>
          <w:p>
            <w:pPr>
              <w:spacing w:before="40" w:after="40"/>
            </w:pPr>
            <w:r>
              <w:rPr>
                <w:rFonts w:ascii="Calibri" w:hAnsi="Calibri"/>
                <w:sz w:val="18"/>
              </w:rPr>
              <w:t>152</w:t>
            </w:r>
          </w:p>
        </w:tc>
        <w:tc>
          <w:tcPr>
            <w:tcW w:type="dxa" w:w="665"/>
          </w:tcPr>
          <w:p>
            <w:pPr>
              <w:spacing w:before="40" w:after="40"/>
            </w:pPr>
            <w:r>
              <w:rPr>
                <w:rFonts w:ascii="Calibri" w:hAnsi="Calibri"/>
                <w:sz w:val="18"/>
              </w:rPr>
              <w:t>261</w:t>
            </w:r>
          </w:p>
        </w:tc>
        <w:tc>
          <w:tcPr>
            <w:tcW w:type="dxa" w:w="665"/>
          </w:tcPr>
          <w:p>
            <w:pPr>
              <w:spacing w:before="40" w:after="40"/>
            </w:pPr>
            <w:r>
              <w:rPr>
                <w:rFonts w:ascii="Calibri" w:hAnsi="Calibri"/>
                <w:sz w:val="18"/>
              </w:rPr>
              <w:t>261</w:t>
            </w:r>
          </w:p>
        </w:tc>
        <w:tc>
          <w:tcPr>
            <w:tcW w:type="dxa" w:w="665"/>
          </w:tcPr>
          <w:p>
            <w:pPr>
              <w:spacing w:before="40" w:after="40"/>
            </w:pPr>
            <w:r>
              <w:rPr>
                <w:rFonts w:ascii="Calibri" w:hAnsi="Calibri"/>
                <w:sz w:val="18"/>
              </w:rPr>
              <w:t>261</w:t>
            </w:r>
          </w:p>
        </w:tc>
        <w:tc>
          <w:tcPr>
            <w:tcW w:type="dxa" w:w="665"/>
          </w:tcPr>
          <w:p>
            <w:pPr>
              <w:spacing w:before="40" w:after="40"/>
            </w:pPr>
            <w:r>
              <w:rPr>
                <w:rFonts w:ascii="Calibri" w:hAnsi="Calibri"/>
                <w:sz w:val="18"/>
              </w:rPr>
              <w:t>261</w:t>
            </w:r>
          </w:p>
        </w:tc>
        <w:tc>
          <w:tcPr>
            <w:tcW w:type="dxa" w:w="665"/>
          </w:tcPr>
          <w:p>
            <w:pPr>
              <w:spacing w:before="40" w:after="40"/>
            </w:pPr>
            <w:r>
              <w:rPr>
                <w:rFonts w:ascii="Calibri" w:hAnsi="Calibri"/>
                <w:sz w:val="18"/>
              </w:rPr>
              <w:t>261</w:t>
            </w:r>
          </w:p>
        </w:tc>
        <w:tc>
          <w:tcPr>
            <w:tcW w:type="dxa" w:w="665"/>
          </w:tcPr>
          <w:p>
            <w:pPr>
              <w:spacing w:before="40" w:after="40"/>
            </w:pPr>
            <w:r>
              <w:rPr>
                <w:rFonts w:ascii="Calibri" w:hAnsi="Calibri"/>
                <w:sz w:val="18"/>
              </w:rPr>
              <w:t>261</w:t>
            </w:r>
          </w:p>
        </w:tc>
        <w:tc>
          <w:tcPr>
            <w:tcW w:type="dxa" w:w="665"/>
          </w:tcPr>
          <w:p>
            <w:pPr>
              <w:spacing w:before="40" w:after="40"/>
            </w:pPr>
            <w:r>
              <w:rPr>
                <w:rFonts w:ascii="Calibri" w:hAnsi="Calibri"/>
                <w:sz w:val="18"/>
              </w:rPr>
              <w:t>261</w:t>
            </w:r>
          </w:p>
        </w:tc>
      </w:tr>
      <w:tr>
        <w:tc>
          <w:tcPr>
            <w:tcW w:type="dxa" w:w="665"/>
            <w:shd w:fill="E8F0FE"/>
          </w:tcPr>
          <w:p>
            <w:pPr>
              <w:spacing w:before="40" w:after="40"/>
            </w:pPr>
            <w:r>
              <w:rPr>
                <w:rFonts w:ascii="Calibri" w:hAnsi="Calibri"/>
                <w:b/>
                <w:sz w:val="18"/>
              </w:rPr>
              <w:t>Reserves</w:t>
            </w:r>
          </w:p>
        </w:tc>
        <w:tc>
          <w:tcPr>
            <w:tcW w:type="dxa" w:w="665"/>
            <w:shd w:fill="E8F0FE"/>
          </w:tcPr>
          <w:p>
            <w:pPr>
              <w:spacing w:before="40" w:after="40"/>
            </w:pPr>
            <w:r>
              <w:rPr>
                <w:rFonts w:ascii="Calibri" w:hAnsi="Calibri"/>
                <w:sz w:val="18"/>
              </w:rPr>
              <w:t>476</w:t>
            </w:r>
          </w:p>
        </w:tc>
        <w:tc>
          <w:tcPr>
            <w:tcW w:type="dxa" w:w="665"/>
            <w:shd w:fill="E8F0FE"/>
          </w:tcPr>
          <w:p>
            <w:pPr>
              <w:spacing w:before="40" w:after="40"/>
            </w:pPr>
            <w:r>
              <w:rPr>
                <w:rFonts w:ascii="Calibri" w:hAnsi="Calibri"/>
                <w:sz w:val="18"/>
              </w:rPr>
              <w:t>436</w:t>
            </w:r>
          </w:p>
        </w:tc>
        <w:tc>
          <w:tcPr>
            <w:tcW w:type="dxa" w:w="665"/>
            <w:shd w:fill="E8F0FE"/>
          </w:tcPr>
          <w:p>
            <w:pPr>
              <w:spacing w:before="40" w:after="40"/>
            </w:pPr>
            <w:r>
              <w:rPr>
                <w:rFonts w:ascii="Calibri" w:hAnsi="Calibri"/>
                <w:sz w:val="18"/>
              </w:rPr>
              <w:t>397</w:t>
            </w:r>
          </w:p>
        </w:tc>
        <w:tc>
          <w:tcPr>
            <w:tcW w:type="dxa" w:w="665"/>
            <w:shd w:fill="E8F0FE"/>
          </w:tcPr>
          <w:p>
            <w:pPr>
              <w:spacing w:before="40" w:after="40"/>
            </w:pPr>
            <w:r>
              <w:rPr>
                <w:rFonts w:ascii="Calibri" w:hAnsi="Calibri"/>
                <w:sz w:val="18"/>
              </w:rPr>
              <w:t>450</w:t>
            </w:r>
          </w:p>
        </w:tc>
        <w:tc>
          <w:tcPr>
            <w:tcW w:type="dxa" w:w="665"/>
            <w:shd w:fill="E8F0FE"/>
          </w:tcPr>
          <w:p>
            <w:pPr>
              <w:spacing w:before="40" w:after="40"/>
            </w:pPr>
            <w:r>
              <w:rPr>
                <w:rFonts w:ascii="Calibri" w:hAnsi="Calibri"/>
                <w:sz w:val="18"/>
              </w:rPr>
              <w:t>350</w:t>
            </w:r>
          </w:p>
        </w:tc>
        <w:tc>
          <w:tcPr>
            <w:tcW w:type="dxa" w:w="665"/>
            <w:shd w:fill="E8F0FE"/>
          </w:tcPr>
          <w:p>
            <w:pPr>
              <w:spacing w:before="40" w:after="40"/>
            </w:pPr>
            <w:r>
              <w:rPr>
                <w:rFonts w:ascii="Calibri" w:hAnsi="Calibri"/>
                <w:sz w:val="18"/>
              </w:rPr>
              <w:t>-39</w:t>
            </w:r>
          </w:p>
        </w:tc>
        <w:tc>
          <w:tcPr>
            <w:tcW w:type="dxa" w:w="665"/>
            <w:shd w:fill="E8F0FE"/>
          </w:tcPr>
          <w:p>
            <w:pPr>
              <w:spacing w:before="40" w:after="40"/>
            </w:pPr>
            <w:r>
              <w:rPr>
                <w:rFonts w:ascii="Calibri" w:hAnsi="Calibri"/>
                <w:sz w:val="18"/>
              </w:rPr>
              <w:t>72</w:t>
            </w:r>
          </w:p>
        </w:tc>
        <w:tc>
          <w:tcPr>
            <w:tcW w:type="dxa" w:w="665"/>
            <w:shd w:fill="E8F0FE"/>
          </w:tcPr>
          <w:p>
            <w:pPr>
              <w:spacing w:before="40" w:after="40"/>
            </w:pPr>
            <w:r>
              <w:rPr>
                <w:rFonts w:ascii="Calibri" w:hAnsi="Calibri"/>
                <w:sz w:val="18"/>
              </w:rPr>
              <w:t>339</w:t>
            </w:r>
          </w:p>
        </w:tc>
        <w:tc>
          <w:tcPr>
            <w:tcW w:type="dxa" w:w="665"/>
            <w:shd w:fill="E8F0FE"/>
          </w:tcPr>
          <w:p>
            <w:pPr>
              <w:spacing w:before="40" w:after="40"/>
            </w:pPr>
            <w:r>
              <w:rPr>
                <w:rFonts w:ascii="Calibri" w:hAnsi="Calibri"/>
                <w:sz w:val="18"/>
              </w:rPr>
              <w:t>312</w:t>
            </w:r>
          </w:p>
        </w:tc>
        <w:tc>
          <w:tcPr>
            <w:tcW w:type="dxa" w:w="665"/>
            <w:shd w:fill="E8F0FE"/>
          </w:tcPr>
          <w:p>
            <w:pPr>
              <w:spacing w:before="40" w:after="40"/>
            </w:pPr>
            <w:r>
              <w:rPr>
                <w:rFonts w:ascii="Calibri" w:hAnsi="Calibri"/>
                <w:sz w:val="18"/>
              </w:rPr>
              <w:t>107</w:t>
            </w:r>
          </w:p>
        </w:tc>
        <w:tc>
          <w:tcPr>
            <w:tcW w:type="dxa" w:w="665"/>
            <w:shd w:fill="E8F0FE"/>
          </w:tcPr>
          <w:p>
            <w:pPr>
              <w:spacing w:before="40" w:after="40"/>
            </w:pPr>
            <w:r>
              <w:rPr>
                <w:rFonts w:ascii="Calibri" w:hAnsi="Calibri"/>
                <w:sz w:val="18"/>
              </w:rPr>
              <w:t>107</w:t>
            </w:r>
          </w:p>
        </w:tc>
        <w:tc>
          <w:tcPr>
            <w:tcW w:type="dxa" w:w="665"/>
            <w:shd w:fill="E8F0FE"/>
          </w:tcPr>
          <w:p>
            <w:pPr>
              <w:spacing w:before="40" w:after="40"/>
            </w:pPr>
            <w:r>
              <w:rPr>
                <w:rFonts w:ascii="Calibri" w:hAnsi="Calibri"/>
                <w:sz w:val="18"/>
              </w:rPr>
              <w:t>258</w:t>
            </w:r>
          </w:p>
        </w:tc>
      </w:tr>
      <w:tr>
        <w:tc>
          <w:tcPr>
            <w:tcW w:type="dxa" w:w="665"/>
          </w:tcPr>
          <w:p>
            <w:pPr>
              <w:spacing w:before="40" w:after="40"/>
            </w:pPr>
            <w:r>
              <w:rPr>
                <w:rFonts w:ascii="Calibri" w:hAnsi="Calibri"/>
                <w:b/>
                <w:sz w:val="18"/>
              </w:rPr>
              <w:t>Borrowings+</w:t>
            </w:r>
          </w:p>
        </w:tc>
        <w:tc>
          <w:tcPr>
            <w:tcW w:type="dxa" w:w="665"/>
          </w:tcPr>
          <w:p>
            <w:pPr>
              <w:spacing w:before="40" w:after="40"/>
            </w:pPr>
            <w:r>
              <w:rPr>
                <w:rFonts w:ascii="Calibri" w:hAnsi="Calibri"/>
                <w:sz w:val="18"/>
              </w:rPr>
              <w:t>713</w:t>
            </w:r>
          </w:p>
        </w:tc>
        <w:tc>
          <w:tcPr>
            <w:tcW w:type="dxa" w:w="665"/>
          </w:tcPr>
          <w:p>
            <w:pPr>
              <w:spacing w:before="40" w:after="40"/>
            </w:pPr>
            <w:r>
              <w:rPr>
                <w:rFonts w:ascii="Calibri" w:hAnsi="Calibri"/>
                <w:sz w:val="18"/>
              </w:rPr>
              <w:t>658</w:t>
            </w:r>
          </w:p>
        </w:tc>
        <w:tc>
          <w:tcPr>
            <w:tcW w:type="dxa" w:w="665"/>
          </w:tcPr>
          <w:p>
            <w:pPr>
              <w:spacing w:before="40" w:after="40"/>
            </w:pPr>
            <w:r>
              <w:rPr>
                <w:rFonts w:ascii="Calibri" w:hAnsi="Calibri"/>
                <w:sz w:val="18"/>
              </w:rPr>
              <w:t>517</w:t>
            </w:r>
          </w:p>
        </w:tc>
        <w:tc>
          <w:tcPr>
            <w:tcW w:type="dxa" w:w="665"/>
          </w:tcPr>
          <w:p>
            <w:pPr>
              <w:spacing w:before="40" w:after="40"/>
            </w:pPr>
            <w:r>
              <w:rPr>
                <w:rFonts w:ascii="Calibri" w:hAnsi="Calibri"/>
                <w:sz w:val="18"/>
              </w:rPr>
              <w:t>321</w:t>
            </w:r>
          </w:p>
        </w:tc>
        <w:tc>
          <w:tcPr>
            <w:tcW w:type="dxa" w:w="665"/>
          </w:tcPr>
          <w:p>
            <w:pPr>
              <w:spacing w:before="40" w:after="40"/>
            </w:pPr>
            <w:r>
              <w:rPr>
                <w:rFonts w:ascii="Calibri" w:hAnsi="Calibri"/>
                <w:sz w:val="18"/>
              </w:rPr>
              <w:t>307</w:t>
            </w:r>
          </w:p>
        </w:tc>
        <w:tc>
          <w:tcPr>
            <w:tcW w:type="dxa" w:w="665"/>
          </w:tcPr>
          <w:p>
            <w:pPr>
              <w:spacing w:before="40" w:after="40"/>
            </w:pPr>
            <w:r>
              <w:rPr>
                <w:rFonts w:ascii="Calibri" w:hAnsi="Calibri"/>
                <w:sz w:val="18"/>
              </w:rPr>
              <w:t>471</w:t>
            </w:r>
          </w:p>
        </w:tc>
        <w:tc>
          <w:tcPr>
            <w:tcW w:type="dxa" w:w="665"/>
          </w:tcPr>
          <w:p>
            <w:pPr>
              <w:spacing w:before="40" w:after="40"/>
            </w:pPr>
            <w:r>
              <w:rPr>
                <w:rFonts w:ascii="Calibri" w:hAnsi="Calibri"/>
                <w:sz w:val="18"/>
              </w:rPr>
              <w:t>395</w:t>
            </w:r>
          </w:p>
        </w:tc>
        <w:tc>
          <w:tcPr>
            <w:tcW w:type="dxa" w:w="665"/>
          </w:tcPr>
          <w:p>
            <w:pPr>
              <w:spacing w:before="40" w:after="40"/>
            </w:pPr>
            <w:r>
              <w:rPr>
                <w:rFonts w:ascii="Calibri" w:hAnsi="Calibri"/>
                <w:sz w:val="18"/>
              </w:rPr>
              <w:t>354</w:t>
            </w:r>
          </w:p>
        </w:tc>
        <w:tc>
          <w:tcPr>
            <w:tcW w:type="dxa" w:w="665"/>
          </w:tcPr>
          <w:p>
            <w:pPr>
              <w:spacing w:before="40" w:after="40"/>
            </w:pPr>
            <w:r>
              <w:rPr>
                <w:rFonts w:ascii="Calibri" w:hAnsi="Calibri"/>
                <w:sz w:val="18"/>
              </w:rPr>
              <w:t>890</w:t>
            </w:r>
          </w:p>
        </w:tc>
        <w:tc>
          <w:tcPr>
            <w:tcW w:type="dxa" w:w="665"/>
          </w:tcPr>
          <w:p>
            <w:pPr>
              <w:spacing w:before="40" w:after="40"/>
            </w:pPr>
            <w:r>
              <w:rPr>
                <w:rFonts w:ascii="Calibri" w:hAnsi="Calibri"/>
                <w:sz w:val="18"/>
              </w:rPr>
              <w:t>1,339</w:t>
            </w:r>
          </w:p>
        </w:tc>
        <w:tc>
          <w:tcPr>
            <w:tcW w:type="dxa" w:w="665"/>
          </w:tcPr>
          <w:p>
            <w:pPr>
              <w:spacing w:before="40" w:after="40"/>
            </w:pPr>
            <w:r>
              <w:rPr>
                <w:rFonts w:ascii="Calibri" w:hAnsi="Calibri"/>
                <w:sz w:val="18"/>
              </w:rPr>
              <w:t>1,136</w:t>
            </w:r>
          </w:p>
        </w:tc>
        <w:tc>
          <w:tcPr>
            <w:tcW w:type="dxa" w:w="665"/>
          </w:tcPr>
          <w:p>
            <w:pPr>
              <w:spacing w:before="40" w:after="40"/>
            </w:pPr>
            <w:r>
              <w:rPr>
                <w:rFonts w:ascii="Calibri" w:hAnsi="Calibri"/>
                <w:sz w:val="18"/>
              </w:rPr>
              <w:t>1,133</w:t>
            </w:r>
          </w:p>
        </w:tc>
      </w:tr>
      <w:tr>
        <w:tc>
          <w:tcPr>
            <w:tcW w:type="dxa" w:w="665"/>
            <w:shd w:fill="E8F0FE"/>
          </w:tcPr>
          <w:p>
            <w:pPr>
              <w:spacing w:before="40" w:after="40"/>
            </w:pPr>
            <w:r>
              <w:rPr>
                <w:rFonts w:ascii="Calibri" w:hAnsi="Calibri"/>
                <w:b/>
                <w:sz w:val="18"/>
              </w:rPr>
              <w:t>Other Liabilities+</w:t>
            </w:r>
          </w:p>
        </w:tc>
        <w:tc>
          <w:tcPr>
            <w:tcW w:type="dxa" w:w="665"/>
            <w:shd w:fill="E8F0FE"/>
          </w:tcPr>
          <w:p>
            <w:pPr>
              <w:spacing w:before="40" w:after="40"/>
            </w:pPr>
            <w:r>
              <w:rPr>
                <w:rFonts w:ascii="Calibri" w:hAnsi="Calibri"/>
                <w:sz w:val="18"/>
              </w:rPr>
              <w:t>846</w:t>
            </w:r>
          </w:p>
        </w:tc>
        <w:tc>
          <w:tcPr>
            <w:tcW w:type="dxa" w:w="665"/>
            <w:shd w:fill="E8F0FE"/>
          </w:tcPr>
          <w:p>
            <w:pPr>
              <w:spacing w:before="40" w:after="40"/>
            </w:pPr>
            <w:r>
              <w:rPr>
                <w:rFonts w:ascii="Calibri" w:hAnsi="Calibri"/>
                <w:sz w:val="18"/>
              </w:rPr>
              <w:t>823</w:t>
            </w:r>
          </w:p>
        </w:tc>
        <w:tc>
          <w:tcPr>
            <w:tcW w:type="dxa" w:w="665"/>
            <w:shd w:fill="E8F0FE"/>
          </w:tcPr>
          <w:p>
            <w:pPr>
              <w:spacing w:before="40" w:after="40"/>
            </w:pPr>
            <w:r>
              <w:rPr>
                <w:rFonts w:ascii="Calibri" w:hAnsi="Calibri"/>
                <w:sz w:val="18"/>
              </w:rPr>
              <w:t>820</w:t>
            </w:r>
          </w:p>
        </w:tc>
        <w:tc>
          <w:tcPr>
            <w:tcW w:type="dxa" w:w="665"/>
            <w:shd w:fill="E8F0FE"/>
          </w:tcPr>
          <w:p>
            <w:pPr>
              <w:spacing w:before="40" w:after="40"/>
            </w:pPr>
            <w:r>
              <w:rPr>
                <w:rFonts w:ascii="Calibri" w:hAnsi="Calibri"/>
                <w:sz w:val="18"/>
              </w:rPr>
              <w:t>1,006</w:t>
            </w:r>
          </w:p>
        </w:tc>
        <w:tc>
          <w:tcPr>
            <w:tcW w:type="dxa" w:w="665"/>
            <w:shd w:fill="E8F0FE"/>
          </w:tcPr>
          <w:p>
            <w:pPr>
              <w:spacing w:before="40" w:after="40"/>
            </w:pPr>
            <w:r>
              <w:rPr>
                <w:rFonts w:ascii="Calibri" w:hAnsi="Calibri"/>
                <w:sz w:val="18"/>
              </w:rPr>
              <w:t>799</w:t>
            </w:r>
          </w:p>
        </w:tc>
        <w:tc>
          <w:tcPr>
            <w:tcW w:type="dxa" w:w="665"/>
            <w:shd w:fill="E8F0FE"/>
          </w:tcPr>
          <w:p>
            <w:pPr>
              <w:spacing w:before="40" w:after="40"/>
            </w:pPr>
            <w:r>
              <w:rPr>
                <w:rFonts w:ascii="Calibri" w:hAnsi="Calibri"/>
                <w:sz w:val="18"/>
              </w:rPr>
              <w:t>790</w:t>
            </w:r>
          </w:p>
        </w:tc>
        <w:tc>
          <w:tcPr>
            <w:tcW w:type="dxa" w:w="665"/>
            <w:shd w:fill="E8F0FE"/>
          </w:tcPr>
          <w:p>
            <w:pPr>
              <w:spacing w:before="40" w:after="40"/>
            </w:pPr>
            <w:r>
              <w:rPr>
                <w:rFonts w:ascii="Calibri" w:hAnsi="Calibri"/>
                <w:sz w:val="18"/>
              </w:rPr>
              <w:t>983</w:t>
            </w:r>
          </w:p>
        </w:tc>
        <w:tc>
          <w:tcPr>
            <w:tcW w:type="dxa" w:w="665"/>
            <w:shd w:fill="E8F0FE"/>
          </w:tcPr>
          <w:p>
            <w:pPr>
              <w:spacing w:before="40" w:after="40"/>
            </w:pPr>
            <w:r>
              <w:rPr>
                <w:rFonts w:ascii="Calibri" w:hAnsi="Calibri"/>
                <w:sz w:val="18"/>
              </w:rPr>
              <w:t>1,152</w:t>
            </w:r>
          </w:p>
        </w:tc>
        <w:tc>
          <w:tcPr>
            <w:tcW w:type="dxa" w:w="665"/>
            <w:shd w:fill="E8F0FE"/>
          </w:tcPr>
          <w:p>
            <w:pPr>
              <w:spacing w:before="40" w:after="40"/>
            </w:pPr>
            <w:r>
              <w:rPr>
                <w:rFonts w:ascii="Calibri" w:hAnsi="Calibri"/>
                <w:sz w:val="18"/>
              </w:rPr>
              <w:t>1,250</w:t>
            </w:r>
          </w:p>
        </w:tc>
        <w:tc>
          <w:tcPr>
            <w:tcW w:type="dxa" w:w="665"/>
            <w:shd w:fill="E8F0FE"/>
          </w:tcPr>
          <w:p>
            <w:pPr>
              <w:spacing w:before="40" w:after="40"/>
            </w:pPr>
            <w:r>
              <w:rPr>
                <w:rFonts w:ascii="Calibri" w:hAnsi="Calibri"/>
                <w:sz w:val="18"/>
              </w:rPr>
              <w:t>1,199</w:t>
            </w:r>
          </w:p>
        </w:tc>
        <w:tc>
          <w:tcPr>
            <w:tcW w:type="dxa" w:w="665"/>
            <w:shd w:fill="E8F0FE"/>
          </w:tcPr>
          <w:p>
            <w:pPr>
              <w:spacing w:before="40" w:after="40"/>
            </w:pPr>
            <w:r>
              <w:rPr>
                <w:rFonts w:ascii="Calibri" w:hAnsi="Calibri"/>
                <w:sz w:val="18"/>
              </w:rPr>
              <w:t>1,431</w:t>
            </w:r>
          </w:p>
        </w:tc>
        <w:tc>
          <w:tcPr>
            <w:tcW w:type="dxa" w:w="665"/>
            <w:shd w:fill="E8F0FE"/>
          </w:tcPr>
          <w:p>
            <w:pPr>
              <w:spacing w:before="40" w:after="40"/>
            </w:pPr>
            <w:r>
              <w:rPr>
                <w:rFonts w:ascii="Calibri" w:hAnsi="Calibri"/>
                <w:sz w:val="18"/>
              </w:rPr>
              <w:t>1,592</w:t>
            </w:r>
          </w:p>
        </w:tc>
      </w:tr>
      <w:tr>
        <w:tc>
          <w:tcPr>
            <w:tcW w:type="dxa" w:w="665"/>
          </w:tcPr>
          <w:p>
            <w:pPr>
              <w:spacing w:before="40" w:after="40"/>
            </w:pPr>
            <w:r>
              <w:rPr>
                <w:rFonts w:ascii="Calibri" w:hAnsi="Calibri"/>
                <w:b/>
                <w:sz w:val="18"/>
              </w:rPr>
              <w:t>Total Liabilities</w:t>
            </w:r>
          </w:p>
        </w:tc>
        <w:tc>
          <w:tcPr>
            <w:tcW w:type="dxa" w:w="665"/>
          </w:tcPr>
          <w:p>
            <w:pPr>
              <w:spacing w:before="40" w:after="40"/>
            </w:pPr>
            <w:r>
              <w:rPr>
                <w:rFonts w:ascii="Calibri" w:hAnsi="Calibri"/>
                <w:sz w:val="18"/>
              </w:rPr>
              <w:t>2,187</w:t>
            </w:r>
          </w:p>
        </w:tc>
        <w:tc>
          <w:tcPr>
            <w:tcW w:type="dxa" w:w="665"/>
          </w:tcPr>
          <w:p>
            <w:pPr>
              <w:spacing w:before="40" w:after="40"/>
            </w:pPr>
            <w:r>
              <w:rPr>
                <w:rFonts w:ascii="Calibri" w:hAnsi="Calibri"/>
                <w:sz w:val="18"/>
              </w:rPr>
              <w:t>2,069</w:t>
            </w:r>
          </w:p>
        </w:tc>
        <w:tc>
          <w:tcPr>
            <w:tcW w:type="dxa" w:w="665"/>
          </w:tcPr>
          <w:p>
            <w:pPr>
              <w:spacing w:before="40" w:after="40"/>
            </w:pPr>
            <w:r>
              <w:rPr>
                <w:rFonts w:ascii="Calibri" w:hAnsi="Calibri"/>
                <w:sz w:val="18"/>
              </w:rPr>
              <w:t>1,886</w:t>
            </w:r>
          </w:p>
        </w:tc>
        <w:tc>
          <w:tcPr>
            <w:tcW w:type="dxa" w:w="665"/>
          </w:tcPr>
          <w:p>
            <w:pPr>
              <w:spacing w:before="40" w:after="40"/>
            </w:pPr>
            <w:r>
              <w:rPr>
                <w:rFonts w:ascii="Calibri" w:hAnsi="Calibri"/>
                <w:sz w:val="18"/>
              </w:rPr>
              <w:t>1,929</w:t>
            </w:r>
          </w:p>
        </w:tc>
        <w:tc>
          <w:tcPr>
            <w:tcW w:type="dxa" w:w="665"/>
          </w:tcPr>
          <w:p>
            <w:pPr>
              <w:spacing w:before="40" w:after="40"/>
            </w:pPr>
            <w:r>
              <w:rPr>
                <w:rFonts w:ascii="Calibri" w:hAnsi="Calibri"/>
                <w:sz w:val="18"/>
              </w:rPr>
              <w:t>1,608</w:t>
            </w:r>
          </w:p>
        </w:tc>
        <w:tc>
          <w:tcPr>
            <w:tcW w:type="dxa" w:w="665"/>
          </w:tcPr>
          <w:p>
            <w:pPr>
              <w:spacing w:before="40" w:after="40"/>
            </w:pPr>
            <w:r>
              <w:rPr>
                <w:rFonts w:ascii="Calibri" w:hAnsi="Calibri"/>
                <w:sz w:val="18"/>
              </w:rPr>
              <w:t>1,483</w:t>
            </w:r>
          </w:p>
        </w:tc>
        <w:tc>
          <w:tcPr>
            <w:tcW w:type="dxa" w:w="665"/>
          </w:tcPr>
          <w:p>
            <w:pPr>
              <w:spacing w:before="40" w:after="40"/>
            </w:pPr>
            <w:r>
              <w:rPr>
                <w:rFonts w:ascii="Calibri" w:hAnsi="Calibri"/>
                <w:sz w:val="18"/>
              </w:rPr>
              <w:t>1,711</w:t>
            </w:r>
          </w:p>
        </w:tc>
        <w:tc>
          <w:tcPr>
            <w:tcW w:type="dxa" w:w="665"/>
          </w:tcPr>
          <w:p>
            <w:pPr>
              <w:spacing w:before="40" w:after="40"/>
            </w:pPr>
            <w:r>
              <w:rPr>
                <w:rFonts w:ascii="Calibri" w:hAnsi="Calibri"/>
                <w:sz w:val="18"/>
              </w:rPr>
              <w:t>2,105</w:t>
            </w:r>
          </w:p>
        </w:tc>
        <w:tc>
          <w:tcPr>
            <w:tcW w:type="dxa" w:w="665"/>
          </w:tcPr>
          <w:p>
            <w:pPr>
              <w:spacing w:before="40" w:after="40"/>
            </w:pPr>
            <w:r>
              <w:rPr>
                <w:rFonts w:ascii="Calibri" w:hAnsi="Calibri"/>
                <w:sz w:val="18"/>
              </w:rPr>
              <w:t>2,713</w:t>
            </w:r>
          </w:p>
        </w:tc>
        <w:tc>
          <w:tcPr>
            <w:tcW w:type="dxa" w:w="665"/>
          </w:tcPr>
          <w:p>
            <w:pPr>
              <w:spacing w:before="40" w:after="40"/>
            </w:pPr>
            <w:r>
              <w:rPr>
                <w:rFonts w:ascii="Calibri" w:hAnsi="Calibri"/>
                <w:sz w:val="18"/>
              </w:rPr>
              <w:t>2,907</w:t>
            </w:r>
          </w:p>
        </w:tc>
        <w:tc>
          <w:tcPr>
            <w:tcW w:type="dxa" w:w="665"/>
          </w:tcPr>
          <w:p>
            <w:pPr>
              <w:spacing w:before="40" w:after="40"/>
            </w:pPr>
            <w:r>
              <w:rPr>
                <w:rFonts w:ascii="Calibri" w:hAnsi="Calibri"/>
                <w:sz w:val="18"/>
              </w:rPr>
              <w:t>2,936</w:t>
            </w:r>
          </w:p>
        </w:tc>
        <w:tc>
          <w:tcPr>
            <w:tcW w:type="dxa" w:w="665"/>
          </w:tcPr>
          <w:p>
            <w:pPr>
              <w:spacing w:before="40" w:after="40"/>
            </w:pPr>
            <w:r>
              <w:rPr>
                <w:rFonts w:ascii="Calibri" w:hAnsi="Calibri"/>
                <w:sz w:val="18"/>
              </w:rPr>
              <w:t>3,244</w:t>
            </w:r>
          </w:p>
        </w:tc>
      </w:tr>
      <w:tr>
        <w:tc>
          <w:tcPr>
            <w:tcW w:type="dxa" w:w="665"/>
            <w:shd w:fill="E8F0FE"/>
          </w:tcPr>
          <w:p>
            <w:pPr>
              <w:spacing w:before="40" w:after="40"/>
            </w:pPr>
            <w:r>
              <w:rPr>
                <w:rFonts w:ascii="Calibri" w:hAnsi="Calibri"/>
                <w:b/>
                <w:sz w:val="18"/>
              </w:rPr>
              <w:t>Fixed Assets+</w:t>
            </w:r>
          </w:p>
        </w:tc>
        <w:tc>
          <w:tcPr>
            <w:tcW w:type="dxa" w:w="665"/>
            <w:shd w:fill="E8F0FE"/>
          </w:tcPr>
          <w:p>
            <w:pPr>
              <w:spacing w:before="40" w:after="40"/>
            </w:pPr>
            <w:r>
              <w:rPr>
                <w:rFonts w:ascii="Calibri" w:hAnsi="Calibri"/>
                <w:sz w:val="18"/>
              </w:rPr>
              <w:t>1,176</w:t>
            </w:r>
          </w:p>
        </w:tc>
        <w:tc>
          <w:tcPr>
            <w:tcW w:type="dxa" w:w="665"/>
            <w:shd w:fill="E8F0FE"/>
          </w:tcPr>
          <w:p>
            <w:pPr>
              <w:spacing w:before="40" w:after="40"/>
            </w:pPr>
            <w:r>
              <w:rPr>
                <w:rFonts w:ascii="Calibri" w:hAnsi="Calibri"/>
                <w:sz w:val="18"/>
              </w:rPr>
              <w:t>1,270</w:t>
            </w:r>
          </w:p>
        </w:tc>
        <w:tc>
          <w:tcPr>
            <w:tcW w:type="dxa" w:w="665"/>
            <w:shd w:fill="E8F0FE"/>
          </w:tcPr>
          <w:p>
            <w:pPr>
              <w:spacing w:before="40" w:after="40"/>
            </w:pPr>
            <w:r>
              <w:rPr>
                <w:rFonts w:ascii="Calibri" w:hAnsi="Calibri"/>
                <w:sz w:val="18"/>
              </w:rPr>
              <w:t>1,134</w:t>
            </w:r>
          </w:p>
        </w:tc>
        <w:tc>
          <w:tcPr>
            <w:tcW w:type="dxa" w:w="665"/>
            <w:shd w:fill="E8F0FE"/>
          </w:tcPr>
          <w:p>
            <w:pPr>
              <w:spacing w:before="40" w:after="40"/>
            </w:pPr>
            <w:r>
              <w:rPr>
                <w:rFonts w:ascii="Calibri" w:hAnsi="Calibri"/>
                <w:sz w:val="18"/>
              </w:rPr>
              <w:t>935</w:t>
            </w:r>
          </w:p>
        </w:tc>
        <w:tc>
          <w:tcPr>
            <w:tcW w:type="dxa" w:w="665"/>
            <w:shd w:fill="E8F0FE"/>
          </w:tcPr>
          <w:p>
            <w:pPr>
              <w:spacing w:before="40" w:after="40"/>
            </w:pPr>
            <w:r>
              <w:rPr>
                <w:rFonts w:ascii="Calibri" w:hAnsi="Calibri"/>
                <w:sz w:val="18"/>
              </w:rPr>
              <w:t>898</w:t>
            </w:r>
          </w:p>
        </w:tc>
        <w:tc>
          <w:tcPr>
            <w:tcW w:type="dxa" w:w="665"/>
            <w:shd w:fill="E8F0FE"/>
          </w:tcPr>
          <w:p>
            <w:pPr>
              <w:spacing w:before="40" w:after="40"/>
            </w:pPr>
            <w:r>
              <w:rPr>
                <w:rFonts w:ascii="Calibri" w:hAnsi="Calibri"/>
                <w:sz w:val="18"/>
              </w:rPr>
              <w:t>703</w:t>
            </w:r>
          </w:p>
        </w:tc>
        <w:tc>
          <w:tcPr>
            <w:tcW w:type="dxa" w:w="665"/>
            <w:shd w:fill="E8F0FE"/>
          </w:tcPr>
          <w:p>
            <w:pPr>
              <w:spacing w:before="40" w:after="40"/>
            </w:pPr>
            <w:r>
              <w:rPr>
                <w:rFonts w:ascii="Calibri" w:hAnsi="Calibri"/>
                <w:sz w:val="18"/>
              </w:rPr>
              <w:t>691</w:t>
            </w:r>
          </w:p>
        </w:tc>
        <w:tc>
          <w:tcPr>
            <w:tcW w:type="dxa" w:w="665"/>
            <w:shd w:fill="E8F0FE"/>
          </w:tcPr>
          <w:p>
            <w:pPr>
              <w:spacing w:before="40" w:after="40"/>
            </w:pPr>
            <w:r>
              <w:rPr>
                <w:rFonts w:ascii="Calibri" w:hAnsi="Calibri"/>
                <w:sz w:val="18"/>
              </w:rPr>
              <w:t>702</w:t>
            </w:r>
          </w:p>
        </w:tc>
        <w:tc>
          <w:tcPr>
            <w:tcW w:type="dxa" w:w="665"/>
            <w:shd w:fill="E8F0FE"/>
          </w:tcPr>
          <w:p>
            <w:pPr>
              <w:spacing w:before="40" w:after="40"/>
            </w:pPr>
            <w:r>
              <w:rPr>
                <w:rFonts w:ascii="Calibri" w:hAnsi="Calibri"/>
                <w:sz w:val="18"/>
              </w:rPr>
              <w:t>783</w:t>
            </w:r>
          </w:p>
        </w:tc>
        <w:tc>
          <w:tcPr>
            <w:tcW w:type="dxa" w:w="665"/>
            <w:shd w:fill="E8F0FE"/>
          </w:tcPr>
          <w:p>
            <w:pPr>
              <w:spacing w:before="40" w:after="40"/>
            </w:pPr>
            <w:r>
              <w:rPr>
                <w:rFonts w:ascii="Calibri" w:hAnsi="Calibri"/>
                <w:sz w:val="18"/>
              </w:rPr>
              <w:t>1,217</w:t>
            </w:r>
          </w:p>
        </w:tc>
        <w:tc>
          <w:tcPr>
            <w:tcW w:type="dxa" w:w="665"/>
            <w:shd w:fill="E8F0FE"/>
          </w:tcPr>
          <w:p>
            <w:pPr>
              <w:spacing w:before="40" w:after="40"/>
            </w:pPr>
            <w:r>
              <w:rPr>
                <w:rFonts w:ascii="Calibri" w:hAnsi="Calibri"/>
                <w:sz w:val="18"/>
              </w:rPr>
              <w:t>1,264</w:t>
            </w:r>
          </w:p>
        </w:tc>
        <w:tc>
          <w:tcPr>
            <w:tcW w:type="dxa" w:w="665"/>
            <w:shd w:fill="E8F0FE"/>
          </w:tcPr>
          <w:p>
            <w:pPr>
              <w:spacing w:before="40" w:after="40"/>
            </w:pPr>
            <w:r>
              <w:rPr>
                <w:rFonts w:ascii="Calibri" w:hAnsi="Calibri"/>
                <w:sz w:val="18"/>
              </w:rPr>
              <w:t>1,232</w:t>
            </w:r>
          </w:p>
        </w:tc>
      </w:tr>
      <w:tr>
        <w:tc>
          <w:tcPr>
            <w:tcW w:type="dxa" w:w="665"/>
          </w:tcPr>
          <w:p>
            <w:pPr>
              <w:spacing w:before="40" w:after="40"/>
            </w:pPr>
            <w:r>
              <w:rPr>
                <w:rFonts w:ascii="Calibri" w:hAnsi="Calibri"/>
                <w:b/>
                <w:sz w:val="18"/>
              </w:rPr>
              <w:t>CWIP</w:t>
            </w:r>
          </w:p>
        </w:tc>
        <w:tc>
          <w:tcPr>
            <w:tcW w:type="dxa" w:w="665"/>
          </w:tcPr>
          <w:p>
            <w:pPr>
              <w:spacing w:before="40" w:after="40"/>
            </w:pPr>
            <w:r>
              <w:rPr>
                <w:rFonts w:ascii="Calibri" w:hAnsi="Calibri"/>
                <w:sz w:val="18"/>
              </w:rPr>
              <w:t>206</w:t>
            </w:r>
          </w:p>
        </w:tc>
        <w:tc>
          <w:tcPr>
            <w:tcW w:type="dxa" w:w="665"/>
          </w:tcPr>
          <w:p>
            <w:pPr>
              <w:spacing w:before="40" w:after="40"/>
            </w:pPr>
            <w:r>
              <w:rPr>
                <w:rFonts w:ascii="Calibri" w:hAnsi="Calibri"/>
                <w:sz w:val="18"/>
              </w:rPr>
              <w:t>3</w:t>
            </w:r>
          </w:p>
        </w:tc>
        <w:tc>
          <w:tcPr>
            <w:tcW w:type="dxa" w:w="665"/>
          </w:tcPr>
          <w:p>
            <w:pPr>
              <w:spacing w:before="40" w:after="40"/>
            </w:pPr>
            <w:r>
              <w:rPr>
                <w:rFonts w:ascii="Calibri" w:hAnsi="Calibri"/>
                <w:sz w:val="18"/>
              </w:rPr>
              <w:t>6</w:t>
            </w:r>
          </w:p>
        </w:tc>
        <w:tc>
          <w:tcPr>
            <w:tcW w:type="dxa" w:w="665"/>
          </w:tcPr>
          <w:p>
            <w:pPr>
              <w:spacing w:before="40" w:after="40"/>
            </w:pPr>
            <w:r>
              <w:rPr>
                <w:rFonts w:ascii="Calibri" w:hAnsi="Calibri"/>
                <w:sz w:val="18"/>
              </w:rPr>
              <w:t>16</w:t>
            </w:r>
          </w:p>
        </w:tc>
        <w:tc>
          <w:tcPr>
            <w:tcW w:type="dxa" w:w="665"/>
          </w:tcPr>
          <w:p>
            <w:pPr>
              <w:spacing w:before="40" w:after="40"/>
            </w:pPr>
            <w:r>
              <w:rPr>
                <w:rFonts w:ascii="Calibri" w:hAnsi="Calibri"/>
                <w:sz w:val="18"/>
              </w:rPr>
              <w:t>11</w:t>
            </w:r>
          </w:p>
        </w:tc>
        <w:tc>
          <w:tcPr>
            <w:tcW w:type="dxa" w:w="665"/>
          </w:tcPr>
          <w:p>
            <w:pPr>
              <w:spacing w:before="40" w:after="40"/>
            </w:pPr>
            <w:r>
              <w:rPr>
                <w:rFonts w:ascii="Calibri" w:hAnsi="Calibri"/>
                <w:sz w:val="18"/>
              </w:rPr>
              <w:t>7</w:t>
            </w:r>
          </w:p>
        </w:tc>
        <w:tc>
          <w:tcPr>
            <w:tcW w:type="dxa" w:w="665"/>
          </w:tcPr>
          <w:p>
            <w:pPr>
              <w:spacing w:before="40" w:after="40"/>
            </w:pPr>
            <w:r>
              <w:rPr>
                <w:rFonts w:ascii="Calibri" w:hAnsi="Calibri"/>
                <w:sz w:val="18"/>
              </w:rPr>
              <w:t>9</w:t>
            </w:r>
          </w:p>
        </w:tc>
        <w:tc>
          <w:tcPr>
            <w:tcW w:type="dxa" w:w="665"/>
          </w:tcPr>
          <w:p>
            <w:pPr>
              <w:spacing w:before="40" w:after="40"/>
            </w:pPr>
            <w:r>
              <w:rPr>
                <w:rFonts w:ascii="Calibri" w:hAnsi="Calibri"/>
                <w:sz w:val="18"/>
              </w:rPr>
              <w:t>35</w:t>
            </w:r>
          </w:p>
        </w:tc>
        <w:tc>
          <w:tcPr>
            <w:tcW w:type="dxa" w:w="665"/>
          </w:tcPr>
          <w:p>
            <w:pPr>
              <w:spacing w:before="40" w:after="40"/>
            </w:pPr>
            <w:r>
              <w:rPr>
                <w:rFonts w:ascii="Calibri" w:hAnsi="Calibri"/>
                <w:sz w:val="18"/>
              </w:rPr>
              <w:t>324</w:t>
            </w:r>
          </w:p>
        </w:tc>
        <w:tc>
          <w:tcPr>
            <w:tcW w:type="dxa" w:w="665"/>
          </w:tcPr>
          <w:p>
            <w:pPr>
              <w:spacing w:before="40" w:after="40"/>
            </w:pPr>
            <w:r>
              <w:rPr>
                <w:rFonts w:ascii="Calibri" w:hAnsi="Calibri"/>
                <w:sz w:val="18"/>
              </w:rPr>
              <w:t>105</w:t>
            </w:r>
          </w:p>
        </w:tc>
        <w:tc>
          <w:tcPr>
            <w:tcW w:type="dxa" w:w="665"/>
          </w:tcPr>
          <w:p>
            <w:pPr>
              <w:spacing w:before="40" w:after="40"/>
            </w:pPr>
            <w:r>
              <w:rPr>
                <w:rFonts w:ascii="Calibri" w:hAnsi="Calibri"/>
                <w:sz w:val="18"/>
              </w:rPr>
              <w:t>36</w:t>
            </w:r>
          </w:p>
        </w:tc>
        <w:tc>
          <w:tcPr>
            <w:tcW w:type="dxa" w:w="665"/>
          </w:tcPr>
          <w:p>
            <w:pPr>
              <w:spacing w:before="40" w:after="40"/>
            </w:pPr>
            <w:r>
              <w:rPr>
                <w:rFonts w:ascii="Calibri" w:hAnsi="Calibri"/>
                <w:sz w:val="18"/>
              </w:rPr>
              <w:t>42</w:t>
            </w:r>
          </w:p>
        </w:tc>
      </w:tr>
      <w:tr>
        <w:tc>
          <w:tcPr>
            <w:tcW w:type="dxa" w:w="665"/>
            <w:shd w:fill="E8F0FE"/>
          </w:tcPr>
          <w:p>
            <w:pPr>
              <w:spacing w:before="40" w:after="40"/>
            </w:pPr>
            <w:r>
              <w:rPr>
                <w:rFonts w:ascii="Calibri" w:hAnsi="Calibri"/>
                <w:b/>
                <w:sz w:val="18"/>
              </w:rPr>
              <w:t>Investments</w:t>
            </w:r>
          </w:p>
        </w:tc>
        <w:tc>
          <w:tcPr>
            <w:tcW w:type="dxa" w:w="665"/>
            <w:shd w:fill="E8F0FE"/>
          </w:tcPr>
          <w:p>
            <w:pPr>
              <w:spacing w:before="40" w:after="40"/>
            </w:pPr>
            <w:r>
              <w:rPr>
                <w:rFonts w:ascii="Calibri" w:hAnsi="Calibri"/>
                <w:sz w:val="18"/>
              </w:rPr>
              <w:t>10</w:t>
            </w:r>
          </w:p>
        </w:tc>
        <w:tc>
          <w:tcPr>
            <w:tcW w:type="dxa" w:w="665"/>
            <w:shd w:fill="E8F0FE"/>
          </w:tcPr>
          <w:p>
            <w:pPr>
              <w:spacing w:before="40" w:after="40"/>
            </w:pPr>
            <w:r>
              <w:rPr>
                <w:rFonts w:ascii="Calibri" w:hAnsi="Calibri"/>
                <w:sz w:val="18"/>
              </w:rPr>
              <w:t>4</w:t>
            </w:r>
          </w:p>
        </w:tc>
        <w:tc>
          <w:tcPr>
            <w:tcW w:type="dxa" w:w="665"/>
            <w:shd w:fill="E8F0FE"/>
          </w:tcPr>
          <w:p>
            <w:pPr>
              <w:spacing w:before="40" w:after="40"/>
            </w:pPr>
            <w:r>
              <w:rPr>
                <w:rFonts w:ascii="Calibri" w:hAnsi="Calibri"/>
                <w:sz w:val="18"/>
              </w:rPr>
              <w:t>16</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c>
          <w:tcPr>
            <w:tcW w:type="dxa" w:w="665"/>
            <w:shd w:fill="E8F0FE"/>
          </w:tcPr>
          <w:p>
            <w:pPr>
              <w:spacing w:before="40" w:after="40"/>
            </w:pPr>
            <w:r>
              <w:rPr>
                <w:rFonts w:ascii="Calibri" w:hAnsi="Calibri"/>
                <w:sz w:val="18"/>
              </w:rPr>
              <w:t>0</w:t>
            </w:r>
          </w:p>
        </w:tc>
      </w:tr>
      <w:tr>
        <w:tc>
          <w:tcPr>
            <w:tcW w:type="dxa" w:w="665"/>
          </w:tcPr>
          <w:p>
            <w:pPr>
              <w:spacing w:before="40" w:after="40"/>
            </w:pPr>
            <w:r>
              <w:rPr>
                <w:rFonts w:ascii="Calibri" w:hAnsi="Calibri"/>
                <w:b/>
                <w:sz w:val="18"/>
              </w:rPr>
              <w:t>Other Assets+</w:t>
            </w:r>
          </w:p>
        </w:tc>
        <w:tc>
          <w:tcPr>
            <w:tcW w:type="dxa" w:w="665"/>
          </w:tcPr>
          <w:p>
            <w:pPr>
              <w:spacing w:before="40" w:after="40"/>
            </w:pPr>
            <w:r>
              <w:rPr>
                <w:rFonts w:ascii="Calibri" w:hAnsi="Calibri"/>
                <w:sz w:val="18"/>
              </w:rPr>
              <w:t>795</w:t>
            </w:r>
          </w:p>
        </w:tc>
        <w:tc>
          <w:tcPr>
            <w:tcW w:type="dxa" w:w="665"/>
          </w:tcPr>
          <w:p>
            <w:pPr>
              <w:spacing w:before="40" w:after="40"/>
            </w:pPr>
            <w:r>
              <w:rPr>
                <w:rFonts w:ascii="Calibri" w:hAnsi="Calibri"/>
                <w:sz w:val="18"/>
              </w:rPr>
              <w:t>791</w:t>
            </w:r>
          </w:p>
        </w:tc>
        <w:tc>
          <w:tcPr>
            <w:tcW w:type="dxa" w:w="665"/>
          </w:tcPr>
          <w:p>
            <w:pPr>
              <w:spacing w:before="40" w:after="40"/>
            </w:pPr>
            <w:r>
              <w:rPr>
                <w:rFonts w:ascii="Calibri" w:hAnsi="Calibri"/>
                <w:sz w:val="18"/>
              </w:rPr>
              <w:t>730</w:t>
            </w:r>
          </w:p>
        </w:tc>
        <w:tc>
          <w:tcPr>
            <w:tcW w:type="dxa" w:w="665"/>
          </w:tcPr>
          <w:p>
            <w:pPr>
              <w:spacing w:before="40" w:after="40"/>
            </w:pPr>
            <w:r>
              <w:rPr>
                <w:rFonts w:ascii="Calibri" w:hAnsi="Calibri"/>
                <w:sz w:val="18"/>
              </w:rPr>
              <w:t>977</w:t>
            </w:r>
          </w:p>
        </w:tc>
        <w:tc>
          <w:tcPr>
            <w:tcW w:type="dxa" w:w="665"/>
          </w:tcPr>
          <w:p>
            <w:pPr>
              <w:spacing w:before="40" w:after="40"/>
            </w:pPr>
            <w:r>
              <w:rPr>
                <w:rFonts w:ascii="Calibri" w:hAnsi="Calibri"/>
                <w:sz w:val="18"/>
              </w:rPr>
              <w:t>698</w:t>
            </w:r>
          </w:p>
        </w:tc>
        <w:tc>
          <w:tcPr>
            <w:tcW w:type="dxa" w:w="665"/>
          </w:tcPr>
          <w:p>
            <w:pPr>
              <w:spacing w:before="40" w:after="40"/>
            </w:pPr>
            <w:r>
              <w:rPr>
                <w:rFonts w:ascii="Calibri" w:hAnsi="Calibri"/>
                <w:sz w:val="18"/>
              </w:rPr>
              <w:t>773</w:t>
            </w:r>
          </w:p>
        </w:tc>
        <w:tc>
          <w:tcPr>
            <w:tcW w:type="dxa" w:w="665"/>
          </w:tcPr>
          <w:p>
            <w:pPr>
              <w:spacing w:before="40" w:after="40"/>
            </w:pPr>
            <w:r>
              <w:rPr>
                <w:rFonts w:ascii="Calibri" w:hAnsi="Calibri"/>
                <w:sz w:val="18"/>
              </w:rPr>
              <w:t>1,012</w:t>
            </w:r>
          </w:p>
        </w:tc>
        <w:tc>
          <w:tcPr>
            <w:tcW w:type="dxa" w:w="665"/>
          </w:tcPr>
          <w:p>
            <w:pPr>
              <w:spacing w:before="40" w:after="40"/>
            </w:pPr>
            <w:r>
              <w:rPr>
                <w:rFonts w:ascii="Calibri" w:hAnsi="Calibri"/>
                <w:sz w:val="18"/>
              </w:rPr>
              <w:t>1,368</w:t>
            </w:r>
          </w:p>
        </w:tc>
        <w:tc>
          <w:tcPr>
            <w:tcW w:type="dxa" w:w="665"/>
          </w:tcPr>
          <w:p>
            <w:pPr>
              <w:spacing w:before="40" w:after="40"/>
            </w:pPr>
            <w:r>
              <w:rPr>
                <w:rFonts w:ascii="Calibri" w:hAnsi="Calibri"/>
                <w:sz w:val="18"/>
              </w:rPr>
              <w:t>1,605</w:t>
            </w:r>
          </w:p>
        </w:tc>
        <w:tc>
          <w:tcPr>
            <w:tcW w:type="dxa" w:w="665"/>
          </w:tcPr>
          <w:p>
            <w:pPr>
              <w:spacing w:before="40" w:after="40"/>
            </w:pPr>
            <w:r>
              <w:rPr>
                <w:rFonts w:ascii="Calibri" w:hAnsi="Calibri"/>
                <w:sz w:val="18"/>
              </w:rPr>
              <w:t>1,584</w:t>
            </w:r>
          </w:p>
        </w:tc>
        <w:tc>
          <w:tcPr>
            <w:tcW w:type="dxa" w:w="665"/>
          </w:tcPr>
          <w:p>
            <w:pPr>
              <w:spacing w:before="40" w:after="40"/>
            </w:pPr>
            <w:r>
              <w:rPr>
                <w:rFonts w:ascii="Calibri" w:hAnsi="Calibri"/>
                <w:sz w:val="18"/>
              </w:rPr>
              <w:t>1,636</w:t>
            </w:r>
          </w:p>
        </w:tc>
        <w:tc>
          <w:tcPr>
            <w:tcW w:type="dxa" w:w="665"/>
          </w:tcPr>
          <w:p>
            <w:pPr>
              <w:spacing w:before="40" w:after="40"/>
            </w:pPr>
            <w:r>
              <w:rPr>
                <w:rFonts w:ascii="Calibri" w:hAnsi="Calibri"/>
                <w:sz w:val="18"/>
              </w:rPr>
              <w:t>1,970</w:t>
            </w:r>
          </w:p>
        </w:tc>
      </w:tr>
      <w:tr>
        <w:tc>
          <w:tcPr>
            <w:tcW w:type="dxa" w:w="665"/>
            <w:shd w:fill="E8F0FE"/>
          </w:tcPr>
          <w:p>
            <w:pPr>
              <w:spacing w:before="40" w:after="40"/>
            </w:pPr>
            <w:r>
              <w:rPr>
                <w:rFonts w:ascii="Calibri" w:hAnsi="Calibri"/>
                <w:b/>
                <w:sz w:val="18"/>
              </w:rPr>
              <w:t>Total Assets</w:t>
            </w:r>
          </w:p>
        </w:tc>
        <w:tc>
          <w:tcPr>
            <w:tcW w:type="dxa" w:w="665"/>
            <w:shd w:fill="E8F0FE"/>
          </w:tcPr>
          <w:p>
            <w:pPr>
              <w:spacing w:before="40" w:after="40"/>
            </w:pPr>
            <w:r>
              <w:rPr>
                <w:rFonts w:ascii="Calibri" w:hAnsi="Calibri"/>
                <w:sz w:val="18"/>
              </w:rPr>
              <w:t>2,187</w:t>
            </w:r>
          </w:p>
        </w:tc>
        <w:tc>
          <w:tcPr>
            <w:tcW w:type="dxa" w:w="665"/>
            <w:shd w:fill="E8F0FE"/>
          </w:tcPr>
          <w:p>
            <w:pPr>
              <w:spacing w:before="40" w:after="40"/>
            </w:pPr>
            <w:r>
              <w:rPr>
                <w:rFonts w:ascii="Calibri" w:hAnsi="Calibri"/>
                <w:sz w:val="18"/>
              </w:rPr>
              <w:t>2,069</w:t>
            </w:r>
          </w:p>
        </w:tc>
        <w:tc>
          <w:tcPr>
            <w:tcW w:type="dxa" w:w="665"/>
            <w:shd w:fill="E8F0FE"/>
          </w:tcPr>
          <w:p>
            <w:pPr>
              <w:spacing w:before="40" w:after="40"/>
            </w:pPr>
            <w:r>
              <w:rPr>
                <w:rFonts w:ascii="Calibri" w:hAnsi="Calibri"/>
                <w:sz w:val="18"/>
              </w:rPr>
              <w:t>1,886</w:t>
            </w:r>
          </w:p>
        </w:tc>
        <w:tc>
          <w:tcPr>
            <w:tcW w:type="dxa" w:w="665"/>
            <w:shd w:fill="E8F0FE"/>
          </w:tcPr>
          <w:p>
            <w:pPr>
              <w:spacing w:before="40" w:after="40"/>
            </w:pPr>
            <w:r>
              <w:rPr>
                <w:rFonts w:ascii="Calibri" w:hAnsi="Calibri"/>
                <w:sz w:val="18"/>
              </w:rPr>
              <w:t>1,929</w:t>
            </w:r>
          </w:p>
        </w:tc>
        <w:tc>
          <w:tcPr>
            <w:tcW w:type="dxa" w:w="665"/>
            <w:shd w:fill="E8F0FE"/>
          </w:tcPr>
          <w:p>
            <w:pPr>
              <w:spacing w:before="40" w:after="40"/>
            </w:pPr>
            <w:r>
              <w:rPr>
                <w:rFonts w:ascii="Calibri" w:hAnsi="Calibri"/>
                <w:sz w:val="18"/>
              </w:rPr>
              <w:t>1,608</w:t>
            </w:r>
          </w:p>
        </w:tc>
        <w:tc>
          <w:tcPr>
            <w:tcW w:type="dxa" w:w="665"/>
            <w:shd w:fill="E8F0FE"/>
          </w:tcPr>
          <w:p>
            <w:pPr>
              <w:spacing w:before="40" w:after="40"/>
            </w:pPr>
            <w:r>
              <w:rPr>
                <w:rFonts w:ascii="Calibri" w:hAnsi="Calibri"/>
                <w:sz w:val="18"/>
              </w:rPr>
              <w:t>1,483</w:t>
            </w:r>
          </w:p>
        </w:tc>
        <w:tc>
          <w:tcPr>
            <w:tcW w:type="dxa" w:w="665"/>
            <w:shd w:fill="E8F0FE"/>
          </w:tcPr>
          <w:p>
            <w:pPr>
              <w:spacing w:before="40" w:after="40"/>
            </w:pPr>
            <w:r>
              <w:rPr>
                <w:rFonts w:ascii="Calibri" w:hAnsi="Calibri"/>
                <w:sz w:val="18"/>
              </w:rPr>
              <w:t>1,711</w:t>
            </w:r>
          </w:p>
        </w:tc>
        <w:tc>
          <w:tcPr>
            <w:tcW w:type="dxa" w:w="665"/>
            <w:shd w:fill="E8F0FE"/>
          </w:tcPr>
          <w:p>
            <w:pPr>
              <w:spacing w:before="40" w:after="40"/>
            </w:pPr>
            <w:r>
              <w:rPr>
                <w:rFonts w:ascii="Calibri" w:hAnsi="Calibri"/>
                <w:sz w:val="18"/>
              </w:rPr>
              <w:t>2,105</w:t>
            </w:r>
          </w:p>
        </w:tc>
        <w:tc>
          <w:tcPr>
            <w:tcW w:type="dxa" w:w="665"/>
            <w:shd w:fill="E8F0FE"/>
          </w:tcPr>
          <w:p>
            <w:pPr>
              <w:spacing w:before="40" w:after="40"/>
            </w:pPr>
            <w:r>
              <w:rPr>
                <w:rFonts w:ascii="Calibri" w:hAnsi="Calibri"/>
                <w:sz w:val="18"/>
              </w:rPr>
              <w:t>2,713</w:t>
            </w:r>
          </w:p>
        </w:tc>
        <w:tc>
          <w:tcPr>
            <w:tcW w:type="dxa" w:w="665"/>
            <w:shd w:fill="E8F0FE"/>
          </w:tcPr>
          <w:p>
            <w:pPr>
              <w:spacing w:before="40" w:after="40"/>
            </w:pPr>
            <w:r>
              <w:rPr>
                <w:rFonts w:ascii="Calibri" w:hAnsi="Calibri"/>
                <w:sz w:val="18"/>
              </w:rPr>
              <w:t>2,907</w:t>
            </w:r>
          </w:p>
        </w:tc>
        <w:tc>
          <w:tcPr>
            <w:tcW w:type="dxa" w:w="665"/>
            <w:shd w:fill="E8F0FE"/>
          </w:tcPr>
          <w:p>
            <w:pPr>
              <w:spacing w:before="40" w:after="40"/>
            </w:pPr>
            <w:r>
              <w:rPr>
                <w:rFonts w:ascii="Calibri" w:hAnsi="Calibri"/>
                <w:sz w:val="18"/>
              </w:rPr>
              <w:t>2,936</w:t>
            </w:r>
          </w:p>
        </w:tc>
        <w:tc>
          <w:tcPr>
            <w:tcW w:type="dxa" w:w="665"/>
            <w:shd w:fill="E8F0FE"/>
          </w:tcPr>
          <w:p>
            <w:pPr>
              <w:spacing w:before="40" w:after="40"/>
            </w:pPr>
            <w:r>
              <w:rPr>
                <w:rFonts w:ascii="Calibri" w:hAnsi="Calibri"/>
                <w:sz w:val="18"/>
              </w:rPr>
              <w:t>3,244</w:t>
            </w:r>
          </w:p>
        </w:tc>
      </w:tr>
    </w:tbl>
    <w:p/>
    <w:p>
      <w:pPr>
        <w:pStyle w:val="Heading2"/>
      </w:pPr>
      <w:r>
        <w:rPr>
          <w:rFonts w:ascii="Calibri" w:hAnsi="Calibri"/>
          <w:color w:val="1F5F8B"/>
          <w:sz w:val="26"/>
        </w:rPr>
        <w:t>3.3 Consolidated Cash Flow Statement (Rs. in Crores)</w:t>
      </w:r>
    </w:p>
    <w:p>
      <w:pPr>
        <w:spacing w:after="80"/>
      </w:pPr>
      <w:r>
        <w:rPr>
          <w:rFonts w:ascii="Calibri" w:hAnsi="Calibri"/>
          <w:color w:val="333333"/>
          <w:sz w:val="20"/>
        </w:rPr>
        <w:t>(Source: Screener.in)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65"/>
        <w:gridCol w:w="665"/>
        <w:gridCol w:w="665"/>
        <w:gridCol w:w="665"/>
        <w:gridCol w:w="665"/>
        <w:gridCol w:w="665"/>
        <w:gridCol w:w="665"/>
        <w:gridCol w:w="665"/>
        <w:gridCol w:w="665"/>
        <w:gridCol w:w="665"/>
        <w:gridCol w:w="665"/>
        <w:gridCol w:w="665"/>
        <w:gridCol w:w="665"/>
      </w:tblGrid>
      <w:tr>
        <w:tc>
          <w:tcPr>
            <w:tcW w:type="dxa" w:w="665"/>
            <w:shd w:fill="1F5F8B"/>
          </w:tcPr>
          <w:p>
            <w:pPr>
              <w:spacing w:before="40" w:after="40"/>
            </w:pPr>
            <w:r>
              <w:rPr>
                <w:rFonts w:ascii="Calibri" w:hAnsi="Calibri"/>
                <w:b/>
                <w:color w:val="FFFFFF"/>
                <w:sz w:val="18"/>
              </w:rPr>
            </w:r>
          </w:p>
        </w:tc>
        <w:tc>
          <w:tcPr>
            <w:tcW w:type="dxa" w:w="665"/>
            <w:shd w:fill="1F5F8B"/>
          </w:tcPr>
          <w:p>
            <w:pPr>
              <w:spacing w:before="40" w:after="40"/>
            </w:pPr>
            <w:r>
              <w:rPr>
                <w:rFonts w:ascii="Calibri" w:hAnsi="Calibri"/>
                <w:b/>
                <w:color w:val="FFFFFF"/>
                <w:sz w:val="18"/>
              </w:rPr>
              <w:t>Mar 2013</w:t>
            </w:r>
          </w:p>
        </w:tc>
        <w:tc>
          <w:tcPr>
            <w:tcW w:type="dxa" w:w="665"/>
            <w:shd w:fill="1F5F8B"/>
          </w:tcPr>
          <w:p>
            <w:pPr>
              <w:spacing w:before="40" w:after="40"/>
            </w:pPr>
            <w:r>
              <w:rPr>
                <w:rFonts w:ascii="Calibri" w:hAnsi="Calibri"/>
                <w:b/>
                <w:color w:val="FFFFFF"/>
                <w:sz w:val="18"/>
              </w:rPr>
              <w:t>Mar 2014</w:t>
            </w:r>
          </w:p>
        </w:tc>
        <w:tc>
          <w:tcPr>
            <w:tcW w:type="dxa" w:w="665"/>
            <w:shd w:fill="1F5F8B"/>
          </w:tcPr>
          <w:p>
            <w:pPr>
              <w:spacing w:before="40" w:after="40"/>
            </w:pPr>
            <w:r>
              <w:rPr>
                <w:rFonts w:ascii="Calibri" w:hAnsi="Calibri"/>
                <w:b/>
                <w:color w:val="FFFFFF"/>
                <w:sz w:val="18"/>
              </w:rPr>
              <w:t>Mar 2015</w:t>
            </w:r>
          </w:p>
        </w:tc>
        <w:tc>
          <w:tcPr>
            <w:tcW w:type="dxa" w:w="665"/>
            <w:shd w:fill="1F5F8B"/>
          </w:tcPr>
          <w:p>
            <w:pPr>
              <w:spacing w:before="40" w:after="40"/>
            </w:pPr>
            <w:r>
              <w:rPr>
                <w:rFonts w:ascii="Calibri" w:hAnsi="Calibri"/>
                <w:b/>
                <w:color w:val="FFFFFF"/>
                <w:sz w:val="18"/>
              </w:rPr>
              <w:t>Mar 2016</w:t>
            </w:r>
          </w:p>
        </w:tc>
        <w:tc>
          <w:tcPr>
            <w:tcW w:type="dxa" w:w="665"/>
            <w:shd w:fill="1F5F8B"/>
          </w:tcPr>
          <w:p>
            <w:pPr>
              <w:spacing w:before="40" w:after="40"/>
            </w:pPr>
            <w:r>
              <w:rPr>
                <w:rFonts w:ascii="Calibri" w:hAnsi="Calibri"/>
                <w:b/>
                <w:color w:val="FFFFFF"/>
                <w:sz w:val="18"/>
              </w:rPr>
              <w:t>Mar 2017</w:t>
            </w:r>
          </w:p>
        </w:tc>
        <w:tc>
          <w:tcPr>
            <w:tcW w:type="dxa" w:w="665"/>
            <w:shd w:fill="1F5F8B"/>
          </w:tcPr>
          <w:p>
            <w:pPr>
              <w:spacing w:before="40" w:after="40"/>
            </w:pPr>
            <w:r>
              <w:rPr>
                <w:rFonts w:ascii="Calibri" w:hAnsi="Calibri"/>
                <w:b/>
                <w:color w:val="FFFFFF"/>
                <w:sz w:val="18"/>
              </w:rPr>
              <w:t>Mar 2020</w:t>
            </w:r>
          </w:p>
        </w:tc>
        <w:tc>
          <w:tcPr>
            <w:tcW w:type="dxa" w:w="665"/>
            <w:shd w:fill="1F5F8B"/>
          </w:tcPr>
          <w:p>
            <w:pPr>
              <w:spacing w:before="40" w:after="40"/>
            </w:pPr>
            <w:r>
              <w:rPr>
                <w:rFonts w:ascii="Calibri" w:hAnsi="Calibri"/>
                <w:b/>
                <w:color w:val="FFFFFF"/>
                <w:sz w:val="18"/>
              </w:rPr>
              <w:t>Mar 2021</w:t>
            </w:r>
          </w:p>
        </w:tc>
        <w:tc>
          <w:tcPr>
            <w:tcW w:type="dxa" w:w="665"/>
            <w:shd w:fill="1F5F8B"/>
          </w:tcPr>
          <w:p>
            <w:pPr>
              <w:spacing w:before="40" w:after="40"/>
            </w:pPr>
            <w:r>
              <w:rPr>
                <w:rFonts w:ascii="Calibri" w:hAnsi="Calibri"/>
                <w:b/>
                <w:color w:val="FFFFFF"/>
                <w:sz w:val="18"/>
              </w:rPr>
              <w:t>Mar 2022</w:t>
            </w:r>
          </w:p>
        </w:tc>
        <w:tc>
          <w:tcPr>
            <w:tcW w:type="dxa" w:w="665"/>
            <w:shd w:fill="1F5F8B"/>
          </w:tcPr>
          <w:p>
            <w:pPr>
              <w:spacing w:before="40" w:after="40"/>
            </w:pPr>
            <w:r>
              <w:rPr>
                <w:rFonts w:ascii="Calibri" w:hAnsi="Calibri"/>
                <w:b/>
                <w:color w:val="FFFFFF"/>
                <w:sz w:val="18"/>
              </w:rPr>
              <w:t>Mar 2023</w:t>
            </w:r>
          </w:p>
        </w:tc>
        <w:tc>
          <w:tcPr>
            <w:tcW w:type="dxa" w:w="665"/>
            <w:shd w:fill="1F5F8B"/>
          </w:tcPr>
          <w:p>
            <w:pPr>
              <w:spacing w:before="40" w:after="40"/>
            </w:pPr>
            <w:r>
              <w:rPr>
                <w:rFonts w:ascii="Calibri" w:hAnsi="Calibri"/>
                <w:b/>
                <w:color w:val="FFFFFF"/>
                <w:sz w:val="18"/>
              </w:rPr>
              <w:t>Mar 2024</w:t>
            </w:r>
          </w:p>
        </w:tc>
        <w:tc>
          <w:tcPr>
            <w:tcW w:type="dxa" w:w="665"/>
            <w:shd w:fill="1F5F8B"/>
          </w:tcPr>
          <w:p>
            <w:pPr>
              <w:spacing w:before="40" w:after="40"/>
            </w:pPr>
            <w:r>
              <w:rPr>
                <w:rFonts w:ascii="Calibri" w:hAnsi="Calibri"/>
                <w:b/>
                <w:color w:val="FFFFFF"/>
                <w:sz w:val="18"/>
              </w:rPr>
              <w:t>Mar 2025</w:t>
            </w:r>
          </w:p>
        </w:tc>
        <w:tc>
          <w:tcPr>
            <w:tcW w:type="dxa" w:w="665"/>
            <w:shd w:fill="1F5F8B"/>
          </w:tcPr>
          <w:p>
            <w:pPr>
              <w:spacing w:before="40" w:after="40"/>
            </w:pPr>
            <w:r>
              <w:rPr>
                <w:rFonts w:ascii="Calibri" w:hAnsi="Calibri"/>
                <w:b/>
                <w:color w:val="FFFFFF"/>
                <w:sz w:val="18"/>
              </w:rPr>
              <w:t>Mar 2026</w:t>
            </w:r>
          </w:p>
        </w:tc>
      </w:tr>
      <w:tr>
        <w:tc>
          <w:tcPr>
            <w:tcW w:type="dxa" w:w="665"/>
          </w:tcPr>
          <w:p>
            <w:pPr>
              <w:spacing w:before="40" w:after="40"/>
            </w:pPr>
            <w:r>
              <w:rPr>
                <w:rFonts w:ascii="Calibri" w:hAnsi="Calibri"/>
                <w:b/>
                <w:sz w:val="18"/>
              </w:rPr>
              <w:t>Cash from Operating Activity+</w:t>
            </w:r>
          </w:p>
        </w:tc>
        <w:tc>
          <w:tcPr>
            <w:tcW w:type="dxa" w:w="665"/>
          </w:tcPr>
          <w:p>
            <w:pPr>
              <w:spacing w:before="40" w:after="40"/>
            </w:pPr>
            <w:r>
              <w:rPr>
                <w:rFonts w:ascii="Calibri" w:hAnsi="Calibri"/>
                <w:sz w:val="18"/>
              </w:rPr>
              <w:t>-28</w:t>
            </w:r>
          </w:p>
        </w:tc>
        <w:tc>
          <w:tcPr>
            <w:tcW w:type="dxa" w:w="665"/>
          </w:tcPr>
          <w:p>
            <w:pPr>
              <w:spacing w:before="40" w:after="40"/>
            </w:pPr>
            <w:r>
              <w:rPr>
                <w:rFonts w:ascii="Calibri" w:hAnsi="Calibri"/>
                <w:sz w:val="18"/>
              </w:rPr>
              <w:t>-89</w:t>
            </w:r>
          </w:p>
        </w:tc>
        <w:tc>
          <w:tcPr>
            <w:tcW w:type="dxa" w:w="665"/>
          </w:tcPr>
          <w:p>
            <w:pPr>
              <w:spacing w:before="40" w:after="40"/>
            </w:pPr>
            <w:r>
              <w:rPr>
                <w:rFonts w:ascii="Calibri" w:hAnsi="Calibri"/>
                <w:sz w:val="18"/>
              </w:rPr>
              <w:t>221</w:t>
            </w:r>
          </w:p>
        </w:tc>
        <w:tc>
          <w:tcPr>
            <w:tcW w:type="dxa" w:w="665"/>
          </w:tcPr>
          <w:p>
            <w:pPr>
              <w:spacing w:before="40" w:after="40"/>
            </w:pPr>
            <w:r>
              <w:rPr>
                <w:rFonts w:ascii="Calibri" w:hAnsi="Calibri"/>
                <w:sz w:val="18"/>
              </w:rPr>
              <w:t>127</w:t>
            </w:r>
          </w:p>
        </w:tc>
        <w:tc>
          <w:tcPr>
            <w:tcW w:type="dxa" w:w="665"/>
          </w:tcPr>
          <w:p>
            <w:pPr>
              <w:spacing w:before="40" w:after="40"/>
            </w:pPr>
            <w:r>
              <w:rPr>
                <w:rFonts w:ascii="Calibri" w:hAnsi="Calibri"/>
                <w:sz w:val="18"/>
              </w:rPr>
              <w:t>39</w:t>
            </w:r>
          </w:p>
        </w:tc>
        <w:tc>
          <w:tcPr>
            <w:tcW w:type="dxa" w:w="665"/>
          </w:tcPr>
          <w:p>
            <w:pPr>
              <w:spacing w:before="40" w:after="40"/>
            </w:pPr>
            <w:r>
              <w:rPr>
                <w:rFonts w:ascii="Calibri" w:hAnsi="Calibri"/>
                <w:sz w:val="18"/>
              </w:rPr>
              <w:t>-119</w:t>
            </w:r>
          </w:p>
        </w:tc>
        <w:tc>
          <w:tcPr>
            <w:tcW w:type="dxa" w:w="665"/>
          </w:tcPr>
          <w:p>
            <w:pPr>
              <w:spacing w:before="40" w:after="40"/>
            </w:pPr>
            <w:r>
              <w:rPr>
                <w:rFonts w:ascii="Calibri" w:hAnsi="Calibri"/>
                <w:sz w:val="18"/>
              </w:rPr>
              <w:t>182</w:t>
            </w:r>
          </w:p>
        </w:tc>
        <w:tc>
          <w:tcPr>
            <w:tcW w:type="dxa" w:w="665"/>
          </w:tcPr>
          <w:p>
            <w:pPr>
              <w:spacing w:before="40" w:after="40"/>
            </w:pPr>
            <w:r>
              <w:rPr>
                <w:rFonts w:ascii="Calibri" w:hAnsi="Calibri"/>
                <w:sz w:val="18"/>
              </w:rPr>
              <w:t>200</w:t>
            </w:r>
          </w:p>
        </w:tc>
        <w:tc>
          <w:tcPr>
            <w:tcW w:type="dxa" w:w="665"/>
          </w:tcPr>
          <w:p>
            <w:pPr>
              <w:spacing w:before="40" w:after="40"/>
            </w:pPr>
            <w:r>
              <w:rPr>
                <w:rFonts w:ascii="Calibri" w:hAnsi="Calibri"/>
                <w:sz w:val="18"/>
              </w:rPr>
              <w:t>-81</w:t>
            </w:r>
          </w:p>
        </w:tc>
        <w:tc>
          <w:tcPr>
            <w:tcW w:type="dxa" w:w="665"/>
          </w:tcPr>
          <w:p>
            <w:pPr>
              <w:spacing w:before="40" w:after="40"/>
            </w:pPr>
            <w:r>
              <w:rPr>
                <w:rFonts w:ascii="Calibri" w:hAnsi="Calibri"/>
                <w:sz w:val="18"/>
              </w:rPr>
              <w:t>-97</w:t>
            </w:r>
          </w:p>
        </w:tc>
        <w:tc>
          <w:tcPr>
            <w:tcW w:type="dxa" w:w="665"/>
          </w:tcPr>
          <w:p>
            <w:pPr>
              <w:spacing w:before="40" w:after="40"/>
            </w:pPr>
            <w:r>
              <w:rPr>
                <w:rFonts w:ascii="Calibri" w:hAnsi="Calibri"/>
                <w:sz w:val="18"/>
              </w:rPr>
              <w:t>391</w:t>
            </w:r>
          </w:p>
        </w:tc>
        <w:tc>
          <w:tcPr>
            <w:tcW w:type="dxa" w:w="665"/>
          </w:tcPr>
          <w:p>
            <w:pPr>
              <w:spacing w:before="40" w:after="40"/>
            </w:pPr>
            <w:r>
              <w:rPr>
                <w:rFonts w:ascii="Calibri" w:hAnsi="Calibri"/>
                <w:sz w:val="18"/>
              </w:rPr>
            </w:r>
          </w:p>
        </w:tc>
      </w:tr>
      <w:tr>
        <w:tc>
          <w:tcPr>
            <w:tcW w:type="dxa" w:w="665"/>
            <w:shd w:fill="E8F0FE"/>
          </w:tcPr>
          <w:p>
            <w:pPr>
              <w:spacing w:before="40" w:after="40"/>
            </w:pPr>
            <w:r>
              <w:rPr>
                <w:rFonts w:ascii="Calibri" w:hAnsi="Calibri"/>
                <w:b/>
                <w:sz w:val="18"/>
              </w:rPr>
              <w:t>Cash from Investing Activity+</w:t>
            </w:r>
          </w:p>
        </w:tc>
        <w:tc>
          <w:tcPr>
            <w:tcW w:type="dxa" w:w="665"/>
            <w:shd w:fill="E8F0FE"/>
          </w:tcPr>
          <w:p>
            <w:pPr>
              <w:spacing w:before="40" w:after="40"/>
            </w:pPr>
            <w:r>
              <w:rPr>
                <w:rFonts w:ascii="Calibri" w:hAnsi="Calibri"/>
                <w:sz w:val="18"/>
              </w:rPr>
              <w:t>-34</w:t>
            </w:r>
          </w:p>
        </w:tc>
        <w:tc>
          <w:tcPr>
            <w:tcW w:type="dxa" w:w="665"/>
            <w:shd w:fill="E8F0FE"/>
          </w:tcPr>
          <w:p>
            <w:pPr>
              <w:spacing w:before="40" w:after="40"/>
            </w:pPr>
            <w:r>
              <w:rPr>
                <w:rFonts w:ascii="Calibri" w:hAnsi="Calibri"/>
                <w:sz w:val="18"/>
              </w:rPr>
              <w:t>207</w:t>
            </w:r>
          </w:p>
        </w:tc>
        <w:tc>
          <w:tcPr>
            <w:tcW w:type="dxa" w:w="665"/>
            <w:shd w:fill="E8F0FE"/>
          </w:tcPr>
          <w:p>
            <w:pPr>
              <w:spacing w:before="40" w:after="40"/>
            </w:pPr>
            <w:r>
              <w:rPr>
                <w:rFonts w:ascii="Calibri" w:hAnsi="Calibri"/>
                <w:sz w:val="18"/>
              </w:rPr>
              <w:t>-3</w:t>
            </w:r>
          </w:p>
        </w:tc>
        <w:tc>
          <w:tcPr>
            <w:tcW w:type="dxa" w:w="665"/>
            <w:shd w:fill="E8F0FE"/>
          </w:tcPr>
          <w:p>
            <w:pPr>
              <w:spacing w:before="40" w:after="40"/>
            </w:pPr>
            <w:r>
              <w:rPr>
                <w:rFonts w:ascii="Calibri" w:hAnsi="Calibri"/>
                <w:sz w:val="18"/>
              </w:rPr>
              <w:t>-33</w:t>
            </w:r>
          </w:p>
        </w:tc>
        <w:tc>
          <w:tcPr>
            <w:tcW w:type="dxa" w:w="665"/>
            <w:shd w:fill="E8F0FE"/>
          </w:tcPr>
          <w:p>
            <w:pPr>
              <w:spacing w:before="40" w:after="40"/>
            </w:pPr>
            <w:r>
              <w:rPr>
                <w:rFonts w:ascii="Calibri" w:hAnsi="Calibri"/>
                <w:sz w:val="18"/>
              </w:rPr>
              <w:t>53</w:t>
            </w:r>
          </w:p>
        </w:tc>
        <w:tc>
          <w:tcPr>
            <w:tcW w:type="dxa" w:w="665"/>
            <w:shd w:fill="E8F0FE"/>
          </w:tcPr>
          <w:p>
            <w:pPr>
              <w:spacing w:before="40" w:after="40"/>
            </w:pPr>
            <w:r>
              <w:rPr>
                <w:rFonts w:ascii="Calibri" w:hAnsi="Calibri"/>
                <w:sz w:val="18"/>
              </w:rPr>
              <w:t>40</w:t>
            </w:r>
          </w:p>
        </w:tc>
        <w:tc>
          <w:tcPr>
            <w:tcW w:type="dxa" w:w="665"/>
            <w:shd w:fill="E8F0FE"/>
          </w:tcPr>
          <w:p>
            <w:pPr>
              <w:spacing w:before="40" w:after="40"/>
            </w:pPr>
            <w:r>
              <w:rPr>
                <w:rFonts w:ascii="Calibri" w:hAnsi="Calibri"/>
                <w:sz w:val="18"/>
              </w:rPr>
              <w:t>-18</w:t>
            </w:r>
          </w:p>
        </w:tc>
        <w:tc>
          <w:tcPr>
            <w:tcW w:type="dxa" w:w="665"/>
            <w:shd w:fill="E8F0FE"/>
          </w:tcPr>
          <w:p>
            <w:pPr>
              <w:spacing w:before="40" w:after="40"/>
            </w:pPr>
            <w:r>
              <w:rPr>
                <w:rFonts w:ascii="Calibri" w:hAnsi="Calibri"/>
                <w:sz w:val="18"/>
              </w:rPr>
              <w:t>-75</w:t>
            </w:r>
          </w:p>
        </w:tc>
        <w:tc>
          <w:tcPr>
            <w:tcW w:type="dxa" w:w="665"/>
            <w:shd w:fill="E8F0FE"/>
          </w:tcPr>
          <w:p>
            <w:pPr>
              <w:spacing w:before="40" w:after="40"/>
            </w:pPr>
            <w:r>
              <w:rPr>
                <w:rFonts w:ascii="Calibri" w:hAnsi="Calibri"/>
                <w:sz w:val="18"/>
              </w:rPr>
              <w:t>-348</w:t>
            </w:r>
          </w:p>
        </w:tc>
        <w:tc>
          <w:tcPr>
            <w:tcW w:type="dxa" w:w="665"/>
            <w:shd w:fill="E8F0FE"/>
          </w:tcPr>
          <w:p>
            <w:pPr>
              <w:spacing w:before="40" w:after="40"/>
            </w:pPr>
            <w:r>
              <w:rPr>
                <w:rFonts w:ascii="Calibri" w:hAnsi="Calibri"/>
                <w:sz w:val="18"/>
              </w:rPr>
              <w:t>-258</w:t>
            </w:r>
          </w:p>
        </w:tc>
        <w:tc>
          <w:tcPr>
            <w:tcW w:type="dxa" w:w="665"/>
            <w:shd w:fill="E8F0FE"/>
          </w:tcPr>
          <w:p>
            <w:pPr>
              <w:spacing w:before="40" w:after="40"/>
            </w:pPr>
            <w:r>
              <w:rPr>
                <w:rFonts w:ascii="Calibri" w:hAnsi="Calibri"/>
                <w:sz w:val="18"/>
              </w:rPr>
              <w:t>-36</w:t>
            </w:r>
          </w:p>
        </w:tc>
        <w:tc>
          <w:tcPr>
            <w:tcW w:type="dxa" w:w="665"/>
            <w:shd w:fill="E8F0FE"/>
          </w:tcPr>
          <w:p>
            <w:pPr>
              <w:spacing w:before="40" w:after="40"/>
            </w:pPr>
            <w:r>
              <w:rPr>
                <w:rFonts w:ascii="Calibri" w:hAnsi="Calibri"/>
                <w:sz w:val="18"/>
              </w:rPr>
            </w:r>
          </w:p>
        </w:tc>
      </w:tr>
      <w:tr>
        <w:tc>
          <w:tcPr>
            <w:tcW w:type="dxa" w:w="665"/>
          </w:tcPr>
          <w:p>
            <w:pPr>
              <w:spacing w:before="40" w:after="40"/>
            </w:pPr>
            <w:r>
              <w:rPr>
                <w:rFonts w:ascii="Calibri" w:hAnsi="Calibri"/>
                <w:b/>
                <w:sz w:val="18"/>
              </w:rPr>
              <w:t>Cash from Financing Activity+</w:t>
            </w:r>
          </w:p>
        </w:tc>
        <w:tc>
          <w:tcPr>
            <w:tcW w:type="dxa" w:w="665"/>
          </w:tcPr>
          <w:p>
            <w:pPr>
              <w:spacing w:before="40" w:after="40"/>
            </w:pPr>
            <w:r>
              <w:rPr>
                <w:rFonts w:ascii="Calibri" w:hAnsi="Calibri"/>
                <w:sz w:val="18"/>
              </w:rPr>
              <w:t>65</w:t>
            </w:r>
          </w:p>
        </w:tc>
        <w:tc>
          <w:tcPr>
            <w:tcW w:type="dxa" w:w="665"/>
          </w:tcPr>
          <w:p>
            <w:pPr>
              <w:spacing w:before="40" w:after="40"/>
            </w:pPr>
            <w:r>
              <w:rPr>
                <w:rFonts w:ascii="Calibri" w:hAnsi="Calibri"/>
                <w:sz w:val="18"/>
              </w:rPr>
              <w:t>-115</w:t>
            </w:r>
          </w:p>
        </w:tc>
        <w:tc>
          <w:tcPr>
            <w:tcW w:type="dxa" w:w="665"/>
          </w:tcPr>
          <w:p>
            <w:pPr>
              <w:spacing w:before="40" w:after="40"/>
            </w:pPr>
            <w:r>
              <w:rPr>
                <w:rFonts w:ascii="Calibri" w:hAnsi="Calibri"/>
                <w:sz w:val="18"/>
              </w:rPr>
              <w:t>-208</w:t>
            </w:r>
          </w:p>
        </w:tc>
        <w:tc>
          <w:tcPr>
            <w:tcW w:type="dxa" w:w="665"/>
          </w:tcPr>
          <w:p>
            <w:pPr>
              <w:spacing w:before="40" w:after="40"/>
            </w:pPr>
            <w:r>
              <w:rPr>
                <w:rFonts w:ascii="Calibri" w:hAnsi="Calibri"/>
                <w:sz w:val="18"/>
              </w:rPr>
              <w:t>-111</w:t>
            </w:r>
          </w:p>
        </w:tc>
        <w:tc>
          <w:tcPr>
            <w:tcW w:type="dxa" w:w="665"/>
          </w:tcPr>
          <w:p>
            <w:pPr>
              <w:spacing w:before="40" w:after="40"/>
            </w:pPr>
            <w:r>
              <w:rPr>
                <w:rFonts w:ascii="Calibri" w:hAnsi="Calibri"/>
                <w:sz w:val="18"/>
              </w:rPr>
              <w:t>-93</w:t>
            </w:r>
          </w:p>
        </w:tc>
        <w:tc>
          <w:tcPr>
            <w:tcW w:type="dxa" w:w="665"/>
          </w:tcPr>
          <w:p>
            <w:pPr>
              <w:spacing w:before="40" w:after="40"/>
            </w:pPr>
            <w:r>
              <w:rPr>
                <w:rFonts w:ascii="Calibri" w:hAnsi="Calibri"/>
                <w:sz w:val="18"/>
              </w:rPr>
              <w:t>87</w:t>
            </w:r>
          </w:p>
        </w:tc>
        <w:tc>
          <w:tcPr>
            <w:tcW w:type="dxa" w:w="665"/>
          </w:tcPr>
          <w:p>
            <w:pPr>
              <w:spacing w:before="40" w:after="40"/>
            </w:pPr>
            <w:r>
              <w:rPr>
                <w:rFonts w:ascii="Calibri" w:hAnsi="Calibri"/>
                <w:sz w:val="18"/>
              </w:rPr>
              <w:t>-174</w:t>
            </w:r>
          </w:p>
        </w:tc>
        <w:tc>
          <w:tcPr>
            <w:tcW w:type="dxa" w:w="665"/>
          </w:tcPr>
          <w:p>
            <w:pPr>
              <w:spacing w:before="40" w:after="40"/>
            </w:pPr>
            <w:r>
              <w:rPr>
                <w:rFonts w:ascii="Calibri" w:hAnsi="Calibri"/>
                <w:sz w:val="18"/>
              </w:rPr>
              <w:t>-123</w:t>
            </w:r>
          </w:p>
        </w:tc>
        <w:tc>
          <w:tcPr>
            <w:tcW w:type="dxa" w:w="665"/>
          </w:tcPr>
          <w:p>
            <w:pPr>
              <w:spacing w:before="40" w:after="40"/>
            </w:pPr>
            <w:r>
              <w:rPr>
                <w:rFonts w:ascii="Calibri" w:hAnsi="Calibri"/>
                <w:sz w:val="18"/>
              </w:rPr>
              <w:t>479</w:t>
            </w:r>
          </w:p>
        </w:tc>
        <w:tc>
          <w:tcPr>
            <w:tcW w:type="dxa" w:w="665"/>
          </w:tcPr>
          <w:p>
            <w:pPr>
              <w:spacing w:before="40" w:after="40"/>
            </w:pPr>
            <w:r>
              <w:rPr>
                <w:rFonts w:ascii="Calibri" w:hAnsi="Calibri"/>
                <w:sz w:val="18"/>
              </w:rPr>
              <w:t>322</w:t>
            </w:r>
          </w:p>
        </w:tc>
        <w:tc>
          <w:tcPr>
            <w:tcW w:type="dxa" w:w="665"/>
          </w:tcPr>
          <w:p>
            <w:pPr>
              <w:spacing w:before="40" w:after="40"/>
            </w:pPr>
            <w:r>
              <w:rPr>
                <w:rFonts w:ascii="Calibri" w:hAnsi="Calibri"/>
                <w:sz w:val="18"/>
              </w:rPr>
              <w:t>-354</w:t>
            </w:r>
          </w:p>
        </w:tc>
        <w:tc>
          <w:tcPr>
            <w:tcW w:type="dxa" w:w="665"/>
          </w:tcPr>
          <w:p>
            <w:pPr>
              <w:spacing w:before="40" w:after="40"/>
            </w:pPr>
            <w:r>
              <w:rPr>
                <w:rFonts w:ascii="Calibri" w:hAnsi="Calibri"/>
                <w:sz w:val="18"/>
              </w:rPr>
            </w:r>
          </w:p>
        </w:tc>
      </w:tr>
      <w:tr>
        <w:tc>
          <w:tcPr>
            <w:tcW w:type="dxa" w:w="665"/>
            <w:shd w:fill="E8F0FE"/>
          </w:tcPr>
          <w:p>
            <w:pPr>
              <w:spacing w:before="40" w:after="40"/>
            </w:pPr>
            <w:r>
              <w:rPr>
                <w:rFonts w:ascii="Calibri" w:hAnsi="Calibri"/>
                <w:b/>
                <w:sz w:val="18"/>
              </w:rPr>
              <w:t>Net Cash Flow</w:t>
            </w:r>
          </w:p>
        </w:tc>
        <w:tc>
          <w:tcPr>
            <w:tcW w:type="dxa" w:w="665"/>
            <w:shd w:fill="E8F0FE"/>
          </w:tcPr>
          <w:p>
            <w:pPr>
              <w:spacing w:before="40" w:after="40"/>
            </w:pPr>
            <w:r>
              <w:rPr>
                <w:rFonts w:ascii="Calibri" w:hAnsi="Calibri"/>
                <w:sz w:val="18"/>
              </w:rPr>
              <w:t>3</w:t>
            </w:r>
          </w:p>
        </w:tc>
        <w:tc>
          <w:tcPr>
            <w:tcW w:type="dxa" w:w="665"/>
            <w:shd w:fill="E8F0FE"/>
          </w:tcPr>
          <w:p>
            <w:pPr>
              <w:spacing w:before="40" w:after="40"/>
            </w:pPr>
            <w:r>
              <w:rPr>
                <w:rFonts w:ascii="Calibri" w:hAnsi="Calibri"/>
                <w:sz w:val="18"/>
              </w:rPr>
              <w:t>3</w:t>
            </w:r>
          </w:p>
        </w:tc>
        <w:tc>
          <w:tcPr>
            <w:tcW w:type="dxa" w:w="665"/>
            <w:shd w:fill="E8F0FE"/>
          </w:tcPr>
          <w:p>
            <w:pPr>
              <w:spacing w:before="40" w:after="40"/>
            </w:pPr>
            <w:r>
              <w:rPr>
                <w:rFonts w:ascii="Calibri" w:hAnsi="Calibri"/>
                <w:sz w:val="18"/>
              </w:rPr>
              <w:t>10</w:t>
            </w:r>
          </w:p>
        </w:tc>
        <w:tc>
          <w:tcPr>
            <w:tcW w:type="dxa" w:w="665"/>
            <w:shd w:fill="E8F0FE"/>
          </w:tcPr>
          <w:p>
            <w:pPr>
              <w:spacing w:before="40" w:after="40"/>
            </w:pPr>
            <w:r>
              <w:rPr>
                <w:rFonts w:ascii="Calibri" w:hAnsi="Calibri"/>
                <w:sz w:val="18"/>
              </w:rPr>
              <w:t>-17</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t>8</w:t>
            </w:r>
          </w:p>
        </w:tc>
        <w:tc>
          <w:tcPr>
            <w:tcW w:type="dxa" w:w="665"/>
            <w:shd w:fill="E8F0FE"/>
          </w:tcPr>
          <w:p>
            <w:pPr>
              <w:spacing w:before="40" w:after="40"/>
            </w:pPr>
            <w:r>
              <w:rPr>
                <w:rFonts w:ascii="Calibri" w:hAnsi="Calibri"/>
                <w:sz w:val="18"/>
              </w:rPr>
              <w:t>-9</w:t>
            </w:r>
          </w:p>
        </w:tc>
        <w:tc>
          <w:tcPr>
            <w:tcW w:type="dxa" w:w="665"/>
            <w:shd w:fill="E8F0FE"/>
          </w:tcPr>
          <w:p>
            <w:pPr>
              <w:spacing w:before="40" w:after="40"/>
            </w:pPr>
            <w:r>
              <w:rPr>
                <w:rFonts w:ascii="Calibri" w:hAnsi="Calibri"/>
                <w:sz w:val="18"/>
              </w:rPr>
              <w:t>2</w:t>
            </w:r>
          </w:p>
        </w:tc>
        <w:tc>
          <w:tcPr>
            <w:tcW w:type="dxa" w:w="665"/>
            <w:shd w:fill="E8F0FE"/>
          </w:tcPr>
          <w:p>
            <w:pPr>
              <w:spacing w:before="40" w:after="40"/>
            </w:pPr>
            <w:r>
              <w:rPr>
                <w:rFonts w:ascii="Calibri" w:hAnsi="Calibri"/>
                <w:sz w:val="18"/>
              </w:rPr>
              <w:t>50</w:t>
            </w:r>
          </w:p>
        </w:tc>
        <w:tc>
          <w:tcPr>
            <w:tcW w:type="dxa" w:w="665"/>
            <w:shd w:fill="E8F0FE"/>
          </w:tcPr>
          <w:p>
            <w:pPr>
              <w:spacing w:before="40" w:after="40"/>
            </w:pPr>
            <w:r>
              <w:rPr>
                <w:rFonts w:ascii="Calibri" w:hAnsi="Calibri"/>
                <w:sz w:val="18"/>
              </w:rPr>
              <w:t>-32</w:t>
            </w:r>
          </w:p>
        </w:tc>
        <w:tc>
          <w:tcPr>
            <w:tcW w:type="dxa" w:w="665"/>
            <w:shd w:fill="E8F0FE"/>
          </w:tcPr>
          <w:p>
            <w:pPr>
              <w:spacing w:before="40" w:after="40"/>
            </w:pPr>
            <w:r>
              <w:rPr>
                <w:rFonts w:ascii="Calibri" w:hAnsi="Calibri"/>
                <w:sz w:val="18"/>
              </w:rPr>
              <w:t>1</w:t>
            </w:r>
          </w:p>
        </w:tc>
        <w:tc>
          <w:tcPr>
            <w:tcW w:type="dxa" w:w="665"/>
            <w:shd w:fill="E8F0FE"/>
          </w:tcPr>
          <w:p>
            <w:pPr>
              <w:spacing w:before="40" w:after="40"/>
            </w:pPr>
            <w:r>
              <w:rPr>
                <w:rFonts w:ascii="Calibri" w:hAnsi="Calibri"/>
                <w:sz w:val="18"/>
              </w:rPr>
            </w:r>
          </w:p>
        </w:tc>
      </w:tr>
      <w:tr>
        <w:tc>
          <w:tcPr>
            <w:tcW w:type="dxa" w:w="665"/>
          </w:tcPr>
          <w:p>
            <w:pPr>
              <w:spacing w:before="40" w:after="40"/>
            </w:pPr>
            <w:r>
              <w:rPr>
                <w:rFonts w:ascii="Calibri" w:hAnsi="Calibri"/>
                <w:b/>
                <w:sz w:val="18"/>
              </w:rPr>
              <w:t>Free Cash Flow</w:t>
            </w:r>
          </w:p>
        </w:tc>
        <w:tc>
          <w:tcPr>
            <w:tcW w:type="dxa" w:w="665"/>
          </w:tcPr>
          <w:p>
            <w:pPr>
              <w:spacing w:before="40" w:after="40"/>
            </w:pPr>
            <w:r>
              <w:rPr>
                <w:rFonts w:ascii="Calibri" w:hAnsi="Calibri"/>
                <w:sz w:val="18"/>
              </w:rPr>
              <w:t>-299</w:t>
            </w:r>
          </w:p>
        </w:tc>
        <w:tc>
          <w:tcPr>
            <w:tcW w:type="dxa" w:w="665"/>
          </w:tcPr>
          <w:p>
            <w:pPr>
              <w:spacing w:before="40" w:after="40"/>
            </w:pPr>
            <w:r>
              <w:rPr>
                <w:rFonts w:ascii="Calibri" w:hAnsi="Calibri"/>
                <w:sz w:val="18"/>
              </w:rPr>
              <w:t>-124</w:t>
            </w:r>
          </w:p>
        </w:tc>
        <w:tc>
          <w:tcPr>
            <w:tcW w:type="dxa" w:w="665"/>
          </w:tcPr>
          <w:p>
            <w:pPr>
              <w:spacing w:before="40" w:after="40"/>
            </w:pPr>
            <w:r>
              <w:rPr>
                <w:rFonts w:ascii="Calibri" w:hAnsi="Calibri"/>
                <w:sz w:val="18"/>
              </w:rPr>
              <w:t>219</w:t>
            </w:r>
          </w:p>
        </w:tc>
        <w:tc>
          <w:tcPr>
            <w:tcW w:type="dxa" w:w="665"/>
          </w:tcPr>
          <w:p>
            <w:pPr>
              <w:spacing w:before="40" w:after="40"/>
            </w:pPr>
            <w:r>
              <w:rPr>
                <w:rFonts w:ascii="Calibri" w:hAnsi="Calibri"/>
                <w:sz w:val="18"/>
              </w:rPr>
              <w:t>84</w:t>
            </w:r>
          </w:p>
        </w:tc>
        <w:tc>
          <w:tcPr>
            <w:tcW w:type="dxa" w:w="665"/>
          </w:tcPr>
          <w:p>
            <w:pPr>
              <w:spacing w:before="40" w:after="40"/>
            </w:pPr>
            <w:r>
              <w:rPr>
                <w:rFonts w:ascii="Calibri" w:hAnsi="Calibri"/>
                <w:sz w:val="18"/>
              </w:rPr>
              <w:t>-38</w:t>
            </w:r>
          </w:p>
        </w:tc>
        <w:tc>
          <w:tcPr>
            <w:tcW w:type="dxa" w:w="665"/>
          </w:tcPr>
          <w:p>
            <w:pPr>
              <w:spacing w:before="40" w:after="40"/>
            </w:pPr>
            <w:r>
              <w:rPr>
                <w:rFonts w:ascii="Calibri" w:hAnsi="Calibri"/>
                <w:sz w:val="18"/>
              </w:rPr>
              <w:t>-130</w:t>
            </w:r>
          </w:p>
        </w:tc>
        <w:tc>
          <w:tcPr>
            <w:tcW w:type="dxa" w:w="665"/>
          </w:tcPr>
          <w:p>
            <w:pPr>
              <w:spacing w:before="40" w:after="40"/>
            </w:pPr>
            <w:r>
              <w:rPr>
                <w:rFonts w:ascii="Calibri" w:hAnsi="Calibri"/>
                <w:sz w:val="18"/>
              </w:rPr>
              <w:t>156</w:t>
            </w:r>
          </w:p>
        </w:tc>
        <w:tc>
          <w:tcPr>
            <w:tcW w:type="dxa" w:w="665"/>
          </w:tcPr>
          <w:p>
            <w:pPr>
              <w:spacing w:before="40" w:after="40"/>
            </w:pPr>
            <w:r>
              <w:rPr>
                <w:rFonts w:ascii="Calibri" w:hAnsi="Calibri"/>
                <w:sz w:val="18"/>
              </w:rPr>
              <w:t>120</w:t>
            </w:r>
          </w:p>
        </w:tc>
        <w:tc>
          <w:tcPr>
            <w:tcW w:type="dxa" w:w="665"/>
          </w:tcPr>
          <w:p>
            <w:pPr>
              <w:spacing w:before="40" w:after="40"/>
            </w:pPr>
            <w:r>
              <w:rPr>
                <w:rFonts w:ascii="Calibri" w:hAnsi="Calibri"/>
                <w:sz w:val="18"/>
              </w:rPr>
              <w:t>-441</w:t>
            </w:r>
          </w:p>
        </w:tc>
        <w:tc>
          <w:tcPr>
            <w:tcW w:type="dxa" w:w="665"/>
          </w:tcPr>
          <w:p>
            <w:pPr>
              <w:spacing w:before="40" w:after="40"/>
            </w:pPr>
            <w:r>
              <w:rPr>
                <w:rFonts w:ascii="Calibri" w:hAnsi="Calibri"/>
                <w:sz w:val="18"/>
              </w:rPr>
              <w:t>-357</w:t>
            </w:r>
          </w:p>
        </w:tc>
        <w:tc>
          <w:tcPr>
            <w:tcW w:type="dxa" w:w="665"/>
          </w:tcPr>
          <w:p>
            <w:pPr>
              <w:spacing w:before="40" w:after="40"/>
            </w:pPr>
            <w:r>
              <w:rPr>
                <w:rFonts w:ascii="Calibri" w:hAnsi="Calibri"/>
                <w:sz w:val="18"/>
              </w:rPr>
              <w:t>352</w:t>
            </w:r>
          </w:p>
        </w:tc>
        <w:tc>
          <w:tcPr>
            <w:tcW w:type="dxa" w:w="665"/>
          </w:tcPr>
          <w:p>
            <w:pPr>
              <w:spacing w:before="40" w:after="40"/>
            </w:pPr>
            <w:r>
              <w:rPr>
                <w:rFonts w:ascii="Calibri" w:hAnsi="Calibri"/>
                <w:sz w:val="18"/>
              </w:rPr>
            </w:r>
          </w:p>
        </w:tc>
      </w:tr>
      <w:tr>
        <w:tc>
          <w:tcPr>
            <w:tcW w:type="dxa" w:w="665"/>
            <w:shd w:fill="E8F0FE"/>
          </w:tcPr>
          <w:p>
            <w:pPr>
              <w:spacing w:before="40" w:after="40"/>
            </w:pPr>
            <w:r>
              <w:rPr>
                <w:rFonts w:ascii="Calibri" w:hAnsi="Calibri"/>
                <w:b/>
                <w:sz w:val="18"/>
              </w:rPr>
              <w:t>CFO/OP</w:t>
            </w:r>
          </w:p>
        </w:tc>
        <w:tc>
          <w:tcPr>
            <w:tcW w:type="dxa" w:w="665"/>
            <w:shd w:fill="E8F0FE"/>
          </w:tcPr>
          <w:p>
            <w:pPr>
              <w:spacing w:before="40" w:after="40"/>
            </w:pPr>
            <w:r>
              <w:rPr>
                <w:rFonts w:ascii="Calibri" w:hAnsi="Calibri"/>
                <w:sz w:val="18"/>
              </w:rPr>
              <w:t>-53%</w:t>
            </w:r>
          </w:p>
        </w:tc>
        <w:tc>
          <w:tcPr>
            <w:tcW w:type="dxa" w:w="665"/>
            <w:shd w:fill="E8F0FE"/>
          </w:tcPr>
          <w:p>
            <w:pPr>
              <w:spacing w:before="40" w:after="40"/>
            </w:pPr>
            <w:r>
              <w:rPr>
                <w:rFonts w:ascii="Calibri" w:hAnsi="Calibri"/>
                <w:sz w:val="18"/>
              </w:rPr>
              <w:t>-325%</w:t>
            </w:r>
          </w:p>
        </w:tc>
        <w:tc>
          <w:tcPr>
            <w:tcW w:type="dxa" w:w="665"/>
            <w:shd w:fill="E8F0FE"/>
          </w:tcPr>
          <w:p>
            <w:pPr>
              <w:spacing w:before="40" w:after="40"/>
            </w:pPr>
            <w:r>
              <w:rPr>
                <w:rFonts w:ascii="Calibri" w:hAnsi="Calibri"/>
                <w:sz w:val="18"/>
              </w:rPr>
              <w:t>181%</w:t>
            </w:r>
          </w:p>
        </w:tc>
        <w:tc>
          <w:tcPr>
            <w:tcW w:type="dxa" w:w="665"/>
            <w:shd w:fill="E8F0FE"/>
          </w:tcPr>
          <w:p>
            <w:pPr>
              <w:spacing w:before="40" w:after="40"/>
            </w:pPr>
            <w:r>
              <w:rPr>
                <w:rFonts w:ascii="Calibri" w:hAnsi="Calibri"/>
                <w:sz w:val="18"/>
              </w:rPr>
              <w:t>210%</w:t>
            </w:r>
          </w:p>
        </w:tc>
        <w:tc>
          <w:tcPr>
            <w:tcW w:type="dxa" w:w="665"/>
            <w:shd w:fill="E8F0FE"/>
          </w:tcPr>
          <w:p>
            <w:pPr>
              <w:spacing w:before="40" w:after="40"/>
            </w:pPr>
            <w:r>
              <w:rPr>
                <w:rFonts w:ascii="Calibri" w:hAnsi="Calibri"/>
                <w:sz w:val="18"/>
              </w:rPr>
              <w:t>-201%</w:t>
            </w:r>
          </w:p>
        </w:tc>
        <w:tc>
          <w:tcPr>
            <w:tcW w:type="dxa" w:w="665"/>
            <w:shd w:fill="E8F0FE"/>
          </w:tcPr>
          <w:p>
            <w:pPr>
              <w:spacing w:before="40" w:after="40"/>
            </w:pPr>
            <w:r>
              <w:rPr>
                <w:rFonts w:ascii="Calibri" w:hAnsi="Calibri"/>
                <w:sz w:val="18"/>
              </w:rPr>
              <w:t>540%</w:t>
            </w:r>
          </w:p>
        </w:tc>
        <w:tc>
          <w:tcPr>
            <w:tcW w:type="dxa" w:w="665"/>
            <w:shd w:fill="E8F0FE"/>
          </w:tcPr>
          <w:p>
            <w:pPr>
              <w:spacing w:before="40" w:after="40"/>
            </w:pPr>
            <w:r>
              <w:rPr>
                <w:rFonts w:ascii="Calibri" w:hAnsi="Calibri"/>
                <w:sz w:val="18"/>
              </w:rPr>
              <w:t>179%</w:t>
            </w:r>
          </w:p>
        </w:tc>
        <w:tc>
          <w:tcPr>
            <w:tcW w:type="dxa" w:w="665"/>
            <w:shd w:fill="E8F0FE"/>
          </w:tcPr>
          <w:p>
            <w:pPr>
              <w:spacing w:before="40" w:after="40"/>
            </w:pPr>
            <w:r>
              <w:rPr>
                <w:rFonts w:ascii="Calibri" w:hAnsi="Calibri"/>
                <w:sz w:val="18"/>
              </w:rPr>
              <w:t>65%</w:t>
            </w:r>
          </w:p>
        </w:tc>
        <w:tc>
          <w:tcPr>
            <w:tcW w:type="dxa" w:w="665"/>
            <w:shd w:fill="E8F0FE"/>
          </w:tcPr>
          <w:p>
            <w:pPr>
              <w:spacing w:before="40" w:after="40"/>
            </w:pPr>
            <w:r>
              <w:rPr>
                <w:rFonts w:ascii="Calibri" w:hAnsi="Calibri"/>
                <w:sz w:val="18"/>
              </w:rPr>
              <w:t>-176%</w:t>
            </w:r>
          </w:p>
        </w:tc>
        <w:tc>
          <w:tcPr>
            <w:tcW w:type="dxa" w:w="665"/>
            <w:shd w:fill="E8F0FE"/>
          </w:tcPr>
          <w:p>
            <w:pPr>
              <w:spacing w:before="40" w:after="40"/>
            </w:pPr>
            <w:r>
              <w:rPr>
                <w:rFonts w:ascii="Calibri" w:hAnsi="Calibri"/>
                <w:sz w:val="18"/>
              </w:rPr>
              <w:t>258%</w:t>
            </w:r>
          </w:p>
        </w:tc>
        <w:tc>
          <w:tcPr>
            <w:tcW w:type="dxa" w:w="665"/>
            <w:shd w:fill="E8F0FE"/>
          </w:tcPr>
          <w:p>
            <w:pPr>
              <w:spacing w:before="40" w:after="40"/>
            </w:pPr>
            <w:r>
              <w:rPr>
                <w:rFonts w:ascii="Calibri" w:hAnsi="Calibri"/>
                <w:sz w:val="18"/>
              </w:rPr>
              <w:t>219%</w:t>
            </w:r>
          </w:p>
        </w:tc>
        <w:tc>
          <w:tcPr>
            <w:tcW w:type="dxa" w:w="665"/>
            <w:shd w:fill="E8F0FE"/>
          </w:tcPr>
          <w:p>
            <w:pPr>
              <w:spacing w:before="40" w:after="40"/>
            </w:pPr>
            <w:r>
              <w:rPr>
                <w:rFonts w:ascii="Calibri" w:hAnsi="Calibri"/>
                <w:sz w:val="18"/>
              </w:rPr>
            </w:r>
          </w:p>
        </w:tc>
      </w:tr>
    </w:tbl>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4"/>
      </w:rPr>
      <w:t>Disclaimer: For informational purposes only. Not investment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6"/>
      </w:rPr>
      <w:t>Indo Rama Synthetics (India) Limited |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F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5F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5F8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