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rFonts w:ascii="Calibri" w:hAnsi="Calibri"/>
          <w:b/>
          <w:color w:val="1F5F8B"/>
          <w:sz w:val="64"/>
        </w:rPr>
        <w:t>BOMBAY DYEING &amp; MANUFACTURING COMPANY LTD</w:t>
      </w:r>
    </w:p>
    <w:p>
      <w:pPr>
        <w:jc w:val="center"/>
      </w:pPr>
      <w:r>
        <w:rPr>
          <w:color w:val="1F5F8B"/>
          <w:sz w:val="16"/>
        </w:rPr>
        <w:t>____________________________________________________________</w:t>
      </w:r>
    </w:p>
    <w:p>
      <w:pPr>
        <w:spacing w:before="480"/>
        <w:jc w:val="center"/>
      </w:pPr>
      <w:r>
        <w:rPr>
          <w:rFonts w:ascii="Calibri" w:hAnsi="Calibri"/>
          <w:color w:val="1F5F8B"/>
          <w:sz w:val="44"/>
        </w:rPr>
        <w:t>Comprehensive Company Analysis</w:t>
      </w:r>
    </w:p>
    <w:p>
      <w:pPr>
        <w:spacing w:before="160"/>
        <w:jc w:val="center"/>
      </w:pPr>
      <w:r>
        <w:rPr>
          <w:rFonts w:ascii="Calibri" w:hAnsi="Calibri"/>
          <w:color w:val="666666"/>
          <w:sz w:val="28"/>
        </w:rPr>
        <w:t>Investment Research Note</w:t>
      </w:r>
    </w:p>
    <w:p>
      <w:pPr>
        <w:spacing w:before="960"/>
        <w:jc w:val="center"/>
      </w:pPr>
      <w:r>
        <w:rPr>
          <w:rFonts w:ascii="Calibri" w:hAnsi="Calibri"/>
          <w:color w:val="666666"/>
          <w:sz w:val="24"/>
        </w:rPr>
        <w:t>Date: April 20, 2026</w:t>
      </w:r>
    </w:p>
    <w:p>
      <w:r>
        <w:br w:type="page"/>
      </w:r>
    </w:p>
    <w:p>
      <w:pPr>
        <w:spacing w:after="80"/>
      </w:pPr>
      <w:r>
        <w:rPr>
          <w:rFonts w:ascii="Calibri" w:hAnsi="Calibri"/>
          <w:color w:val="333333"/>
          <w:sz w:val="20"/>
        </w:rPr>
        <w:t>Error creating deep dive: no response from Gemini</w:t>
      </w:r>
    </w:p>
    <w:p>
      <w:pPr>
        <w:pStyle w:val="Heading2"/>
      </w:pPr>
      <w:r>
        <w:rPr>
          <w:rFonts w:ascii="Calibri" w:hAnsi="Calibri"/>
          <w:color w:val="1F5F8B"/>
          <w:sz w:val="26"/>
        </w:rPr>
        <w:t>3.1 Consolidated Profit &amp; Loss Statement (Rs. in Crores)</w:t>
      </w:r>
    </w:p>
    <w:p>
      <w:pPr>
        <w:spacing w:after="80"/>
      </w:pPr>
      <w:r>
        <w:rPr>
          <w:rFonts w:ascii="Calibri" w:hAnsi="Calibri"/>
          <w:color w:val="333333"/>
          <w:sz w:val="20"/>
        </w:rPr>
        <w:t>(Source: Screener.in)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  <w:shd w:fill="1F5F8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665"/>
            <w:shd w:fill="1F5F8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Mar 2015</w:t>
            </w:r>
          </w:p>
        </w:tc>
        <w:tc>
          <w:tcPr>
            <w:tcW w:type="dxa" w:w="665"/>
            <w:shd w:fill="1F5F8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Mar 2016</w:t>
            </w:r>
          </w:p>
        </w:tc>
        <w:tc>
          <w:tcPr>
            <w:tcW w:type="dxa" w:w="665"/>
            <w:shd w:fill="1F5F8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Mar 2017</w:t>
            </w:r>
          </w:p>
        </w:tc>
        <w:tc>
          <w:tcPr>
            <w:tcW w:type="dxa" w:w="665"/>
            <w:shd w:fill="1F5F8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Mar 2018</w:t>
            </w:r>
          </w:p>
        </w:tc>
        <w:tc>
          <w:tcPr>
            <w:tcW w:type="dxa" w:w="665"/>
            <w:shd w:fill="1F5F8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Mar 2019</w:t>
            </w:r>
          </w:p>
        </w:tc>
        <w:tc>
          <w:tcPr>
            <w:tcW w:type="dxa" w:w="665"/>
            <w:shd w:fill="1F5F8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Mar 2020</w:t>
            </w:r>
          </w:p>
        </w:tc>
        <w:tc>
          <w:tcPr>
            <w:tcW w:type="dxa" w:w="665"/>
            <w:shd w:fill="1F5F8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Mar 2021</w:t>
            </w:r>
          </w:p>
        </w:tc>
        <w:tc>
          <w:tcPr>
            <w:tcW w:type="dxa" w:w="665"/>
            <w:shd w:fill="1F5F8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Mar 2022</w:t>
            </w:r>
          </w:p>
        </w:tc>
        <w:tc>
          <w:tcPr>
            <w:tcW w:type="dxa" w:w="665"/>
            <w:shd w:fill="1F5F8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Mar 2023</w:t>
            </w:r>
          </w:p>
        </w:tc>
        <w:tc>
          <w:tcPr>
            <w:tcW w:type="dxa" w:w="665"/>
            <w:shd w:fill="1F5F8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Mar 2024</w:t>
            </w:r>
          </w:p>
        </w:tc>
        <w:tc>
          <w:tcPr>
            <w:tcW w:type="dxa" w:w="665"/>
            <w:shd w:fill="1F5F8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Mar 2025</w:t>
            </w:r>
          </w:p>
        </w:tc>
        <w:tc>
          <w:tcPr>
            <w:tcW w:type="dxa" w:w="665"/>
            <w:shd w:fill="1F5F8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TTM</w:t>
            </w:r>
          </w:p>
        </w:tc>
      </w:tr>
      <w:tr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Sales+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2,385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1,848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1,924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2,662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4,430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1,895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1,193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2,001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2,674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1,688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1,605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1,424</w:t>
            </w:r>
          </w:p>
        </w:tc>
      </w:tr>
      <w:tr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Expenses+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2,132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1,660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1,647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2,077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2,722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1,566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1,167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1,850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2,708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1,737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1,632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1,491</w:t>
            </w:r>
          </w:p>
        </w:tc>
      </w:tr>
      <w:tr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Operating Profit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253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187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276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585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1,708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328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26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151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-35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-49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-26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-67</w:t>
            </w:r>
          </w:p>
        </w:tc>
      </w:tr>
      <w:tr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OPM %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11%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10%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14%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22%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39%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17%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2%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8%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-1%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-3%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-2%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-5%</w:t>
            </w:r>
          </w:p>
        </w:tc>
      </w:tr>
      <w:tr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Other Income+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58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46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27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-105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45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49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89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-129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102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4,057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680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128</w:t>
            </w:r>
          </w:p>
        </w:tc>
      </w:tr>
      <w:tr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Interest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232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290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368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413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489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554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588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524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523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326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19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12</w:t>
            </w:r>
          </w:p>
        </w:tc>
      </w:tr>
      <w:tr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Depreciation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47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34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32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30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30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33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34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33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33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31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33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33</w:t>
            </w:r>
          </w:p>
        </w:tc>
      </w:tr>
      <w:tr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Profit before tax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31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-90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-97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38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1,234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-209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-507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-534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-489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3,650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601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16</w:t>
            </w:r>
          </w:p>
        </w:tc>
      </w:tr>
      <w:tr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Tax %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34%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1%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30%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7%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0%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-257%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-7%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-14%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6%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19%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18%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Net Profit+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-91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-127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35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1,228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328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-469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-460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-517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2,949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490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17</w:t>
            </w:r>
          </w:p>
        </w:tc>
      </w:tr>
      <w:tr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EPS in Rs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0.99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-4.41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-6.13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1.70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60.12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15.87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-22.71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-22.29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-25.02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142.77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23.73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0.84</w:t>
            </w:r>
          </w:p>
        </w:tc>
      </w:tr>
      <w:tr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Dividend Payout %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81%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-11%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-11%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59%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2%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1%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0%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0%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0%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1%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5%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5F8B"/>
          <w:sz w:val="26"/>
        </w:rPr>
        <w:t>3.2 Consolidated Balance Sheet (Rs. in Crores)</w:t>
      </w:r>
    </w:p>
    <w:p>
      <w:pPr>
        <w:spacing w:after="80"/>
      </w:pPr>
      <w:r>
        <w:rPr>
          <w:rFonts w:ascii="Calibri" w:hAnsi="Calibri"/>
          <w:color w:val="333333"/>
          <w:sz w:val="20"/>
        </w:rPr>
        <w:t>(Source: Screener.in)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  <w:shd w:fill="1F5F8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665"/>
            <w:shd w:fill="1F5F8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Mar 2015</w:t>
            </w:r>
          </w:p>
        </w:tc>
        <w:tc>
          <w:tcPr>
            <w:tcW w:type="dxa" w:w="665"/>
            <w:shd w:fill="1F5F8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Mar 2016</w:t>
            </w:r>
          </w:p>
        </w:tc>
        <w:tc>
          <w:tcPr>
            <w:tcW w:type="dxa" w:w="665"/>
            <w:shd w:fill="1F5F8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Mar 2017</w:t>
            </w:r>
          </w:p>
        </w:tc>
        <w:tc>
          <w:tcPr>
            <w:tcW w:type="dxa" w:w="665"/>
            <w:shd w:fill="1F5F8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Mar 2018</w:t>
            </w:r>
          </w:p>
        </w:tc>
        <w:tc>
          <w:tcPr>
            <w:tcW w:type="dxa" w:w="665"/>
            <w:shd w:fill="1F5F8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Mar 2019</w:t>
            </w:r>
          </w:p>
        </w:tc>
        <w:tc>
          <w:tcPr>
            <w:tcW w:type="dxa" w:w="665"/>
            <w:shd w:fill="1F5F8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Mar 2020</w:t>
            </w:r>
          </w:p>
        </w:tc>
        <w:tc>
          <w:tcPr>
            <w:tcW w:type="dxa" w:w="665"/>
            <w:shd w:fill="1F5F8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Mar 2021</w:t>
            </w:r>
          </w:p>
        </w:tc>
        <w:tc>
          <w:tcPr>
            <w:tcW w:type="dxa" w:w="665"/>
            <w:shd w:fill="1F5F8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Mar 2022</w:t>
            </w:r>
          </w:p>
        </w:tc>
        <w:tc>
          <w:tcPr>
            <w:tcW w:type="dxa" w:w="665"/>
            <w:shd w:fill="1F5F8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Mar 2023</w:t>
            </w:r>
          </w:p>
        </w:tc>
        <w:tc>
          <w:tcPr>
            <w:tcW w:type="dxa" w:w="665"/>
            <w:shd w:fill="1F5F8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Mar 2024</w:t>
            </w:r>
          </w:p>
        </w:tc>
        <w:tc>
          <w:tcPr>
            <w:tcW w:type="dxa" w:w="665"/>
            <w:shd w:fill="1F5F8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Mar 2025</w:t>
            </w:r>
          </w:p>
        </w:tc>
        <w:tc>
          <w:tcPr>
            <w:tcW w:type="dxa" w:w="665"/>
            <w:shd w:fill="1F5F8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Sep 2025</w:t>
            </w:r>
          </w:p>
        </w:tc>
      </w:tr>
      <w:tr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Equity Capital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41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41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41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41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41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41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41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41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41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41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41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41</w:t>
            </w:r>
          </w:p>
        </w:tc>
      </w:tr>
      <w:tr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Reserves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1,511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1,245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293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596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168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46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-210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-772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-1,287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1,833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2,330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2,323</w:t>
            </w:r>
          </w:p>
        </w:tc>
      </w:tr>
      <w:tr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Borrowings+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1,835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2,519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2,542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2,803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3,971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4,153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4,172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4,442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3,642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</w:t>
            </w:r>
          </w:p>
        </w:tc>
      </w:tr>
      <w:tr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Other Liabilities+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698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654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761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707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1,000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561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635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520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598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684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622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571</w:t>
            </w:r>
          </w:p>
        </w:tc>
      </w:tr>
      <w:tr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Total Liabilities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4,085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4,459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3,637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4,147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5,181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4,800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4,639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4,231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2,994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2,560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2,995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2,939</w:t>
            </w:r>
          </w:p>
        </w:tc>
      </w:tr>
      <w:tr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Fixed Assets+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879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631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572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556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528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521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488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466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442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575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583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586</w:t>
            </w:r>
          </w:p>
        </w:tc>
      </w:tr>
      <w:tr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CWIP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75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72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75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74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27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55</w:t>
            </w:r>
          </w:p>
        </w:tc>
      </w:tr>
      <w:tr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Investments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54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54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773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950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1,062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377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474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367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194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747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1,467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1,472</w:t>
            </w:r>
          </w:p>
        </w:tc>
      </w:tr>
      <w:tr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Other Assets+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3,077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3,701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2,218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2,566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3,586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3,901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3,677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3,397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2,357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1,225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919</w:t>
            </w:r>
          </w:p>
        </w:tc>
        <w:tc>
          <w:tcPr>
            <w:tcW w:type="dxa" w:w="66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826</w:t>
            </w:r>
          </w:p>
        </w:tc>
      </w:tr>
      <w:tr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Total Assets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4,085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4,459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3,637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4,147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5,181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4,800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4,639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4,231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2,994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2,560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2,995</w:t>
            </w:r>
          </w:p>
        </w:tc>
        <w:tc>
          <w:tcPr>
            <w:tcW w:type="dxa" w:w="665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2,939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5F8B"/>
          <w:sz w:val="26"/>
        </w:rPr>
        <w:t>3.3 Consolidated Cash Flow Statement (Rs. in Crores)</w:t>
      </w:r>
    </w:p>
    <w:p>
      <w:pPr>
        <w:spacing w:after="80"/>
      </w:pPr>
      <w:r>
        <w:rPr>
          <w:rFonts w:ascii="Calibri" w:hAnsi="Calibri"/>
          <w:color w:val="333333"/>
          <w:sz w:val="20"/>
        </w:rPr>
        <w:t>(Source: Screener.in)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fill="1F5F8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720"/>
            <w:shd w:fill="1F5F8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Mar 2015</w:t>
            </w:r>
          </w:p>
        </w:tc>
        <w:tc>
          <w:tcPr>
            <w:tcW w:type="dxa" w:w="720"/>
            <w:shd w:fill="1F5F8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Mar 2016</w:t>
            </w:r>
          </w:p>
        </w:tc>
        <w:tc>
          <w:tcPr>
            <w:tcW w:type="dxa" w:w="720"/>
            <w:shd w:fill="1F5F8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Mar 2017</w:t>
            </w:r>
          </w:p>
        </w:tc>
        <w:tc>
          <w:tcPr>
            <w:tcW w:type="dxa" w:w="720"/>
            <w:shd w:fill="1F5F8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Mar 2018</w:t>
            </w:r>
          </w:p>
        </w:tc>
        <w:tc>
          <w:tcPr>
            <w:tcW w:type="dxa" w:w="720"/>
            <w:shd w:fill="1F5F8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Mar 2019</w:t>
            </w:r>
          </w:p>
        </w:tc>
        <w:tc>
          <w:tcPr>
            <w:tcW w:type="dxa" w:w="720"/>
            <w:shd w:fill="1F5F8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Mar 2020</w:t>
            </w:r>
          </w:p>
        </w:tc>
        <w:tc>
          <w:tcPr>
            <w:tcW w:type="dxa" w:w="720"/>
            <w:shd w:fill="1F5F8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Mar 2021</w:t>
            </w:r>
          </w:p>
        </w:tc>
        <w:tc>
          <w:tcPr>
            <w:tcW w:type="dxa" w:w="720"/>
            <w:shd w:fill="1F5F8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Mar 2022</w:t>
            </w:r>
          </w:p>
        </w:tc>
        <w:tc>
          <w:tcPr>
            <w:tcW w:type="dxa" w:w="720"/>
            <w:shd w:fill="1F5F8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Mar 2023</w:t>
            </w:r>
          </w:p>
        </w:tc>
        <w:tc>
          <w:tcPr>
            <w:tcW w:type="dxa" w:w="720"/>
            <w:shd w:fill="1F5F8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Mar 2024</w:t>
            </w:r>
          </w:p>
        </w:tc>
        <w:tc>
          <w:tcPr>
            <w:tcW w:type="dxa" w:w="720"/>
            <w:shd w:fill="1F5F8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Mar 2025</w:t>
            </w:r>
          </w:p>
        </w:tc>
      </w:tr>
      <w:tr>
        <w:tc>
          <w:tcPr>
            <w:tcW w:type="dxa" w:w="72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Cash from Operating Activity+</w:t>
            </w:r>
          </w:p>
        </w:tc>
        <w:tc>
          <w:tcPr>
            <w:tcW w:type="dxa" w:w="72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48</w:t>
            </w:r>
          </w:p>
        </w:tc>
        <w:tc>
          <w:tcPr>
            <w:tcW w:type="dxa" w:w="72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-436</w:t>
            </w:r>
          </w:p>
        </w:tc>
        <w:tc>
          <w:tcPr>
            <w:tcW w:type="dxa" w:w="72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169</w:t>
            </w:r>
          </w:p>
        </w:tc>
        <w:tc>
          <w:tcPr>
            <w:tcW w:type="dxa" w:w="72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-451</w:t>
            </w:r>
          </w:p>
        </w:tc>
        <w:tc>
          <w:tcPr>
            <w:tcW w:type="dxa" w:w="72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-774</w:t>
            </w:r>
          </w:p>
        </w:tc>
        <w:tc>
          <w:tcPr>
            <w:tcW w:type="dxa" w:w="72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99</w:t>
            </w:r>
          </w:p>
        </w:tc>
        <w:tc>
          <w:tcPr>
            <w:tcW w:type="dxa" w:w="72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604</w:t>
            </w:r>
          </w:p>
        </w:tc>
        <w:tc>
          <w:tcPr>
            <w:tcW w:type="dxa" w:w="72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522</w:t>
            </w:r>
          </w:p>
        </w:tc>
        <w:tc>
          <w:tcPr>
            <w:tcW w:type="dxa" w:w="72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861</w:t>
            </w:r>
          </w:p>
        </w:tc>
        <w:tc>
          <w:tcPr>
            <w:tcW w:type="dxa" w:w="72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355</w:t>
            </w:r>
          </w:p>
        </w:tc>
        <w:tc>
          <w:tcPr>
            <w:tcW w:type="dxa" w:w="72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-17</w:t>
            </w:r>
          </w:p>
        </w:tc>
      </w:tr>
      <w:tr>
        <w:tc>
          <w:tcPr>
            <w:tcW w:type="dxa" w:w="72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Cash from Investing Activity+</w:t>
            </w:r>
          </w:p>
        </w:tc>
        <w:tc>
          <w:tcPr>
            <w:tcW w:type="dxa" w:w="72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-89</w:t>
            </w:r>
          </w:p>
        </w:tc>
        <w:tc>
          <w:tcPr>
            <w:tcW w:type="dxa" w:w="72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49</w:t>
            </w:r>
          </w:p>
        </w:tc>
        <w:tc>
          <w:tcPr>
            <w:tcW w:type="dxa" w:w="72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120</w:t>
            </w:r>
          </w:p>
        </w:tc>
        <w:tc>
          <w:tcPr>
            <w:tcW w:type="dxa" w:w="72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559</w:t>
            </w:r>
          </w:p>
        </w:tc>
        <w:tc>
          <w:tcPr>
            <w:tcW w:type="dxa" w:w="72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190</w:t>
            </w:r>
          </w:p>
        </w:tc>
        <w:tc>
          <w:tcPr>
            <w:tcW w:type="dxa" w:w="72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271</w:t>
            </w:r>
          </w:p>
        </w:tc>
        <w:tc>
          <w:tcPr>
            <w:tcW w:type="dxa" w:w="72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141</w:t>
            </w:r>
          </w:p>
        </w:tc>
        <w:tc>
          <w:tcPr>
            <w:tcW w:type="dxa" w:w="72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72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177</w:t>
            </w:r>
          </w:p>
        </w:tc>
        <w:tc>
          <w:tcPr>
            <w:tcW w:type="dxa" w:w="72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3,532</w:t>
            </w:r>
          </w:p>
        </w:tc>
        <w:tc>
          <w:tcPr>
            <w:tcW w:type="dxa" w:w="72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35</w:t>
            </w:r>
          </w:p>
        </w:tc>
      </w:tr>
      <w:tr>
        <w:tc>
          <w:tcPr>
            <w:tcW w:type="dxa" w:w="72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Cash from Financing Activity+</w:t>
            </w:r>
          </w:p>
        </w:tc>
        <w:tc>
          <w:tcPr>
            <w:tcW w:type="dxa" w:w="72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29</w:t>
            </w:r>
          </w:p>
        </w:tc>
        <w:tc>
          <w:tcPr>
            <w:tcW w:type="dxa" w:w="72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405</w:t>
            </w:r>
          </w:p>
        </w:tc>
        <w:tc>
          <w:tcPr>
            <w:tcW w:type="dxa" w:w="72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-254</w:t>
            </w:r>
          </w:p>
        </w:tc>
        <w:tc>
          <w:tcPr>
            <w:tcW w:type="dxa" w:w="72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-154</w:t>
            </w:r>
          </w:p>
        </w:tc>
        <w:tc>
          <w:tcPr>
            <w:tcW w:type="dxa" w:w="72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600</w:t>
            </w:r>
          </w:p>
        </w:tc>
        <w:tc>
          <w:tcPr>
            <w:tcW w:type="dxa" w:w="72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-398</w:t>
            </w:r>
          </w:p>
        </w:tc>
        <w:tc>
          <w:tcPr>
            <w:tcW w:type="dxa" w:w="72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-591</w:t>
            </w:r>
          </w:p>
        </w:tc>
        <w:tc>
          <w:tcPr>
            <w:tcW w:type="dxa" w:w="72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-268</w:t>
            </w:r>
          </w:p>
        </w:tc>
        <w:tc>
          <w:tcPr>
            <w:tcW w:type="dxa" w:w="72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-1,320</w:t>
            </w:r>
          </w:p>
        </w:tc>
        <w:tc>
          <w:tcPr>
            <w:tcW w:type="dxa" w:w="72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-3,965</w:t>
            </w:r>
          </w:p>
        </w:tc>
        <w:tc>
          <w:tcPr>
            <w:tcW w:type="dxa" w:w="72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-41</w:t>
            </w:r>
          </w:p>
        </w:tc>
      </w:tr>
      <w:tr>
        <w:tc>
          <w:tcPr>
            <w:tcW w:type="dxa" w:w="72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Net Cash Flow</w:t>
            </w:r>
          </w:p>
        </w:tc>
        <w:tc>
          <w:tcPr>
            <w:tcW w:type="dxa" w:w="72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-12</w:t>
            </w:r>
          </w:p>
        </w:tc>
        <w:tc>
          <w:tcPr>
            <w:tcW w:type="dxa" w:w="72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72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36</w:t>
            </w:r>
          </w:p>
        </w:tc>
        <w:tc>
          <w:tcPr>
            <w:tcW w:type="dxa" w:w="72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-47</w:t>
            </w:r>
          </w:p>
        </w:tc>
        <w:tc>
          <w:tcPr>
            <w:tcW w:type="dxa" w:w="72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type="dxa" w:w="72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-28</w:t>
            </w:r>
          </w:p>
        </w:tc>
        <w:tc>
          <w:tcPr>
            <w:tcW w:type="dxa" w:w="72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153</w:t>
            </w:r>
          </w:p>
        </w:tc>
        <w:tc>
          <w:tcPr>
            <w:tcW w:type="dxa" w:w="72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260</w:t>
            </w:r>
          </w:p>
        </w:tc>
        <w:tc>
          <w:tcPr>
            <w:tcW w:type="dxa" w:w="72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-282</w:t>
            </w:r>
          </w:p>
        </w:tc>
        <w:tc>
          <w:tcPr>
            <w:tcW w:type="dxa" w:w="72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-78</w:t>
            </w:r>
          </w:p>
        </w:tc>
        <w:tc>
          <w:tcPr>
            <w:tcW w:type="dxa" w:w="72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-23</w:t>
            </w:r>
          </w:p>
        </w:tc>
      </w:tr>
      <w:tr>
        <w:tc>
          <w:tcPr>
            <w:tcW w:type="dxa" w:w="72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Free Cash Flow</w:t>
            </w:r>
          </w:p>
        </w:tc>
        <w:tc>
          <w:tcPr>
            <w:tcW w:type="dxa" w:w="72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51</w:t>
            </w:r>
          </w:p>
        </w:tc>
        <w:tc>
          <w:tcPr>
            <w:tcW w:type="dxa" w:w="72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-438</w:t>
            </w:r>
          </w:p>
        </w:tc>
        <w:tc>
          <w:tcPr>
            <w:tcW w:type="dxa" w:w="72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171</w:t>
            </w:r>
          </w:p>
        </w:tc>
        <w:tc>
          <w:tcPr>
            <w:tcW w:type="dxa" w:w="72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-257</w:t>
            </w:r>
          </w:p>
        </w:tc>
        <w:tc>
          <w:tcPr>
            <w:tcW w:type="dxa" w:w="72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-674</w:t>
            </w:r>
          </w:p>
        </w:tc>
        <w:tc>
          <w:tcPr>
            <w:tcW w:type="dxa" w:w="72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88</w:t>
            </w:r>
          </w:p>
        </w:tc>
        <w:tc>
          <w:tcPr>
            <w:tcW w:type="dxa" w:w="72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659</w:t>
            </w:r>
          </w:p>
        </w:tc>
        <w:tc>
          <w:tcPr>
            <w:tcW w:type="dxa" w:w="72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512</w:t>
            </w:r>
          </w:p>
        </w:tc>
        <w:tc>
          <w:tcPr>
            <w:tcW w:type="dxa" w:w="72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855</w:t>
            </w:r>
          </w:p>
        </w:tc>
        <w:tc>
          <w:tcPr>
            <w:tcW w:type="dxa" w:w="72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4,591</w:t>
            </w:r>
          </w:p>
        </w:tc>
        <w:tc>
          <w:tcPr>
            <w:tcW w:type="dxa" w:w="720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467</w:t>
            </w:r>
          </w:p>
        </w:tc>
      </w:tr>
      <w:tr>
        <w:tc>
          <w:tcPr>
            <w:tcW w:type="dxa" w:w="72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CFO/OP</w:t>
            </w:r>
          </w:p>
        </w:tc>
        <w:tc>
          <w:tcPr>
            <w:tcW w:type="dxa" w:w="72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21%</w:t>
            </w:r>
          </w:p>
        </w:tc>
        <w:tc>
          <w:tcPr>
            <w:tcW w:type="dxa" w:w="72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-228%</w:t>
            </w:r>
          </w:p>
        </w:tc>
        <w:tc>
          <w:tcPr>
            <w:tcW w:type="dxa" w:w="72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65%</w:t>
            </w:r>
          </w:p>
        </w:tc>
        <w:tc>
          <w:tcPr>
            <w:tcW w:type="dxa" w:w="72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-70%</w:t>
            </w:r>
          </w:p>
        </w:tc>
        <w:tc>
          <w:tcPr>
            <w:tcW w:type="dxa" w:w="72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-45%</w:t>
            </w:r>
          </w:p>
        </w:tc>
        <w:tc>
          <w:tcPr>
            <w:tcW w:type="dxa" w:w="72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32%</w:t>
            </w:r>
          </w:p>
        </w:tc>
        <w:tc>
          <w:tcPr>
            <w:tcW w:type="dxa" w:w="72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2,334%</w:t>
            </w:r>
          </w:p>
        </w:tc>
        <w:tc>
          <w:tcPr>
            <w:tcW w:type="dxa" w:w="72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352%</w:t>
            </w:r>
          </w:p>
        </w:tc>
        <w:tc>
          <w:tcPr>
            <w:tcW w:type="dxa" w:w="72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-2,517%</w:t>
            </w:r>
          </w:p>
        </w:tc>
        <w:tc>
          <w:tcPr>
            <w:tcW w:type="dxa" w:w="72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-1,064%</w:t>
            </w:r>
          </w:p>
        </w:tc>
        <w:tc>
          <w:tcPr>
            <w:tcW w:type="dxa" w:w="720"/>
            <w:shd w:fill="E8F0FE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-73%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4"/>
      </w:rPr>
      <w:t>Disclaimer: For informational purposes only. Not investment advice.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66666"/>
        <w:sz w:val="16"/>
      </w:rPr>
      <w:t>Bombay Dyeing &amp; Manufacturing Company Ltd | Comprehensive Analysis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5F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5F8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5F8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5F8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