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1F5F8B"/>
          <w:sz w:val="64"/>
        </w:rPr>
        <w:t>IND-SWIFT LABORATORIES LTD</w:t>
      </w:r>
    </w:p>
    <w:p>
      <w:pPr>
        <w:jc w:val="center"/>
      </w:pPr>
      <w:r>
        <w:rPr>
          <w:color w:val="1F5F8B"/>
          <w:sz w:val="16"/>
        </w:rPr>
        <w:t>____________________________________________________________</w:t>
      </w:r>
    </w:p>
    <w:p>
      <w:pPr>
        <w:spacing w:before="480"/>
        <w:jc w:val="center"/>
      </w:pPr>
      <w:r>
        <w:rPr>
          <w:rFonts w:ascii="Calibri" w:hAnsi="Calibri"/>
          <w:color w:val="1F5F8B"/>
          <w:sz w:val="44"/>
        </w:rPr>
        <w:t>Comprehensive Company Analysis</w:t>
      </w:r>
    </w:p>
    <w:p>
      <w:pPr>
        <w:spacing w:before="160"/>
        <w:jc w:val="center"/>
      </w:pPr>
      <w:r>
        <w:rPr>
          <w:rFonts w:ascii="Calibri" w:hAnsi="Calibri"/>
          <w:color w:val="666666"/>
          <w:sz w:val="28"/>
        </w:rPr>
        <w:t>Investment Research Note</w:t>
      </w:r>
    </w:p>
    <w:p>
      <w:pPr>
        <w:spacing w:before="960"/>
        <w:jc w:val="center"/>
      </w:pPr>
      <w:r>
        <w:rPr>
          <w:rFonts w:ascii="Calibri" w:hAnsi="Calibri"/>
          <w:color w:val="666666"/>
          <w:sz w:val="24"/>
        </w:rPr>
        <w:t>Date: April 21, 2026</w:t>
      </w:r>
    </w:p>
    <w:p>
      <w:r>
        <w:br w:type="page"/>
      </w:r>
    </w:p>
    <w:p>
      <w:pPr>
        <w:pStyle w:val="Heading1"/>
      </w:pPr>
      <w:r>
        <w:rPr>
          <w:rFonts w:ascii="Calibri" w:hAnsi="Calibri"/>
          <w:color w:val="1F5F8B"/>
          <w:sz w:val="32"/>
        </w:rPr>
        <w:t>1. Executive Summary</w:t>
      </w:r>
    </w:p>
    <w:p>
      <w:pPr>
        <w:spacing w:before="0" w:after="120"/>
      </w:pPr>
    </w:p>
    <w:p>
      <w:pPr>
        <w:spacing w:after="80"/>
      </w:pPr>
      <w:r>
        <w:rPr>
          <w:rFonts w:ascii="Calibri" w:hAnsi="Calibri"/>
          <w:color w:val="333333"/>
          <w:sz w:val="20"/>
        </w:rPr>
        <w:t>Ind-Swift Laboratories Limited (ISLL) has undergone a significant strategic transformation, repositioning itself as a pure-play finished dosage formulation (FDF) manufacturer. This pivotal shift was driven by the ₹1,650 crore divestment of its API &amp; CRAMS business and the subsequent merger of Ind-Swift Limited into ISLL. These actions have successfully deleveraged the company's balance sheet, making it net debt-free, and created a unified operational structure focused on higher-margin formulation businesses. Post-transformation, ISLL operates with a solid revenue base of approximately ₹550 crore, primarily driven by exports to over 85 countries. The company is targeting sustained expansion to double its revenue by FY29, supported by a robust product pipeline, expansion into high-growth therapeutic areas like gynaecology and paediatrics, and strategic partnerships in the CDMO space, notably with Viatris. The company's strong R&amp;D capabilities, coupled with a diversified market presence and a focus on regulatory compliance, position it well to capitalize on the growing global pharmaceutical formulations market.</w:t>
      </w:r>
    </w:p>
    <w:p>
      <w:pPr>
        <w:spacing w:after="80"/>
      </w:pPr>
      <w:r>
        <w:rPr>
          <w:rFonts w:ascii="Calibri" w:hAnsi="Calibri"/>
          <w:color w:val="333333"/>
          <w:sz w:val="20"/>
        </w:rPr>
        <w:t>The company's strategic reset has unlocked significant potential for scalable, capital-efficient growth. With a net debt-free balance sheet, ISLL is well-positioned to invest in its core formulation business, expand its own-brand footprint in key emerging markets like UAE and Central Asia, and strengthen its contract manufacturing organization (CMO) visibility. The management is targeting a revenue CAGR of 20-25%, aiming to scale from ₹550 crore to over ₹1,200 crore by FY29, with a projected EBITDA margin expansion of 250-300 basis points driven by operating leverage and higher utilization. Key growth catalysts include the commercialization of the Viatris partnership expected to contribute ₹200-220 crore in FY27, the filing of over 400 dossiers by FY27 for long-term revenue visibility, and the continued growth of its domestic business at a 15-20% CAGR.</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1F5F8B"/>
          </w:tcPr>
          <w:p>
            <w:pPr>
              <w:spacing w:before="40" w:after="40"/>
            </w:pPr>
            <w:r>
              <w:rPr>
                <w:rFonts w:ascii="Calibri" w:hAnsi="Calibri"/>
                <w:b/>
                <w:color w:val="FFFFFF"/>
                <w:sz w:val="18"/>
              </w:rPr>
              <w:t>Metric</w:t>
            </w:r>
          </w:p>
        </w:tc>
        <w:tc>
          <w:tcPr>
            <w:tcW w:type="dxa" w:w="4320"/>
            <w:shd w:fill="1F5F8B"/>
          </w:tcPr>
          <w:p>
            <w:pPr>
              <w:spacing w:before="40" w:after="40"/>
            </w:pPr>
            <w:r>
              <w:rPr>
                <w:rFonts w:ascii="Calibri" w:hAnsi="Calibri"/>
                <w:b/>
                <w:color w:val="FFFFFF"/>
                <w:sz w:val="18"/>
              </w:rPr>
              <w:t>Value</w:t>
            </w:r>
          </w:p>
        </w:tc>
      </w:tr>
      <w:tr>
        <w:tc>
          <w:tcPr>
            <w:tcW w:type="dxa" w:w="4320"/>
          </w:tcPr>
          <w:p>
            <w:pPr>
              <w:spacing w:before="40" w:after="40"/>
            </w:pPr>
            <w:r>
              <w:rPr>
                <w:rFonts w:ascii="Calibri" w:hAnsi="Calibri"/>
                <w:b/>
                <w:sz w:val="18"/>
              </w:rPr>
              <w:t>CMP</w:t>
            </w:r>
          </w:p>
        </w:tc>
        <w:tc>
          <w:tcPr>
            <w:tcW w:type="dxa" w:w="4320"/>
          </w:tcPr>
          <w:p>
            <w:pPr>
              <w:spacing w:before="40" w:after="40"/>
            </w:pPr>
            <w:r>
              <w:rPr>
                <w:rFonts w:ascii="Calibri" w:hAnsi="Calibri"/>
                <w:sz w:val="18"/>
              </w:rPr>
              <w:t>111.30</w:t>
            </w:r>
          </w:p>
        </w:tc>
      </w:tr>
      <w:tr>
        <w:tc>
          <w:tcPr>
            <w:tcW w:type="dxa" w:w="4320"/>
            <w:shd w:fill="E8F0FE"/>
          </w:tcPr>
          <w:p>
            <w:pPr>
              <w:spacing w:before="40" w:after="40"/>
            </w:pPr>
            <w:r>
              <w:rPr>
                <w:rFonts w:ascii="Calibri" w:hAnsi="Calibri"/>
                <w:b/>
                <w:sz w:val="18"/>
              </w:rPr>
              <w:t>Market Cap</w:t>
            </w:r>
          </w:p>
        </w:tc>
        <w:tc>
          <w:tcPr>
            <w:tcW w:type="dxa" w:w="4320"/>
            <w:shd w:fill="E8F0FE"/>
          </w:tcPr>
          <w:p>
            <w:pPr>
              <w:spacing w:before="40" w:after="40"/>
            </w:pPr>
            <w:r>
              <w:rPr>
                <w:rFonts w:ascii="Calibri" w:hAnsi="Calibri"/>
                <w:sz w:val="18"/>
              </w:rPr>
              <w:t>908.33 Cr</w:t>
            </w:r>
          </w:p>
        </w:tc>
      </w:tr>
      <w:tr>
        <w:tc>
          <w:tcPr>
            <w:tcW w:type="dxa" w:w="4320"/>
          </w:tcPr>
          <w:p>
            <w:pPr>
              <w:spacing w:before="40" w:after="40"/>
            </w:pPr>
            <w:r>
              <w:rPr>
                <w:rFonts w:ascii="Calibri" w:hAnsi="Calibri"/>
                <w:b/>
                <w:sz w:val="18"/>
              </w:rPr>
              <w:t>P/E (TTM)</w:t>
            </w:r>
          </w:p>
        </w:tc>
        <w:tc>
          <w:tcPr>
            <w:tcW w:type="dxa" w:w="4320"/>
          </w:tcPr>
          <w:p>
            <w:pPr>
              <w:spacing w:before="40" w:after="40"/>
            </w:pPr>
            <w:r>
              <w:rPr>
                <w:rFonts w:ascii="Calibri" w:hAnsi="Calibri"/>
                <w:sz w:val="18"/>
              </w:rPr>
              <w:t>N/A</w:t>
            </w:r>
          </w:p>
        </w:tc>
      </w:tr>
      <w:tr>
        <w:tc>
          <w:tcPr>
            <w:tcW w:type="dxa" w:w="4320"/>
            <w:shd w:fill="E8F0FE"/>
          </w:tcPr>
          <w:p>
            <w:pPr>
              <w:spacing w:before="40" w:after="40"/>
            </w:pPr>
            <w:r>
              <w:rPr>
                <w:rFonts w:ascii="Calibri" w:hAnsi="Calibri"/>
                <w:b/>
                <w:sz w:val="18"/>
              </w:rPr>
              <w:t>P/B</w:t>
            </w:r>
          </w:p>
        </w:tc>
        <w:tc>
          <w:tcPr>
            <w:tcW w:type="dxa" w:w="4320"/>
            <w:shd w:fill="E8F0FE"/>
          </w:tcPr>
          <w:p>
            <w:pPr>
              <w:spacing w:before="40" w:after="40"/>
            </w:pPr>
            <w:r>
              <w:rPr>
                <w:rFonts w:ascii="Calibri" w:hAnsi="Calibri"/>
                <w:sz w:val="18"/>
              </w:rPr>
              <w:t>1.08</w:t>
            </w:r>
          </w:p>
        </w:tc>
      </w:tr>
      <w:tr>
        <w:tc>
          <w:tcPr>
            <w:tcW w:type="dxa" w:w="4320"/>
          </w:tcPr>
          <w:p>
            <w:pPr>
              <w:spacing w:before="40" w:after="40"/>
            </w:pPr>
            <w:r>
              <w:rPr>
                <w:rFonts w:ascii="Calibri" w:hAnsi="Calibri"/>
                <w:b/>
                <w:sz w:val="18"/>
              </w:rPr>
              <w:t>P/S (TTM)</w:t>
            </w:r>
          </w:p>
        </w:tc>
        <w:tc>
          <w:tcPr>
            <w:tcW w:type="dxa" w:w="4320"/>
          </w:tcPr>
          <w:p>
            <w:pPr>
              <w:spacing w:before="40" w:after="40"/>
            </w:pPr>
            <w:r>
              <w:rPr>
                <w:rFonts w:ascii="Calibri" w:hAnsi="Calibri"/>
                <w:sz w:val="18"/>
              </w:rPr>
              <w:t>1.66</w:t>
            </w:r>
          </w:p>
        </w:tc>
      </w:tr>
      <w:tr>
        <w:tc>
          <w:tcPr>
            <w:tcW w:type="dxa" w:w="4320"/>
            <w:shd w:fill="E8F0FE"/>
          </w:tcPr>
          <w:p>
            <w:pPr>
              <w:spacing w:before="40" w:after="40"/>
            </w:pPr>
            <w:r>
              <w:rPr>
                <w:rFonts w:ascii="Calibri" w:hAnsi="Calibri"/>
                <w:b/>
                <w:sz w:val="18"/>
              </w:rPr>
              <w:t>52-Week High/Low</w:t>
            </w:r>
          </w:p>
        </w:tc>
        <w:tc>
          <w:tcPr>
            <w:tcW w:type="dxa" w:w="4320"/>
            <w:shd w:fill="E8F0FE"/>
          </w:tcPr>
          <w:p>
            <w:pPr>
              <w:spacing w:before="40" w:after="40"/>
            </w:pPr>
            <w:r>
              <w:rPr>
                <w:rFonts w:ascii="Calibri" w:hAnsi="Calibri"/>
                <w:sz w:val="18"/>
              </w:rPr>
              <w:t>124.45 / 67.15</w:t>
            </w:r>
          </w:p>
        </w:tc>
      </w:tr>
      <w:tr>
        <w:tc>
          <w:tcPr>
            <w:tcW w:type="dxa" w:w="4320"/>
          </w:tcPr>
          <w:p>
            <w:pPr>
              <w:spacing w:before="40" w:after="40"/>
            </w:pPr>
            <w:r>
              <w:rPr>
                <w:rFonts w:ascii="Calibri" w:hAnsi="Calibri"/>
                <w:b/>
                <w:sz w:val="18"/>
              </w:rPr>
              <w:t>Debt-Equity Ratio</w:t>
            </w:r>
          </w:p>
        </w:tc>
        <w:tc>
          <w:tcPr>
            <w:tcW w:type="dxa" w:w="4320"/>
          </w:tcPr>
          <w:p>
            <w:pPr>
              <w:spacing w:before="40" w:after="40"/>
            </w:pPr>
            <w:r>
              <w:rPr>
                <w:rFonts w:ascii="Calibri" w:hAnsi="Calibri"/>
                <w:sz w:val="18"/>
              </w:rPr>
              <w:t>0.01</w:t>
            </w:r>
          </w:p>
        </w:tc>
      </w:tr>
      <w:tr>
        <w:tc>
          <w:tcPr>
            <w:tcW w:type="dxa" w:w="4320"/>
            <w:shd w:fill="E8F0FE"/>
          </w:tcPr>
          <w:p>
            <w:pPr>
              <w:spacing w:before="40" w:after="40"/>
            </w:pPr>
            <w:r>
              <w:rPr>
                <w:rFonts w:ascii="Calibri" w:hAnsi="Calibri"/>
                <w:b/>
                <w:sz w:val="18"/>
              </w:rPr>
              <w:t>ROE</w:t>
            </w:r>
          </w:p>
        </w:tc>
        <w:tc>
          <w:tcPr>
            <w:tcW w:type="dxa" w:w="4320"/>
            <w:shd w:fill="E8F0FE"/>
          </w:tcPr>
          <w:p>
            <w:pPr>
              <w:spacing w:before="40" w:after="40"/>
            </w:pPr>
            <w:r>
              <w:rPr>
                <w:rFonts w:ascii="Calibri" w:hAnsi="Calibri"/>
                <w:sz w:val="18"/>
              </w:rPr>
              <w:t>5.44%</w:t>
            </w:r>
          </w:p>
        </w:tc>
      </w:tr>
      <w:tr>
        <w:tc>
          <w:tcPr>
            <w:tcW w:type="dxa" w:w="4320"/>
          </w:tcPr>
          <w:p>
            <w:pPr>
              <w:spacing w:before="40" w:after="40"/>
            </w:pPr>
            <w:r>
              <w:rPr>
                <w:rFonts w:ascii="Calibri" w:hAnsi="Calibri"/>
                <w:b/>
                <w:sz w:val="18"/>
              </w:rPr>
              <w:t>ROCE</w:t>
            </w:r>
          </w:p>
        </w:tc>
        <w:tc>
          <w:tcPr>
            <w:tcW w:type="dxa" w:w="4320"/>
          </w:tcPr>
          <w:p>
            <w:pPr>
              <w:spacing w:before="40" w:after="40"/>
            </w:pPr>
            <w:r>
              <w:rPr>
                <w:rFonts w:ascii="Calibri" w:hAnsi="Calibri"/>
                <w:sz w:val="18"/>
              </w:rPr>
              <w:t>5.63%</w:t>
            </w:r>
          </w:p>
        </w:tc>
      </w:tr>
      <w:tr>
        <w:tc>
          <w:tcPr>
            <w:tcW w:type="dxa" w:w="4320"/>
            <w:shd w:fill="E8F0FE"/>
          </w:tcPr>
          <w:p>
            <w:pPr>
              <w:spacing w:before="40" w:after="40"/>
            </w:pPr>
            <w:r>
              <w:rPr>
                <w:rFonts w:ascii="Calibri" w:hAnsi="Calibri"/>
                <w:b/>
                <w:sz w:val="18"/>
              </w:rPr>
              <w:t>Promoter Holding</w:t>
            </w:r>
          </w:p>
        </w:tc>
        <w:tc>
          <w:tcPr>
            <w:tcW w:type="dxa" w:w="4320"/>
            <w:shd w:fill="E8F0FE"/>
          </w:tcPr>
          <w:p>
            <w:pPr>
              <w:spacing w:before="40" w:after="40"/>
            </w:pPr>
            <w:r>
              <w:rPr>
                <w:rFonts w:ascii="Calibri" w:hAnsi="Calibri"/>
                <w:sz w:val="18"/>
              </w:rPr>
              <w:t>39.49%</w:t>
            </w:r>
          </w:p>
        </w:tc>
      </w:tr>
      <w:tr>
        <w:tc>
          <w:tcPr>
            <w:tcW w:type="dxa" w:w="4320"/>
          </w:tcPr>
          <w:p>
            <w:pPr>
              <w:spacing w:before="40" w:after="40"/>
            </w:pPr>
            <w:r>
              <w:rPr>
                <w:rFonts w:ascii="Calibri" w:hAnsi="Calibri"/>
                <w:b/>
                <w:sz w:val="18"/>
              </w:rPr>
              <w:t>Dividend Yield</w:t>
            </w:r>
          </w:p>
        </w:tc>
        <w:tc>
          <w:tcPr>
            <w:tcW w:type="dxa" w:w="4320"/>
          </w:tcPr>
          <w:p>
            <w:pPr>
              <w:spacing w:before="40" w:after="40"/>
            </w:pPr>
            <w:r>
              <w:rPr>
                <w:rFonts w:ascii="Calibri" w:hAnsi="Calibri"/>
                <w:sz w:val="18"/>
              </w:rPr>
              <w:t>0.00%</w:t>
            </w:r>
          </w:p>
        </w:tc>
      </w:tr>
    </w:tbl>
    <w:p/>
    <w:p>
      <w:pPr>
        <w:pStyle w:val="Heading1"/>
      </w:pPr>
      <w:r>
        <w:rPr>
          <w:rFonts w:ascii="Calibri" w:hAnsi="Calibri"/>
          <w:color w:val="1F5F8B"/>
          <w:sz w:val="32"/>
        </w:rPr>
        <w:t>1A. Company Brief</w:t>
      </w:r>
    </w:p>
    <w:p>
      <w:pPr>
        <w:spacing w:before="0" w:after="120"/>
      </w:pPr>
    </w:p>
    <w:p>
      <w:pPr>
        <w:spacing w:after="80"/>
      </w:pPr>
      <w:r>
        <w:rPr>
          <w:rFonts w:ascii="Calibri" w:hAnsi="Calibri"/>
          <w:color w:val="333333"/>
          <w:sz w:val="20"/>
        </w:rPr>
        <w:t>Ind-Swift Laboratories Limited is a research-led pharmaceutical formulations company headquartered in Chandigarh, India. The company manufactures a wide range of finished dosage formulations, including tablets, capsules, ointments, injectables, liquids, and dry syrups. Its extensive product portfolio, with over 750 product registrations, spans key therapeutic areas such as gynaecology, paediatrics, cardiology, diabetology, and dermatology. ISLL operates state-of-the-art manufacturing facilities located in Derabassi (Punjab), Parwanoo (Himachal Pradesh), and Jammu &amp; Kashmir. The Derabassi facility serves as a 100% Export-Oriented Global Business Unit (GBU), adhering to stringent international standards and holding approvals from leading regulators including UK MHRA, WHO GMP, and TGA. The company's R&amp;D facilities, recognized by the Department of Science &amp; Technology, Government of India, are equipped with advanced infrastructure and a strong team of scientists, enabling continuous product development, contract manufacturing, and out-licensing opportunities. ISLL has a significant global footprint across Europe, the Middle East, Southeast Asia, and Africa, built through established long-term supply alliances with reputable global companies, as well as overseas joint ventures and subsidiaries. The company's business model is supported by multiple growth avenues including Contract Development &amp; Manufacturing (CDMO), Contract Manufacturing (CMO), Out-Licensing of Proprietary Products, Contract Research &amp; Development, and Distribution &amp; Marketing Alliances.</w:t>
      </w:r>
    </w:p>
    <w:p>
      <w:pPr>
        <w:pStyle w:val="Heading1"/>
      </w:pPr>
      <w:r>
        <w:rPr>
          <w:rFonts w:ascii="Calibri" w:hAnsi="Calibri"/>
          <w:color w:val="1F5F8B"/>
          <w:sz w:val="32"/>
        </w:rPr>
        <w:t>1B. News &amp; Industry Overview</w:t>
      </w:r>
    </w:p>
    <w:p>
      <w:pPr>
        <w:spacing w:before="0" w:after="120"/>
      </w:pPr>
    </w:p>
    <w:p>
      <w:pPr>
        <w:spacing w:after="80"/>
      </w:pPr>
      <w:r>
        <w:rPr>
          <w:rFonts w:ascii="Calibri" w:hAnsi="Calibri"/>
          <w:color w:val="333333"/>
          <w:sz w:val="20"/>
        </w:rPr>
        <w:t>In the recent past, Ind-Swift Laboratories has been characterized by a significant strategic overhaul, culminating in the divestment of its API and CRAMS business and the merger of its erstwhile group company, Ind-Swift Limited, into ISLL. This transformation has been widely reported as a positive step, creating a debt-free, pure-play formulations entity with a sharpened focus. Management commentary highlights a commitment to accelerating growth through CDMO partnerships, particularly the Viatris collaboration, and expanding its own-brand presence in emerging markets. The company's annual report for FY24-25 emphasizes this "transformative leap forward," underscoring a return to its foundational roots in formulations with a stronger, more agile operational structure. Analyst commentary, where available, generally views the strategic reset favorably, anticipating improved profitability and scalability.</w:t>
      </w:r>
    </w:p>
    <w:p>
      <w:pPr>
        <w:spacing w:after="80"/>
      </w:pPr>
      <w:r>
        <w:rPr>
          <w:rFonts w:ascii="Calibri" w:hAnsi="Calibri"/>
          <w:color w:val="333333"/>
          <w:sz w:val="20"/>
        </w:rPr>
        <w:t>The global pharmaceutical formulations market is experiencing robust growth, driven by factors such as the increasing prevalence of chronic diseases, an aging global population, and advancements in drug delivery systems. The Asia-Pacific region, in particular, is a key growth engine, with India solidifying its position as the "Pharmacy of the World." The Indian pharmaceutical market is projected to grow significantly, supported by strong domestic fundamentals, export momentum, and favorable government policies like the Production Linked Incentive (PLI) scheme. The Contract Development and Manufacturing Organisation (CDMO) segment within India is also witnessing substantial expansion, fueled by competitive manufacturing costs and strong regulatory compliance. However, the sector faces headwinds including inflationary pressures on input costs, currency volatility, and stringent regulatory compliance requirements in key export markets. Ind-Swift Laboratories, with its focus on regulated markets and a diversified product portfolio, is well-positioned to navigate these trends, although execution risk in scaling up new initiatives remains a key consideration. The competitive landscape is intense, with numerous Indian and global players vying for market share in both generic and branded formulations.</w:t>
      </w:r>
    </w:p>
    <w:p>
      <w:pPr>
        <w:pStyle w:val="Heading1"/>
      </w:pPr>
      <w:r>
        <w:rPr>
          <w:rFonts w:ascii="Calibri" w:hAnsi="Calibri"/>
          <w:color w:val="1F5F8B"/>
          <w:sz w:val="32"/>
        </w:rPr>
        <w:t>2. Key Developments Over Past 1 Year</w:t>
      </w:r>
    </w:p>
    <w:p>
      <w:pPr>
        <w:spacing w:before="0" w:after="120"/>
      </w:pPr>
    </w:p>
    <w:p>
      <w:pPr>
        <w:pStyle w:val="Heading2"/>
      </w:pPr>
      <w:r>
        <w:rPr>
          <w:rFonts w:ascii="Calibri" w:hAnsi="Calibri"/>
          <w:color w:val="1F5F8B"/>
          <w:sz w:val="26"/>
        </w:rPr>
        <w:t>Divestment of API &amp; CRAMS Business</w:t>
      </w:r>
    </w:p>
    <w:p>
      <w:pPr>
        <w:spacing w:after="80"/>
      </w:pPr>
      <w:r>
        <w:rPr>
          <w:rFonts w:ascii="Calibri" w:hAnsi="Calibri"/>
          <w:color w:val="333333"/>
          <w:sz w:val="20"/>
        </w:rPr>
        <w:t>Ind-Swift Laboratories completed the slump sale of its API &amp; CRAMS business to Synthimed Labs Pvt. Ltd. for ₹1,650 crore. This transaction was effective from March 18, 2024, and the proceeds were utilized to repay all external debt, significantly deleveraging the company's balance sheet. This strategic exit from a capital-intensive business marked a crucial step in the company's transformation into a pure-play formulations player.</w:t>
      </w:r>
    </w:p>
    <w:p>
      <w:pPr>
        <w:pStyle w:val="Heading2"/>
      </w:pPr>
      <w:r>
        <w:rPr>
          <w:rFonts w:ascii="Calibri" w:hAnsi="Calibri"/>
          <w:color w:val="1F5F8B"/>
          <w:sz w:val="26"/>
        </w:rPr>
        <w:t>Merger of Ind-Swift Limited with ISLL</w:t>
      </w:r>
    </w:p>
    <w:p>
      <w:pPr>
        <w:spacing w:after="80"/>
      </w:pPr>
      <w:r>
        <w:rPr>
          <w:rFonts w:ascii="Calibri" w:hAnsi="Calibri"/>
          <w:color w:val="333333"/>
          <w:sz w:val="20"/>
        </w:rPr>
        <w:t>The merger of Ind-Swift Limited (Transferor Company) with Ind-Swift Laboratories Limited (Transferee Company) was sanctioned by the Hon'ble NCLT, Chandigarh Bench, via an order dated July 17, 2025. The scheme became effective from August 8, 2025, with an appointed date of March 31, 2024. This amalgamation consolidated the group's operations into a single, streamlined, formulation-focused listed entity, creating operational synergies and simplifying the corporate structure.</w:t>
      </w:r>
    </w:p>
    <w:p>
      <w:pPr>
        <w:pStyle w:val="Heading2"/>
      </w:pPr>
      <w:r>
        <w:rPr>
          <w:rFonts w:ascii="Calibri" w:hAnsi="Calibri"/>
          <w:color w:val="1F5F8B"/>
          <w:sz w:val="26"/>
        </w:rPr>
        <w:t>Balance Sheet Transformation: Debt-Free Status</w:t>
      </w:r>
    </w:p>
    <w:p>
      <w:pPr>
        <w:spacing w:after="80"/>
      </w:pPr>
      <w:r>
        <w:rPr>
          <w:rFonts w:ascii="Calibri" w:hAnsi="Calibri"/>
          <w:color w:val="333333"/>
          <w:sz w:val="20"/>
        </w:rPr>
        <w:t>Following the divestment of the API business and the utilization of proceeds for debt repayment, Ind-Swift Laboratories achieved a net debt-free status. This balance sheet reset from a leveraged profile to a debt-free entity provides significant financial flexibility for future growth investments and operational expansion.</w:t>
      </w:r>
    </w:p>
    <w:p>
      <w:pPr>
        <w:pStyle w:val="Heading2"/>
      </w:pPr>
      <w:r>
        <w:rPr>
          <w:rFonts w:ascii="Calibri" w:hAnsi="Calibri"/>
          <w:color w:val="1F5F8B"/>
          <w:sz w:val="26"/>
        </w:rPr>
        <w:t>Leadership Re-designations</w:t>
      </w:r>
    </w:p>
    <w:p>
      <w:pPr>
        <w:spacing w:after="80"/>
      </w:pPr>
      <w:r>
        <w:rPr>
          <w:rFonts w:ascii="Calibri" w:hAnsi="Calibri"/>
          <w:color w:val="333333"/>
          <w:sz w:val="20"/>
        </w:rPr>
        <w:t>Effective February 1, 2026, the company announced several key leadership re-designations. Mr. Navrattan Munjal was re-designated as Chairman and Whole-Time Director. Mr. Himanshu Jain was appointed as Managing Director (Domestic Operations), and Mr. Sahil Munjal was appointed as Managing Director (Global Operations). These changes reflect a structured approach to management succession and operational leadership.</w:t>
      </w:r>
    </w:p>
    <w:p>
      <w:pPr>
        <w:pStyle w:val="Heading2"/>
      </w:pPr>
      <w:r>
        <w:rPr>
          <w:rFonts w:ascii="Calibri" w:hAnsi="Calibri"/>
          <w:color w:val="1F5F8B"/>
          <w:sz w:val="26"/>
        </w:rPr>
        <w:t>Preferential Issue of Warrants</w:t>
      </w:r>
    </w:p>
    <w:p>
      <w:pPr>
        <w:spacing w:after="80"/>
      </w:pPr>
      <w:r>
        <w:rPr>
          <w:rFonts w:ascii="Calibri" w:hAnsi="Calibri"/>
          <w:color w:val="333333"/>
          <w:sz w:val="20"/>
        </w:rPr>
        <w:t>On June 27, 2024, the Board approved a preferential issue of 2,60,00,000 fully convertible warrants at an issue price of ₹121 per warrant, aggregating to ₹314.60 crore. Shareholders approved this issue on July 22, 2024. As of March 31, 2025, 15,32,000 warrants were converted into equity shares.</w:t>
      </w:r>
    </w:p>
    <w:p>
      <w:pPr>
        <w:pStyle w:val="Heading2"/>
      </w:pPr>
      <w:r>
        <w:rPr>
          <w:rFonts w:ascii="Calibri" w:hAnsi="Calibri"/>
          <w:color w:val="1F5F8B"/>
          <w:sz w:val="26"/>
        </w:rPr>
        <w:t>SAST Disclosures and Shareholding Changes</w:t>
      </w:r>
    </w:p>
    <w:p>
      <w:pPr>
        <w:spacing w:after="80"/>
      </w:pPr>
      <w:r>
        <w:rPr>
          <w:rFonts w:ascii="Calibri" w:hAnsi="Calibri"/>
          <w:color w:val="333333"/>
          <w:sz w:val="20"/>
        </w:rPr>
        <w:t>Several SAST disclosures were filed throughout the year, primarily related to the conversion of warrants into equity shares by entities like Zeal Global Opportunities Fund and Essix Biosciences Limited, and the transmission of shares among promoter group members following the amalgamation. These movements reflect ongoing adjustments within the promoter group and strategic investments by institutional investors.</w:t>
      </w:r>
    </w:p>
    <w:p>
      <w:pPr>
        <w:pStyle w:val="Heading2"/>
      </w:pPr>
      <w:r>
        <w:rPr>
          <w:rFonts w:ascii="Calibri" w:hAnsi="Calibri"/>
          <w:color w:val="1F5F8B"/>
          <w:sz w:val="26"/>
        </w:rPr>
        <w:t>Regulatory Actions and Penalties</w:t>
      </w:r>
    </w:p>
    <w:p>
      <w:pPr>
        <w:spacing w:after="80"/>
      </w:pPr>
      <w:r>
        <w:rPr>
          <w:rFonts w:ascii="Calibri" w:hAnsi="Calibri"/>
          <w:color w:val="333333"/>
          <w:sz w:val="20"/>
        </w:rPr>
        <w:t>The company received penalties from NSE and BSE under Regulation 29 of SEBI (LODR) Regulations, 2015, for delays in intimating board meetings related to NCD redemption. These penalties were subsequently waived. Additionally, a penalty was levied in July/August 2025 for the delay in adopting merged financial statements, which the company paid. These were largely procedural and did not indicate fundamental governance issues.</w:t>
      </w:r>
    </w:p>
    <w:p>
      <w:pPr>
        <w:pStyle w:val="Heading1"/>
      </w:pPr>
      <w:r>
        <w:rPr>
          <w:rFonts w:ascii="Calibri" w:hAnsi="Calibri"/>
          <w:color w:val="1F5F8B"/>
          <w:sz w:val="32"/>
        </w:rPr>
        <w:t>3. Financial Analysis</w:t>
      </w:r>
    </w:p>
    <w:p>
      <w:pPr>
        <w:spacing w:before="0" w:after="120"/>
      </w:pPr>
    </w:p>
    <w:p>
      <w:pPr>
        <w:spacing w:after="80"/>
      </w:pPr>
      <w:r>
        <w:rPr>
          <w:rFonts w:ascii="Calibri" w:hAnsi="Calibri"/>
          <w:color w:val="333333"/>
          <w:sz w:val="20"/>
        </w:rPr>
        <w:t>Ind-Swift Laboratories has demonstrated a significant financial transformation following its strategic restructuring. For FY25, the company reported consolidated revenue of ₹54,964.67 lakhs, a substantial decrease from FY24's ₹170,914.99 lakhs, primarily due to the divestment of the API business. However, the focus has shifted to the higher-margin formulations business, with exports contributing ₹39,923.33 lakhs and the domestic business ₹15,041.34 lakhs in FY25. The company achieved a consolidated net profit of ₹25,047.66 lakhs in FY25, compared to ₹53,875.02 lakhs in FY24, which included an exceptional gain from the API slump sale. The balance sheet reflects a strong position with total equity of ₹117,296.50 lakhs and a significantly reduced debt profile, resulting in a debt-equity ratio of 0.01 as of March 31, 2025. The company's cash flow from operations has been impacted by working capital adjustments, but the overall liquidity position remains healthy with closing cash and equivalents of ₹42,803.83 lakhs as of March 31, 2025. The management's guidance points towards a revenue CAGR of 20-25% and EBITDA margin expansion, indicating a positive outlook for future financial performance.</w:t>
      </w:r>
    </w:p>
    <w:p>
      <w:pPr>
        <w:pStyle w:val="Heading2"/>
      </w:pPr>
      <w:r>
        <w:rPr>
          <w:rFonts w:ascii="Calibri" w:hAnsi="Calibri"/>
          <w:color w:val="1F5F8B"/>
          <w:sz w:val="26"/>
        </w:rPr>
        <w:t>3.1 Consolidated Profit &amp; Loss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shd w:fill="1F5F8B"/>
          </w:tcPr>
          <w:p>
            <w:pPr>
              <w:spacing w:before="40" w:after="40"/>
            </w:pPr>
            <w:r>
              <w:rPr>
                <w:rFonts w:ascii="Calibri" w:hAnsi="Calibri"/>
                <w:b/>
                <w:color w:val="FFFFFF"/>
                <w:sz w:val="18"/>
              </w:rPr>
            </w:r>
          </w:p>
        </w:tc>
        <w:tc>
          <w:tcPr>
            <w:tcW w:type="dxa" w:w="617"/>
            <w:shd w:fill="1F5F8B"/>
          </w:tcPr>
          <w:p>
            <w:pPr>
              <w:spacing w:before="40" w:after="40"/>
            </w:pPr>
            <w:r>
              <w:rPr>
                <w:rFonts w:ascii="Calibri" w:hAnsi="Calibri"/>
                <w:b/>
                <w:color w:val="FFFFFF"/>
                <w:sz w:val="18"/>
              </w:rPr>
              <w:t>Mar 2014</w:t>
            </w:r>
          </w:p>
        </w:tc>
        <w:tc>
          <w:tcPr>
            <w:tcW w:type="dxa" w:w="617"/>
            <w:shd w:fill="1F5F8B"/>
          </w:tcPr>
          <w:p>
            <w:pPr>
              <w:spacing w:before="40" w:after="40"/>
            </w:pPr>
            <w:r>
              <w:rPr>
                <w:rFonts w:ascii="Calibri" w:hAnsi="Calibri"/>
                <w:b/>
                <w:color w:val="FFFFFF"/>
                <w:sz w:val="18"/>
              </w:rPr>
              <w:t>Mar 2015</w:t>
            </w:r>
          </w:p>
        </w:tc>
        <w:tc>
          <w:tcPr>
            <w:tcW w:type="dxa" w:w="617"/>
            <w:shd w:fill="1F5F8B"/>
          </w:tcPr>
          <w:p>
            <w:pPr>
              <w:spacing w:before="40" w:after="40"/>
            </w:pPr>
            <w:r>
              <w:rPr>
                <w:rFonts w:ascii="Calibri" w:hAnsi="Calibri"/>
                <w:b/>
                <w:color w:val="FFFFFF"/>
                <w:sz w:val="18"/>
              </w:rPr>
              <w:t>Mar 2016</w:t>
            </w:r>
          </w:p>
        </w:tc>
        <w:tc>
          <w:tcPr>
            <w:tcW w:type="dxa" w:w="617"/>
            <w:shd w:fill="1F5F8B"/>
          </w:tcPr>
          <w:p>
            <w:pPr>
              <w:spacing w:before="40" w:after="40"/>
            </w:pPr>
            <w:r>
              <w:rPr>
                <w:rFonts w:ascii="Calibri" w:hAnsi="Calibri"/>
                <w:b/>
                <w:color w:val="FFFFFF"/>
                <w:sz w:val="18"/>
              </w:rPr>
              <w:t>Mar 2017</w:t>
            </w:r>
          </w:p>
        </w:tc>
        <w:tc>
          <w:tcPr>
            <w:tcW w:type="dxa" w:w="617"/>
            <w:shd w:fill="1F5F8B"/>
          </w:tcPr>
          <w:p>
            <w:pPr>
              <w:spacing w:before="40" w:after="40"/>
            </w:pPr>
            <w:r>
              <w:rPr>
                <w:rFonts w:ascii="Calibri" w:hAnsi="Calibri"/>
                <w:b/>
                <w:color w:val="FFFFFF"/>
                <w:sz w:val="18"/>
              </w:rPr>
              <w:t>Mar 2018</w:t>
            </w:r>
          </w:p>
        </w:tc>
        <w:tc>
          <w:tcPr>
            <w:tcW w:type="dxa" w:w="617"/>
            <w:shd w:fill="1F5F8B"/>
          </w:tcPr>
          <w:p>
            <w:pPr>
              <w:spacing w:before="40" w:after="40"/>
            </w:pPr>
            <w:r>
              <w:rPr>
                <w:rFonts w:ascii="Calibri" w:hAnsi="Calibri"/>
                <w:b/>
                <w:color w:val="FFFFFF"/>
                <w:sz w:val="18"/>
              </w:rPr>
              <w:t>Mar 2019</w:t>
            </w:r>
          </w:p>
        </w:tc>
        <w:tc>
          <w:tcPr>
            <w:tcW w:type="dxa" w:w="617"/>
            <w:shd w:fill="1F5F8B"/>
          </w:tcPr>
          <w:p>
            <w:pPr>
              <w:spacing w:before="40" w:after="40"/>
            </w:pPr>
            <w:r>
              <w:rPr>
                <w:rFonts w:ascii="Calibri" w:hAnsi="Calibri"/>
                <w:b/>
                <w:color w:val="FFFFFF"/>
                <w:sz w:val="18"/>
              </w:rPr>
              <w:t>Mar 2020</w:t>
            </w:r>
          </w:p>
        </w:tc>
        <w:tc>
          <w:tcPr>
            <w:tcW w:type="dxa" w:w="617"/>
            <w:shd w:fill="1F5F8B"/>
          </w:tcPr>
          <w:p>
            <w:pPr>
              <w:spacing w:before="40" w:after="40"/>
            </w:pPr>
            <w:r>
              <w:rPr>
                <w:rFonts w:ascii="Calibri" w:hAnsi="Calibri"/>
                <w:b/>
                <w:color w:val="FFFFFF"/>
                <w:sz w:val="18"/>
              </w:rPr>
              <w:t>Mar 2021</w:t>
            </w:r>
          </w:p>
        </w:tc>
        <w:tc>
          <w:tcPr>
            <w:tcW w:type="dxa" w:w="617"/>
            <w:shd w:fill="1F5F8B"/>
          </w:tcPr>
          <w:p>
            <w:pPr>
              <w:spacing w:before="40" w:after="40"/>
            </w:pPr>
            <w:r>
              <w:rPr>
                <w:rFonts w:ascii="Calibri" w:hAnsi="Calibri"/>
                <w:b/>
                <w:color w:val="FFFFFF"/>
                <w:sz w:val="18"/>
              </w:rPr>
              <w:t>Mar 2022</w:t>
            </w:r>
          </w:p>
        </w:tc>
        <w:tc>
          <w:tcPr>
            <w:tcW w:type="dxa" w:w="617"/>
            <w:shd w:fill="1F5F8B"/>
          </w:tcPr>
          <w:p>
            <w:pPr>
              <w:spacing w:before="40" w:after="40"/>
            </w:pPr>
            <w:r>
              <w:rPr>
                <w:rFonts w:ascii="Calibri" w:hAnsi="Calibri"/>
                <w:b/>
                <w:color w:val="FFFFFF"/>
                <w:sz w:val="18"/>
              </w:rPr>
              <w:t>Mar 2023</w:t>
            </w:r>
          </w:p>
        </w:tc>
        <w:tc>
          <w:tcPr>
            <w:tcW w:type="dxa" w:w="617"/>
            <w:shd w:fill="1F5F8B"/>
          </w:tcPr>
          <w:p>
            <w:pPr>
              <w:spacing w:before="40" w:after="40"/>
            </w:pPr>
            <w:r>
              <w:rPr>
                <w:rFonts w:ascii="Calibri" w:hAnsi="Calibri"/>
                <w:b/>
                <w:color w:val="FFFFFF"/>
                <w:sz w:val="18"/>
              </w:rPr>
              <w:t>Mar 2024</w:t>
            </w:r>
          </w:p>
        </w:tc>
        <w:tc>
          <w:tcPr>
            <w:tcW w:type="dxa" w:w="617"/>
            <w:shd w:fill="1F5F8B"/>
          </w:tcPr>
          <w:p>
            <w:pPr>
              <w:spacing w:before="40" w:after="40"/>
            </w:pPr>
            <w:r>
              <w:rPr>
                <w:rFonts w:ascii="Calibri" w:hAnsi="Calibri"/>
                <w:b/>
                <w:color w:val="FFFFFF"/>
                <w:sz w:val="18"/>
              </w:rPr>
              <w:t>Mar 2025</w:t>
            </w:r>
          </w:p>
        </w:tc>
        <w:tc>
          <w:tcPr>
            <w:tcW w:type="dxa" w:w="617"/>
            <w:shd w:fill="1F5F8B"/>
          </w:tcPr>
          <w:p>
            <w:pPr>
              <w:spacing w:before="40" w:after="40"/>
            </w:pPr>
            <w:r>
              <w:rPr>
                <w:rFonts w:ascii="Calibri" w:hAnsi="Calibri"/>
                <w:b/>
                <w:color w:val="FFFFFF"/>
                <w:sz w:val="18"/>
              </w:rPr>
              <w:t>TTM</w:t>
            </w:r>
          </w:p>
        </w:tc>
      </w:tr>
      <w:tr>
        <w:tc>
          <w:tcPr>
            <w:tcW w:type="dxa" w:w="617"/>
          </w:tcPr>
          <w:p>
            <w:pPr>
              <w:spacing w:before="40" w:after="40"/>
            </w:pPr>
            <w:r>
              <w:rPr>
                <w:rFonts w:ascii="Calibri" w:hAnsi="Calibri"/>
                <w:b/>
                <w:sz w:val="18"/>
              </w:rPr>
              <w:t>Sales+</w:t>
            </w:r>
          </w:p>
        </w:tc>
        <w:tc>
          <w:tcPr>
            <w:tcW w:type="dxa" w:w="617"/>
          </w:tcPr>
          <w:p>
            <w:pPr>
              <w:spacing w:before="40" w:after="40"/>
            </w:pPr>
            <w:r>
              <w:rPr>
                <w:rFonts w:ascii="Calibri" w:hAnsi="Calibri"/>
                <w:sz w:val="18"/>
              </w:rPr>
              <w:t>965</w:t>
            </w:r>
          </w:p>
        </w:tc>
        <w:tc>
          <w:tcPr>
            <w:tcW w:type="dxa" w:w="617"/>
          </w:tcPr>
          <w:p>
            <w:pPr>
              <w:spacing w:before="40" w:after="40"/>
            </w:pPr>
            <w:r>
              <w:rPr>
                <w:rFonts w:ascii="Calibri" w:hAnsi="Calibri"/>
                <w:sz w:val="18"/>
              </w:rPr>
              <w:t>660</w:t>
            </w:r>
          </w:p>
        </w:tc>
        <w:tc>
          <w:tcPr>
            <w:tcW w:type="dxa" w:w="617"/>
          </w:tcPr>
          <w:p>
            <w:pPr>
              <w:spacing w:before="40" w:after="40"/>
            </w:pPr>
            <w:r>
              <w:rPr>
                <w:rFonts w:ascii="Calibri" w:hAnsi="Calibri"/>
                <w:sz w:val="18"/>
              </w:rPr>
              <w:t>653</w:t>
            </w:r>
          </w:p>
        </w:tc>
        <w:tc>
          <w:tcPr>
            <w:tcW w:type="dxa" w:w="617"/>
          </w:tcPr>
          <w:p>
            <w:pPr>
              <w:spacing w:before="40" w:after="40"/>
            </w:pPr>
            <w:r>
              <w:rPr>
                <w:rFonts w:ascii="Calibri" w:hAnsi="Calibri"/>
                <w:sz w:val="18"/>
              </w:rPr>
              <w:t>716</w:t>
            </w:r>
          </w:p>
        </w:tc>
        <w:tc>
          <w:tcPr>
            <w:tcW w:type="dxa" w:w="617"/>
          </w:tcPr>
          <w:p>
            <w:pPr>
              <w:spacing w:before="40" w:after="40"/>
            </w:pPr>
            <w:r>
              <w:rPr>
                <w:rFonts w:ascii="Calibri" w:hAnsi="Calibri"/>
                <w:sz w:val="18"/>
              </w:rPr>
              <w:t>765</w:t>
            </w:r>
          </w:p>
        </w:tc>
        <w:tc>
          <w:tcPr>
            <w:tcW w:type="dxa" w:w="617"/>
          </w:tcPr>
          <w:p>
            <w:pPr>
              <w:spacing w:before="40" w:after="40"/>
            </w:pPr>
            <w:r>
              <w:rPr>
                <w:rFonts w:ascii="Calibri" w:hAnsi="Calibri"/>
                <w:sz w:val="18"/>
              </w:rPr>
              <w:t>757</w:t>
            </w:r>
          </w:p>
        </w:tc>
        <w:tc>
          <w:tcPr>
            <w:tcW w:type="dxa" w:w="617"/>
          </w:tcPr>
          <w:p>
            <w:pPr>
              <w:spacing w:before="40" w:after="40"/>
            </w:pPr>
            <w:r>
              <w:rPr>
                <w:rFonts w:ascii="Calibri" w:hAnsi="Calibri"/>
                <w:sz w:val="18"/>
              </w:rPr>
              <w:t>780</w:t>
            </w:r>
          </w:p>
        </w:tc>
        <w:tc>
          <w:tcPr>
            <w:tcW w:type="dxa" w:w="617"/>
          </w:tcPr>
          <w:p>
            <w:pPr>
              <w:spacing w:before="40" w:after="40"/>
            </w:pPr>
            <w:r>
              <w:rPr>
                <w:rFonts w:ascii="Calibri" w:hAnsi="Calibri"/>
                <w:sz w:val="18"/>
              </w:rPr>
              <w:t>891</w:t>
            </w:r>
          </w:p>
        </w:tc>
        <w:tc>
          <w:tcPr>
            <w:tcW w:type="dxa" w:w="617"/>
          </w:tcPr>
          <w:p>
            <w:pPr>
              <w:spacing w:before="40" w:after="40"/>
            </w:pPr>
            <w:r>
              <w:rPr>
                <w:rFonts w:ascii="Calibri" w:hAnsi="Calibri"/>
                <w:sz w:val="18"/>
              </w:rPr>
              <w:t>1,039</w:t>
            </w:r>
          </w:p>
        </w:tc>
        <w:tc>
          <w:tcPr>
            <w:tcW w:type="dxa" w:w="617"/>
          </w:tcPr>
          <w:p>
            <w:pPr>
              <w:spacing w:before="40" w:after="40"/>
            </w:pPr>
            <w:r>
              <w:rPr>
                <w:rFonts w:ascii="Calibri" w:hAnsi="Calibri"/>
                <w:sz w:val="18"/>
              </w:rPr>
              <w:t>1,207</w:t>
            </w:r>
          </w:p>
        </w:tc>
        <w:tc>
          <w:tcPr>
            <w:tcW w:type="dxa" w:w="617"/>
          </w:tcPr>
          <w:p>
            <w:pPr>
              <w:spacing w:before="40" w:after="40"/>
            </w:pPr>
            <w:r>
              <w:rPr>
                <w:rFonts w:ascii="Calibri" w:hAnsi="Calibri"/>
                <w:sz w:val="18"/>
              </w:rPr>
              <w:t>1,709</w:t>
            </w:r>
          </w:p>
        </w:tc>
        <w:tc>
          <w:tcPr>
            <w:tcW w:type="dxa" w:w="617"/>
          </w:tcPr>
          <w:p>
            <w:pPr>
              <w:spacing w:before="40" w:after="40"/>
            </w:pPr>
            <w:r>
              <w:rPr>
                <w:rFonts w:ascii="Calibri" w:hAnsi="Calibri"/>
                <w:sz w:val="18"/>
              </w:rPr>
              <w:t>562</w:t>
            </w:r>
          </w:p>
        </w:tc>
        <w:tc>
          <w:tcPr>
            <w:tcW w:type="dxa" w:w="617"/>
          </w:tcPr>
          <w:p>
            <w:pPr>
              <w:spacing w:before="40" w:after="40"/>
            </w:pPr>
            <w:r>
              <w:rPr>
                <w:rFonts w:ascii="Calibri" w:hAnsi="Calibri"/>
                <w:sz w:val="18"/>
              </w:rPr>
              <w:t>594</w:t>
            </w:r>
          </w:p>
        </w:tc>
      </w:tr>
      <w:tr>
        <w:tc>
          <w:tcPr>
            <w:tcW w:type="dxa" w:w="617"/>
            <w:shd w:fill="E8F0FE"/>
          </w:tcPr>
          <w:p>
            <w:pPr>
              <w:spacing w:before="40" w:after="40"/>
            </w:pPr>
            <w:r>
              <w:rPr>
                <w:rFonts w:ascii="Calibri" w:hAnsi="Calibri"/>
                <w:b/>
                <w:sz w:val="18"/>
              </w:rPr>
              <w:t>Expenses+</w:t>
            </w:r>
          </w:p>
        </w:tc>
        <w:tc>
          <w:tcPr>
            <w:tcW w:type="dxa" w:w="617"/>
            <w:shd w:fill="E8F0FE"/>
          </w:tcPr>
          <w:p>
            <w:pPr>
              <w:spacing w:before="40" w:after="40"/>
            </w:pPr>
            <w:r>
              <w:rPr>
                <w:rFonts w:ascii="Calibri" w:hAnsi="Calibri"/>
                <w:sz w:val="18"/>
              </w:rPr>
              <w:t>906</w:t>
            </w:r>
          </w:p>
        </w:tc>
        <w:tc>
          <w:tcPr>
            <w:tcW w:type="dxa" w:w="617"/>
            <w:shd w:fill="E8F0FE"/>
          </w:tcPr>
          <w:p>
            <w:pPr>
              <w:spacing w:before="40" w:after="40"/>
            </w:pPr>
            <w:r>
              <w:rPr>
                <w:rFonts w:ascii="Calibri" w:hAnsi="Calibri"/>
                <w:sz w:val="18"/>
              </w:rPr>
              <w:t>571</w:t>
            </w:r>
          </w:p>
        </w:tc>
        <w:tc>
          <w:tcPr>
            <w:tcW w:type="dxa" w:w="617"/>
            <w:shd w:fill="E8F0FE"/>
          </w:tcPr>
          <w:p>
            <w:pPr>
              <w:spacing w:before="40" w:after="40"/>
            </w:pPr>
            <w:r>
              <w:rPr>
                <w:rFonts w:ascii="Calibri" w:hAnsi="Calibri"/>
                <w:sz w:val="18"/>
              </w:rPr>
              <w:t>546</w:t>
            </w:r>
          </w:p>
        </w:tc>
        <w:tc>
          <w:tcPr>
            <w:tcW w:type="dxa" w:w="617"/>
            <w:shd w:fill="E8F0FE"/>
          </w:tcPr>
          <w:p>
            <w:pPr>
              <w:spacing w:before="40" w:after="40"/>
            </w:pPr>
            <w:r>
              <w:rPr>
                <w:rFonts w:ascii="Calibri" w:hAnsi="Calibri"/>
                <w:sz w:val="18"/>
              </w:rPr>
              <w:t>610</w:t>
            </w:r>
          </w:p>
        </w:tc>
        <w:tc>
          <w:tcPr>
            <w:tcW w:type="dxa" w:w="617"/>
            <w:shd w:fill="E8F0FE"/>
          </w:tcPr>
          <w:p>
            <w:pPr>
              <w:spacing w:before="40" w:after="40"/>
            </w:pPr>
            <w:r>
              <w:rPr>
                <w:rFonts w:ascii="Calibri" w:hAnsi="Calibri"/>
                <w:sz w:val="18"/>
              </w:rPr>
              <w:t>631</w:t>
            </w:r>
          </w:p>
        </w:tc>
        <w:tc>
          <w:tcPr>
            <w:tcW w:type="dxa" w:w="617"/>
            <w:shd w:fill="E8F0FE"/>
          </w:tcPr>
          <w:p>
            <w:pPr>
              <w:spacing w:before="40" w:after="40"/>
            </w:pPr>
            <w:r>
              <w:rPr>
                <w:rFonts w:ascii="Calibri" w:hAnsi="Calibri"/>
                <w:sz w:val="18"/>
              </w:rPr>
              <w:t>630</w:t>
            </w:r>
          </w:p>
        </w:tc>
        <w:tc>
          <w:tcPr>
            <w:tcW w:type="dxa" w:w="617"/>
            <w:shd w:fill="E8F0FE"/>
          </w:tcPr>
          <w:p>
            <w:pPr>
              <w:spacing w:before="40" w:after="40"/>
            </w:pPr>
            <w:r>
              <w:rPr>
                <w:rFonts w:ascii="Calibri" w:hAnsi="Calibri"/>
                <w:sz w:val="18"/>
              </w:rPr>
              <w:t>635</w:t>
            </w:r>
          </w:p>
        </w:tc>
        <w:tc>
          <w:tcPr>
            <w:tcW w:type="dxa" w:w="617"/>
            <w:shd w:fill="E8F0FE"/>
          </w:tcPr>
          <w:p>
            <w:pPr>
              <w:spacing w:before="40" w:after="40"/>
            </w:pPr>
            <w:r>
              <w:rPr>
                <w:rFonts w:ascii="Calibri" w:hAnsi="Calibri"/>
                <w:sz w:val="18"/>
              </w:rPr>
              <w:t>709</w:t>
            </w:r>
          </w:p>
        </w:tc>
        <w:tc>
          <w:tcPr>
            <w:tcW w:type="dxa" w:w="617"/>
            <w:shd w:fill="E8F0FE"/>
          </w:tcPr>
          <w:p>
            <w:pPr>
              <w:spacing w:before="40" w:after="40"/>
            </w:pPr>
            <w:r>
              <w:rPr>
                <w:rFonts w:ascii="Calibri" w:hAnsi="Calibri"/>
                <w:sz w:val="18"/>
              </w:rPr>
              <w:t>837</w:t>
            </w:r>
          </w:p>
        </w:tc>
        <w:tc>
          <w:tcPr>
            <w:tcW w:type="dxa" w:w="617"/>
            <w:shd w:fill="E8F0FE"/>
          </w:tcPr>
          <w:p>
            <w:pPr>
              <w:spacing w:before="40" w:after="40"/>
            </w:pPr>
            <w:r>
              <w:rPr>
                <w:rFonts w:ascii="Calibri" w:hAnsi="Calibri"/>
                <w:sz w:val="18"/>
              </w:rPr>
              <w:t>978</w:t>
            </w:r>
          </w:p>
        </w:tc>
        <w:tc>
          <w:tcPr>
            <w:tcW w:type="dxa" w:w="617"/>
            <w:shd w:fill="E8F0FE"/>
          </w:tcPr>
          <w:p>
            <w:pPr>
              <w:spacing w:before="40" w:after="40"/>
            </w:pPr>
            <w:r>
              <w:rPr>
                <w:rFonts w:ascii="Calibri" w:hAnsi="Calibri"/>
                <w:sz w:val="18"/>
              </w:rPr>
              <w:t>1,403</w:t>
            </w:r>
          </w:p>
        </w:tc>
        <w:tc>
          <w:tcPr>
            <w:tcW w:type="dxa" w:w="617"/>
            <w:shd w:fill="E8F0FE"/>
          </w:tcPr>
          <w:p>
            <w:pPr>
              <w:spacing w:before="40" w:after="40"/>
            </w:pPr>
            <w:r>
              <w:rPr>
                <w:rFonts w:ascii="Calibri" w:hAnsi="Calibri"/>
                <w:sz w:val="18"/>
              </w:rPr>
              <w:t>581</w:t>
            </w:r>
          </w:p>
        </w:tc>
        <w:tc>
          <w:tcPr>
            <w:tcW w:type="dxa" w:w="617"/>
            <w:shd w:fill="E8F0FE"/>
          </w:tcPr>
          <w:p>
            <w:pPr>
              <w:spacing w:before="40" w:after="40"/>
            </w:pPr>
            <w:r>
              <w:rPr>
                <w:rFonts w:ascii="Calibri" w:hAnsi="Calibri"/>
                <w:sz w:val="18"/>
              </w:rPr>
              <w:t>594</w:t>
            </w:r>
          </w:p>
        </w:tc>
      </w:tr>
      <w:tr>
        <w:tc>
          <w:tcPr>
            <w:tcW w:type="dxa" w:w="617"/>
          </w:tcPr>
          <w:p>
            <w:pPr>
              <w:spacing w:before="40" w:after="40"/>
            </w:pPr>
            <w:r>
              <w:rPr>
                <w:rFonts w:ascii="Calibri" w:hAnsi="Calibri"/>
                <w:b/>
                <w:sz w:val="18"/>
              </w:rPr>
              <w:t>Operating Profit</w:t>
            </w:r>
          </w:p>
        </w:tc>
        <w:tc>
          <w:tcPr>
            <w:tcW w:type="dxa" w:w="617"/>
          </w:tcPr>
          <w:p>
            <w:pPr>
              <w:spacing w:before="40" w:after="40"/>
            </w:pPr>
            <w:r>
              <w:rPr>
                <w:rFonts w:ascii="Calibri" w:hAnsi="Calibri"/>
                <w:sz w:val="18"/>
              </w:rPr>
              <w:t>59</w:t>
            </w:r>
          </w:p>
        </w:tc>
        <w:tc>
          <w:tcPr>
            <w:tcW w:type="dxa" w:w="617"/>
          </w:tcPr>
          <w:p>
            <w:pPr>
              <w:spacing w:before="40" w:after="40"/>
            </w:pPr>
            <w:r>
              <w:rPr>
                <w:rFonts w:ascii="Calibri" w:hAnsi="Calibri"/>
                <w:sz w:val="18"/>
              </w:rPr>
              <w:t>89</w:t>
            </w:r>
          </w:p>
        </w:tc>
        <w:tc>
          <w:tcPr>
            <w:tcW w:type="dxa" w:w="617"/>
          </w:tcPr>
          <w:p>
            <w:pPr>
              <w:spacing w:before="40" w:after="40"/>
            </w:pPr>
            <w:r>
              <w:rPr>
                <w:rFonts w:ascii="Calibri" w:hAnsi="Calibri"/>
                <w:sz w:val="18"/>
              </w:rPr>
              <w:t>107</w:t>
            </w:r>
          </w:p>
        </w:tc>
        <w:tc>
          <w:tcPr>
            <w:tcW w:type="dxa" w:w="617"/>
          </w:tcPr>
          <w:p>
            <w:pPr>
              <w:spacing w:before="40" w:after="40"/>
            </w:pPr>
            <w:r>
              <w:rPr>
                <w:rFonts w:ascii="Calibri" w:hAnsi="Calibri"/>
                <w:sz w:val="18"/>
              </w:rPr>
              <w:t>106</w:t>
            </w:r>
          </w:p>
        </w:tc>
        <w:tc>
          <w:tcPr>
            <w:tcW w:type="dxa" w:w="617"/>
          </w:tcPr>
          <w:p>
            <w:pPr>
              <w:spacing w:before="40" w:after="40"/>
            </w:pPr>
            <w:r>
              <w:rPr>
                <w:rFonts w:ascii="Calibri" w:hAnsi="Calibri"/>
                <w:sz w:val="18"/>
              </w:rPr>
              <w:t>134</w:t>
            </w:r>
          </w:p>
        </w:tc>
        <w:tc>
          <w:tcPr>
            <w:tcW w:type="dxa" w:w="617"/>
          </w:tcPr>
          <w:p>
            <w:pPr>
              <w:spacing w:before="40" w:after="40"/>
            </w:pPr>
            <w:r>
              <w:rPr>
                <w:rFonts w:ascii="Calibri" w:hAnsi="Calibri"/>
                <w:sz w:val="18"/>
              </w:rPr>
              <w:t>126</w:t>
            </w:r>
          </w:p>
        </w:tc>
        <w:tc>
          <w:tcPr>
            <w:tcW w:type="dxa" w:w="617"/>
          </w:tcPr>
          <w:p>
            <w:pPr>
              <w:spacing w:before="40" w:after="40"/>
            </w:pPr>
            <w:r>
              <w:rPr>
                <w:rFonts w:ascii="Calibri" w:hAnsi="Calibri"/>
                <w:sz w:val="18"/>
              </w:rPr>
              <w:t>144</w:t>
            </w:r>
          </w:p>
        </w:tc>
        <w:tc>
          <w:tcPr>
            <w:tcW w:type="dxa" w:w="617"/>
          </w:tcPr>
          <w:p>
            <w:pPr>
              <w:spacing w:before="40" w:after="40"/>
            </w:pPr>
            <w:r>
              <w:rPr>
                <w:rFonts w:ascii="Calibri" w:hAnsi="Calibri"/>
                <w:sz w:val="18"/>
              </w:rPr>
              <w:t>183</w:t>
            </w:r>
          </w:p>
        </w:tc>
        <w:tc>
          <w:tcPr>
            <w:tcW w:type="dxa" w:w="617"/>
          </w:tcPr>
          <w:p>
            <w:pPr>
              <w:spacing w:before="40" w:after="40"/>
            </w:pPr>
            <w:r>
              <w:rPr>
                <w:rFonts w:ascii="Calibri" w:hAnsi="Calibri"/>
                <w:sz w:val="18"/>
              </w:rPr>
              <w:t>202</w:t>
            </w:r>
          </w:p>
        </w:tc>
        <w:tc>
          <w:tcPr>
            <w:tcW w:type="dxa" w:w="617"/>
          </w:tcPr>
          <w:p>
            <w:pPr>
              <w:spacing w:before="40" w:after="40"/>
            </w:pPr>
            <w:r>
              <w:rPr>
                <w:rFonts w:ascii="Calibri" w:hAnsi="Calibri"/>
                <w:sz w:val="18"/>
              </w:rPr>
              <w:t>229</w:t>
            </w:r>
          </w:p>
        </w:tc>
        <w:tc>
          <w:tcPr>
            <w:tcW w:type="dxa" w:w="617"/>
          </w:tcPr>
          <w:p>
            <w:pPr>
              <w:spacing w:before="40" w:after="40"/>
            </w:pPr>
            <w:r>
              <w:rPr>
                <w:rFonts w:ascii="Calibri" w:hAnsi="Calibri"/>
                <w:sz w:val="18"/>
              </w:rPr>
              <w:t>306</w:t>
            </w:r>
          </w:p>
        </w:tc>
        <w:tc>
          <w:tcPr>
            <w:tcW w:type="dxa" w:w="617"/>
          </w:tcPr>
          <w:p>
            <w:pPr>
              <w:spacing w:before="40" w:after="40"/>
            </w:pPr>
            <w:r>
              <w:rPr>
                <w:rFonts w:ascii="Calibri" w:hAnsi="Calibri"/>
                <w:sz w:val="18"/>
              </w:rPr>
              <w:t>-19</w:t>
            </w:r>
          </w:p>
        </w:tc>
        <w:tc>
          <w:tcPr>
            <w:tcW w:type="dxa" w:w="617"/>
          </w:tcPr>
          <w:p>
            <w:pPr>
              <w:spacing w:before="40" w:after="40"/>
            </w:pPr>
            <w:r>
              <w:rPr>
                <w:rFonts w:ascii="Calibri" w:hAnsi="Calibri"/>
                <w:sz w:val="18"/>
              </w:rPr>
              <w:t>0</w:t>
            </w:r>
          </w:p>
        </w:tc>
      </w:tr>
      <w:tr>
        <w:tc>
          <w:tcPr>
            <w:tcW w:type="dxa" w:w="617"/>
            <w:shd w:fill="E8F0FE"/>
          </w:tcPr>
          <w:p>
            <w:pPr>
              <w:spacing w:before="40" w:after="40"/>
            </w:pPr>
            <w:r>
              <w:rPr>
                <w:rFonts w:ascii="Calibri" w:hAnsi="Calibri"/>
                <w:b/>
                <w:sz w:val="18"/>
              </w:rPr>
              <w:t>OPM %</w:t>
            </w:r>
          </w:p>
        </w:tc>
        <w:tc>
          <w:tcPr>
            <w:tcW w:type="dxa" w:w="617"/>
            <w:shd w:fill="E8F0FE"/>
          </w:tcPr>
          <w:p>
            <w:pPr>
              <w:spacing w:before="40" w:after="40"/>
            </w:pPr>
            <w:r>
              <w:rPr>
                <w:rFonts w:ascii="Calibri" w:hAnsi="Calibri"/>
                <w:sz w:val="18"/>
              </w:rPr>
              <w:t>6%</w:t>
            </w:r>
          </w:p>
        </w:tc>
        <w:tc>
          <w:tcPr>
            <w:tcW w:type="dxa" w:w="617"/>
            <w:shd w:fill="E8F0FE"/>
          </w:tcPr>
          <w:p>
            <w:pPr>
              <w:spacing w:before="40" w:after="40"/>
            </w:pPr>
            <w:r>
              <w:rPr>
                <w:rFonts w:ascii="Calibri" w:hAnsi="Calibri"/>
                <w:sz w:val="18"/>
              </w:rPr>
              <w:t>13%</w:t>
            </w:r>
          </w:p>
        </w:tc>
        <w:tc>
          <w:tcPr>
            <w:tcW w:type="dxa" w:w="617"/>
            <w:shd w:fill="E8F0FE"/>
          </w:tcPr>
          <w:p>
            <w:pPr>
              <w:spacing w:before="40" w:after="40"/>
            </w:pPr>
            <w:r>
              <w:rPr>
                <w:rFonts w:ascii="Calibri" w:hAnsi="Calibri"/>
                <w:sz w:val="18"/>
              </w:rPr>
              <w:t>16%</w:t>
            </w:r>
          </w:p>
        </w:tc>
        <w:tc>
          <w:tcPr>
            <w:tcW w:type="dxa" w:w="617"/>
            <w:shd w:fill="E8F0FE"/>
          </w:tcPr>
          <w:p>
            <w:pPr>
              <w:spacing w:before="40" w:after="40"/>
            </w:pPr>
            <w:r>
              <w:rPr>
                <w:rFonts w:ascii="Calibri" w:hAnsi="Calibri"/>
                <w:sz w:val="18"/>
              </w:rPr>
              <w:t>15%</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17%</w:t>
            </w:r>
          </w:p>
        </w:tc>
        <w:tc>
          <w:tcPr>
            <w:tcW w:type="dxa" w:w="617"/>
            <w:shd w:fill="E8F0FE"/>
          </w:tcPr>
          <w:p>
            <w:pPr>
              <w:spacing w:before="40" w:after="40"/>
            </w:pPr>
            <w:r>
              <w:rPr>
                <w:rFonts w:ascii="Calibri" w:hAnsi="Calibri"/>
                <w:sz w:val="18"/>
              </w:rPr>
              <w:t>19%</w:t>
            </w:r>
          </w:p>
        </w:tc>
        <w:tc>
          <w:tcPr>
            <w:tcW w:type="dxa" w:w="617"/>
            <w:shd w:fill="E8F0FE"/>
          </w:tcPr>
          <w:p>
            <w:pPr>
              <w:spacing w:before="40" w:after="40"/>
            </w:pPr>
            <w:r>
              <w:rPr>
                <w:rFonts w:ascii="Calibri" w:hAnsi="Calibri"/>
                <w:sz w:val="18"/>
              </w:rPr>
              <w:t>21%</w:t>
            </w:r>
          </w:p>
        </w:tc>
        <w:tc>
          <w:tcPr>
            <w:tcW w:type="dxa" w:w="617"/>
            <w:shd w:fill="E8F0FE"/>
          </w:tcPr>
          <w:p>
            <w:pPr>
              <w:spacing w:before="40" w:after="40"/>
            </w:pPr>
            <w:r>
              <w:rPr>
                <w:rFonts w:ascii="Calibri" w:hAnsi="Calibri"/>
                <w:sz w:val="18"/>
              </w:rPr>
              <w:t>19%</w:t>
            </w:r>
          </w:p>
        </w:tc>
        <w:tc>
          <w:tcPr>
            <w:tcW w:type="dxa" w:w="617"/>
            <w:shd w:fill="E8F0FE"/>
          </w:tcPr>
          <w:p>
            <w:pPr>
              <w:spacing w:before="40" w:after="40"/>
            </w:pPr>
            <w:r>
              <w:rPr>
                <w:rFonts w:ascii="Calibri" w:hAnsi="Calibri"/>
                <w:sz w:val="18"/>
              </w:rPr>
              <w:t>19%</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-3%</w:t>
            </w:r>
          </w:p>
        </w:tc>
        <w:tc>
          <w:tcPr>
            <w:tcW w:type="dxa" w:w="617"/>
            <w:shd w:fill="E8F0FE"/>
          </w:tcPr>
          <w:p>
            <w:pPr>
              <w:spacing w:before="40" w:after="40"/>
            </w:pPr>
            <w:r>
              <w:rPr>
                <w:rFonts w:ascii="Calibri" w:hAnsi="Calibri"/>
                <w:sz w:val="18"/>
              </w:rPr>
              <w:t>0%</w:t>
            </w:r>
          </w:p>
        </w:tc>
      </w:tr>
      <w:tr>
        <w:tc>
          <w:tcPr>
            <w:tcW w:type="dxa" w:w="617"/>
          </w:tcPr>
          <w:p>
            <w:pPr>
              <w:spacing w:before="40" w:after="40"/>
            </w:pPr>
            <w:r>
              <w:rPr>
                <w:rFonts w:ascii="Calibri" w:hAnsi="Calibri"/>
                <w:b/>
                <w:sz w:val="18"/>
              </w:rPr>
              <w:t>Other Income+</w:t>
            </w:r>
          </w:p>
        </w:tc>
        <w:tc>
          <w:tcPr>
            <w:tcW w:type="dxa" w:w="617"/>
          </w:tcPr>
          <w:p>
            <w:pPr>
              <w:spacing w:before="40" w:after="40"/>
            </w:pPr>
            <w:r>
              <w:rPr>
                <w:rFonts w:ascii="Calibri" w:hAnsi="Calibri"/>
                <w:sz w:val="18"/>
              </w:rPr>
              <w:t>-19</w:t>
            </w:r>
          </w:p>
        </w:tc>
        <w:tc>
          <w:tcPr>
            <w:tcW w:type="dxa" w:w="617"/>
          </w:tcPr>
          <w:p>
            <w:pPr>
              <w:spacing w:before="40" w:after="40"/>
            </w:pPr>
            <w:r>
              <w:rPr>
                <w:rFonts w:ascii="Calibri" w:hAnsi="Calibri"/>
                <w:sz w:val="18"/>
              </w:rPr>
              <w:t>-31</w:t>
            </w:r>
          </w:p>
        </w:tc>
        <w:tc>
          <w:tcPr>
            <w:tcW w:type="dxa" w:w="617"/>
          </w:tcPr>
          <w:p>
            <w:pPr>
              <w:spacing w:before="40" w:after="40"/>
            </w:pPr>
            <w:r>
              <w:rPr>
                <w:rFonts w:ascii="Calibri" w:hAnsi="Calibri"/>
                <w:sz w:val="18"/>
              </w:rPr>
              <w:t>1</w:t>
            </w:r>
          </w:p>
        </w:tc>
        <w:tc>
          <w:tcPr>
            <w:tcW w:type="dxa" w:w="617"/>
          </w:tcPr>
          <w:p>
            <w:pPr>
              <w:spacing w:before="40" w:after="40"/>
            </w:pPr>
            <w:r>
              <w:rPr>
                <w:rFonts w:ascii="Calibri" w:hAnsi="Calibri"/>
                <w:sz w:val="18"/>
              </w:rPr>
              <w:t>15</w:t>
            </w:r>
          </w:p>
        </w:tc>
        <w:tc>
          <w:tcPr>
            <w:tcW w:type="dxa" w:w="617"/>
          </w:tcPr>
          <w:p>
            <w:pPr>
              <w:spacing w:before="40" w:after="40"/>
            </w:pPr>
            <w:r>
              <w:rPr>
                <w:rFonts w:ascii="Calibri" w:hAnsi="Calibri"/>
                <w:sz w:val="18"/>
              </w:rPr>
              <w:t>16</w:t>
            </w:r>
          </w:p>
        </w:tc>
        <w:tc>
          <w:tcPr>
            <w:tcW w:type="dxa" w:w="617"/>
          </w:tcPr>
          <w:p>
            <w:pPr>
              <w:spacing w:before="40" w:after="40"/>
            </w:pPr>
            <w:r>
              <w:rPr>
                <w:rFonts w:ascii="Calibri" w:hAnsi="Calibri"/>
                <w:sz w:val="18"/>
              </w:rPr>
              <w:t>120</w:t>
            </w:r>
          </w:p>
        </w:tc>
        <w:tc>
          <w:tcPr>
            <w:tcW w:type="dxa" w:w="617"/>
          </w:tcPr>
          <w:p>
            <w:pPr>
              <w:spacing w:before="40" w:after="40"/>
            </w:pPr>
            <w:r>
              <w:rPr>
                <w:rFonts w:ascii="Calibri" w:hAnsi="Calibri"/>
                <w:sz w:val="18"/>
              </w:rPr>
              <w:t>33</w:t>
            </w:r>
          </w:p>
        </w:tc>
        <w:tc>
          <w:tcPr>
            <w:tcW w:type="dxa" w:w="617"/>
          </w:tcPr>
          <w:p>
            <w:pPr>
              <w:spacing w:before="40" w:after="40"/>
            </w:pPr>
            <w:r>
              <w:rPr>
                <w:rFonts w:ascii="Calibri" w:hAnsi="Calibri"/>
                <w:sz w:val="18"/>
              </w:rPr>
              <w:t>23</w:t>
            </w:r>
          </w:p>
        </w:tc>
        <w:tc>
          <w:tcPr>
            <w:tcW w:type="dxa" w:w="617"/>
          </w:tcPr>
          <w:p>
            <w:pPr>
              <w:spacing w:before="40" w:after="40"/>
            </w:pPr>
            <w:r>
              <w:rPr>
                <w:rFonts w:ascii="Calibri" w:hAnsi="Calibri"/>
                <w:sz w:val="18"/>
              </w:rPr>
              <w:t>37</w:t>
            </w:r>
          </w:p>
        </w:tc>
        <w:tc>
          <w:tcPr>
            <w:tcW w:type="dxa" w:w="617"/>
          </w:tcPr>
          <w:p>
            <w:pPr>
              <w:spacing w:before="40" w:after="40"/>
            </w:pPr>
            <w:r>
              <w:rPr>
                <w:rFonts w:ascii="Calibri" w:hAnsi="Calibri"/>
                <w:sz w:val="18"/>
              </w:rPr>
              <w:t>7</w:t>
            </w:r>
          </w:p>
        </w:tc>
        <w:tc>
          <w:tcPr>
            <w:tcW w:type="dxa" w:w="617"/>
          </w:tcPr>
          <w:p>
            <w:pPr>
              <w:spacing w:before="40" w:after="40"/>
            </w:pPr>
            <w:r>
              <w:rPr>
                <w:rFonts w:ascii="Calibri" w:hAnsi="Calibri"/>
                <w:sz w:val="18"/>
              </w:rPr>
              <w:t>476</w:t>
            </w:r>
          </w:p>
        </w:tc>
        <w:tc>
          <w:tcPr>
            <w:tcW w:type="dxa" w:w="617"/>
          </w:tcPr>
          <w:p>
            <w:pPr>
              <w:spacing w:before="40" w:after="40"/>
            </w:pPr>
            <w:r>
              <w:rPr>
                <w:rFonts w:ascii="Calibri" w:hAnsi="Calibri"/>
                <w:sz w:val="18"/>
              </w:rPr>
              <w:t>305</w:t>
            </w:r>
          </w:p>
        </w:tc>
        <w:tc>
          <w:tcPr>
            <w:tcW w:type="dxa" w:w="617"/>
          </w:tcPr>
          <w:p>
            <w:pPr>
              <w:spacing w:before="40" w:after="40"/>
            </w:pPr>
            <w:r>
              <w:rPr>
                <w:rFonts w:ascii="Calibri" w:hAnsi="Calibri"/>
                <w:sz w:val="18"/>
              </w:rPr>
              <w:t>275</w:t>
            </w:r>
          </w:p>
        </w:tc>
      </w:tr>
      <w:tr>
        <w:tc>
          <w:tcPr>
            <w:tcW w:type="dxa" w:w="617"/>
            <w:shd w:fill="E8F0FE"/>
          </w:tcPr>
          <w:p>
            <w:pPr>
              <w:spacing w:before="40" w:after="40"/>
            </w:pPr>
            <w:r>
              <w:rPr>
                <w:rFonts w:ascii="Calibri" w:hAnsi="Calibri"/>
                <w:b/>
                <w:sz w:val="18"/>
              </w:rPr>
              <w:t>Interest</w:t>
            </w:r>
          </w:p>
        </w:tc>
        <w:tc>
          <w:tcPr>
            <w:tcW w:type="dxa" w:w="617"/>
            <w:shd w:fill="E8F0FE"/>
          </w:tcPr>
          <w:p>
            <w:pPr>
              <w:spacing w:before="40" w:after="40"/>
            </w:pPr>
            <w:r>
              <w:rPr>
                <w:rFonts w:ascii="Calibri" w:hAnsi="Calibri"/>
                <w:sz w:val="18"/>
              </w:rPr>
              <w:t>117</w:t>
            </w:r>
          </w:p>
        </w:tc>
        <w:tc>
          <w:tcPr>
            <w:tcW w:type="dxa" w:w="617"/>
            <w:shd w:fill="E8F0FE"/>
          </w:tcPr>
          <w:p>
            <w:pPr>
              <w:spacing w:before="40" w:after="40"/>
            </w:pPr>
            <w:r>
              <w:rPr>
                <w:rFonts w:ascii="Calibri" w:hAnsi="Calibri"/>
                <w:sz w:val="18"/>
              </w:rPr>
              <w:t>117</w:t>
            </w:r>
          </w:p>
        </w:tc>
        <w:tc>
          <w:tcPr>
            <w:tcW w:type="dxa" w:w="617"/>
            <w:shd w:fill="E8F0FE"/>
          </w:tcPr>
          <w:p>
            <w:pPr>
              <w:spacing w:before="40" w:after="40"/>
            </w:pPr>
            <w:r>
              <w:rPr>
                <w:rFonts w:ascii="Calibri" w:hAnsi="Calibri"/>
                <w:sz w:val="18"/>
              </w:rPr>
              <w:t>106</w:t>
            </w:r>
          </w:p>
        </w:tc>
        <w:tc>
          <w:tcPr>
            <w:tcW w:type="dxa" w:w="617"/>
            <w:shd w:fill="E8F0FE"/>
          </w:tcPr>
          <w:p>
            <w:pPr>
              <w:spacing w:before="40" w:after="40"/>
            </w:pPr>
            <w:r>
              <w:rPr>
                <w:rFonts w:ascii="Calibri" w:hAnsi="Calibri"/>
                <w:sz w:val="18"/>
              </w:rPr>
              <w:t>88</w:t>
            </w:r>
          </w:p>
        </w:tc>
        <w:tc>
          <w:tcPr>
            <w:tcW w:type="dxa" w:w="617"/>
            <w:shd w:fill="E8F0FE"/>
          </w:tcPr>
          <w:p>
            <w:pPr>
              <w:spacing w:before="40" w:after="40"/>
            </w:pPr>
            <w:r>
              <w:rPr>
                <w:rFonts w:ascii="Calibri" w:hAnsi="Calibri"/>
                <w:sz w:val="18"/>
              </w:rPr>
              <w:t>28</w:t>
            </w:r>
          </w:p>
        </w:tc>
        <w:tc>
          <w:tcPr>
            <w:tcW w:type="dxa" w:w="617"/>
            <w:shd w:fill="E8F0FE"/>
          </w:tcPr>
          <w:p>
            <w:pPr>
              <w:spacing w:before="40" w:after="40"/>
            </w:pPr>
            <w:r>
              <w:rPr>
                <w:rFonts w:ascii="Calibri" w:hAnsi="Calibri"/>
                <w:sz w:val="18"/>
              </w:rPr>
              <w:t>92</w:t>
            </w:r>
          </w:p>
        </w:tc>
        <w:tc>
          <w:tcPr>
            <w:tcW w:type="dxa" w:w="617"/>
            <w:shd w:fill="E8F0FE"/>
          </w:tcPr>
          <w:p>
            <w:pPr>
              <w:spacing w:before="40" w:after="40"/>
            </w:pPr>
            <w:r>
              <w:rPr>
                <w:rFonts w:ascii="Calibri" w:hAnsi="Calibri"/>
                <w:sz w:val="18"/>
              </w:rPr>
              <w:t>107</w:t>
            </w:r>
          </w:p>
        </w:tc>
        <w:tc>
          <w:tcPr>
            <w:tcW w:type="dxa" w:w="617"/>
            <w:shd w:fill="E8F0FE"/>
          </w:tcPr>
          <w:p>
            <w:pPr>
              <w:spacing w:before="40" w:after="40"/>
            </w:pPr>
            <w:r>
              <w:rPr>
                <w:rFonts w:ascii="Calibri" w:hAnsi="Calibri"/>
                <w:sz w:val="18"/>
              </w:rPr>
              <w:t>100</w:t>
            </w:r>
          </w:p>
        </w:tc>
        <w:tc>
          <w:tcPr>
            <w:tcW w:type="dxa" w:w="617"/>
            <w:shd w:fill="E8F0FE"/>
          </w:tcPr>
          <w:p>
            <w:pPr>
              <w:spacing w:before="40" w:after="40"/>
            </w:pPr>
            <w:r>
              <w:rPr>
                <w:rFonts w:ascii="Calibri" w:hAnsi="Calibri"/>
                <w:sz w:val="18"/>
              </w:rPr>
              <w:t>96</w:t>
            </w:r>
          </w:p>
        </w:tc>
        <w:tc>
          <w:tcPr>
            <w:tcW w:type="dxa" w:w="617"/>
            <w:shd w:fill="E8F0FE"/>
          </w:tcPr>
          <w:p>
            <w:pPr>
              <w:spacing w:before="40" w:after="40"/>
            </w:pPr>
            <w:r>
              <w:rPr>
                <w:rFonts w:ascii="Calibri" w:hAnsi="Calibri"/>
                <w:sz w:val="18"/>
              </w:rPr>
              <w:t>92</w:t>
            </w:r>
          </w:p>
        </w:tc>
        <w:tc>
          <w:tcPr>
            <w:tcW w:type="dxa" w:w="617"/>
            <w:shd w:fill="E8F0FE"/>
          </w:tcPr>
          <w:p>
            <w:pPr>
              <w:spacing w:before="40" w:after="40"/>
            </w:pPr>
            <w:r>
              <w:rPr>
                <w:rFonts w:ascii="Calibri" w:hAnsi="Calibri"/>
                <w:sz w:val="18"/>
              </w:rPr>
              <w:t>104</w:t>
            </w:r>
          </w:p>
        </w:tc>
        <w:tc>
          <w:tcPr>
            <w:tcW w:type="dxa" w:w="617"/>
            <w:shd w:fill="E8F0FE"/>
          </w:tcPr>
          <w:p>
            <w:pPr>
              <w:spacing w:before="40" w:after="40"/>
            </w:pPr>
            <w:r>
              <w:rPr>
                <w:rFonts w:ascii="Calibri" w:hAnsi="Calibri"/>
                <w:sz w:val="18"/>
              </w:rPr>
              <w:t>3</w:t>
            </w:r>
          </w:p>
        </w:tc>
        <w:tc>
          <w:tcPr>
            <w:tcW w:type="dxa" w:w="617"/>
            <w:shd w:fill="E8F0FE"/>
          </w:tcPr>
          <w:p>
            <w:pPr>
              <w:spacing w:before="40" w:after="40"/>
            </w:pPr>
            <w:r>
              <w:rPr>
                <w:rFonts w:ascii="Calibri" w:hAnsi="Calibri"/>
                <w:sz w:val="18"/>
              </w:rPr>
              <w:t>-23</w:t>
            </w:r>
          </w:p>
        </w:tc>
      </w:tr>
      <w:tr>
        <w:tc>
          <w:tcPr>
            <w:tcW w:type="dxa" w:w="617"/>
          </w:tcPr>
          <w:p>
            <w:pPr>
              <w:spacing w:before="40" w:after="40"/>
            </w:pPr>
            <w:r>
              <w:rPr>
                <w:rFonts w:ascii="Calibri" w:hAnsi="Calibri"/>
                <w:b/>
                <w:sz w:val="18"/>
              </w:rPr>
              <w:t>Depreciation</w:t>
            </w:r>
          </w:p>
        </w:tc>
        <w:tc>
          <w:tcPr>
            <w:tcW w:type="dxa" w:w="617"/>
          </w:tcPr>
          <w:p>
            <w:pPr>
              <w:spacing w:before="40" w:after="40"/>
            </w:pPr>
            <w:r>
              <w:rPr>
                <w:rFonts w:ascii="Calibri" w:hAnsi="Calibri"/>
                <w:sz w:val="18"/>
              </w:rPr>
              <w:t>66</w:t>
            </w:r>
          </w:p>
        </w:tc>
        <w:tc>
          <w:tcPr>
            <w:tcW w:type="dxa" w:w="617"/>
          </w:tcPr>
          <w:p>
            <w:pPr>
              <w:spacing w:before="40" w:after="40"/>
            </w:pPr>
            <w:r>
              <w:rPr>
                <w:rFonts w:ascii="Calibri" w:hAnsi="Calibri"/>
                <w:sz w:val="18"/>
              </w:rPr>
              <w:t>84</w:t>
            </w:r>
          </w:p>
        </w:tc>
        <w:tc>
          <w:tcPr>
            <w:tcW w:type="dxa" w:w="617"/>
          </w:tcPr>
          <w:p>
            <w:pPr>
              <w:spacing w:before="40" w:after="40"/>
            </w:pPr>
            <w:r>
              <w:rPr>
                <w:rFonts w:ascii="Calibri" w:hAnsi="Calibri"/>
                <w:sz w:val="18"/>
              </w:rPr>
              <w:t>85</w:t>
            </w:r>
          </w:p>
        </w:tc>
        <w:tc>
          <w:tcPr>
            <w:tcW w:type="dxa" w:w="617"/>
          </w:tcPr>
          <w:p>
            <w:pPr>
              <w:spacing w:before="40" w:after="40"/>
            </w:pPr>
            <w:r>
              <w:rPr>
                <w:rFonts w:ascii="Calibri" w:hAnsi="Calibri"/>
                <w:sz w:val="18"/>
              </w:rPr>
              <w:t>88</w:t>
            </w:r>
          </w:p>
        </w:tc>
        <w:tc>
          <w:tcPr>
            <w:tcW w:type="dxa" w:w="617"/>
          </w:tcPr>
          <w:p>
            <w:pPr>
              <w:spacing w:before="40" w:after="40"/>
            </w:pPr>
            <w:r>
              <w:rPr>
                <w:rFonts w:ascii="Calibri" w:hAnsi="Calibri"/>
                <w:sz w:val="18"/>
              </w:rPr>
              <w:t>87</w:t>
            </w:r>
          </w:p>
        </w:tc>
        <w:tc>
          <w:tcPr>
            <w:tcW w:type="dxa" w:w="617"/>
          </w:tcPr>
          <w:p>
            <w:pPr>
              <w:spacing w:before="40" w:after="40"/>
            </w:pPr>
            <w:r>
              <w:rPr>
                <w:rFonts w:ascii="Calibri" w:hAnsi="Calibri"/>
                <w:sz w:val="18"/>
              </w:rPr>
              <w:t>104</w:t>
            </w:r>
          </w:p>
        </w:tc>
        <w:tc>
          <w:tcPr>
            <w:tcW w:type="dxa" w:w="617"/>
          </w:tcPr>
          <w:p>
            <w:pPr>
              <w:spacing w:before="40" w:after="40"/>
            </w:pPr>
            <w:r>
              <w:rPr>
                <w:rFonts w:ascii="Calibri" w:hAnsi="Calibri"/>
                <w:sz w:val="18"/>
              </w:rPr>
              <w:t>90</w:t>
            </w:r>
          </w:p>
        </w:tc>
        <w:tc>
          <w:tcPr>
            <w:tcW w:type="dxa" w:w="617"/>
          </w:tcPr>
          <w:p>
            <w:pPr>
              <w:spacing w:before="40" w:after="40"/>
            </w:pPr>
            <w:r>
              <w:rPr>
                <w:rFonts w:ascii="Calibri" w:hAnsi="Calibri"/>
                <w:sz w:val="18"/>
              </w:rPr>
              <w:t>87</w:t>
            </w:r>
          </w:p>
        </w:tc>
        <w:tc>
          <w:tcPr>
            <w:tcW w:type="dxa" w:w="617"/>
          </w:tcPr>
          <w:p>
            <w:pPr>
              <w:spacing w:before="40" w:after="40"/>
            </w:pPr>
            <w:r>
              <w:rPr>
                <w:rFonts w:ascii="Calibri" w:hAnsi="Calibri"/>
                <w:sz w:val="18"/>
              </w:rPr>
              <w:t>131</w:t>
            </w:r>
          </w:p>
        </w:tc>
        <w:tc>
          <w:tcPr>
            <w:tcW w:type="dxa" w:w="617"/>
          </w:tcPr>
          <w:p>
            <w:pPr>
              <w:spacing w:before="40" w:after="40"/>
            </w:pPr>
            <w:r>
              <w:rPr>
                <w:rFonts w:ascii="Calibri" w:hAnsi="Calibri"/>
                <w:sz w:val="18"/>
              </w:rPr>
              <w:t>57</w:t>
            </w:r>
          </w:p>
        </w:tc>
        <w:tc>
          <w:tcPr>
            <w:tcW w:type="dxa" w:w="617"/>
          </w:tcPr>
          <w:p>
            <w:pPr>
              <w:spacing w:before="40" w:after="40"/>
            </w:pPr>
            <w:r>
              <w:rPr>
                <w:rFonts w:ascii="Calibri" w:hAnsi="Calibri"/>
                <w:sz w:val="18"/>
              </w:rPr>
              <w:t>80</w:t>
            </w:r>
          </w:p>
        </w:tc>
        <w:tc>
          <w:tcPr>
            <w:tcW w:type="dxa" w:w="617"/>
          </w:tcPr>
          <w:p>
            <w:pPr>
              <w:spacing w:before="40" w:after="40"/>
            </w:pPr>
            <w:r>
              <w:rPr>
                <w:rFonts w:ascii="Calibri" w:hAnsi="Calibri"/>
                <w:sz w:val="18"/>
              </w:rPr>
              <w:t>24</w:t>
            </w:r>
          </w:p>
        </w:tc>
        <w:tc>
          <w:tcPr>
            <w:tcW w:type="dxa" w:w="617"/>
          </w:tcPr>
          <w:p>
            <w:pPr>
              <w:spacing w:before="40" w:after="40"/>
            </w:pPr>
            <w:r>
              <w:rPr>
                <w:rFonts w:ascii="Calibri" w:hAnsi="Calibri"/>
                <w:sz w:val="18"/>
              </w:rPr>
              <w:t>30</w:t>
            </w:r>
          </w:p>
        </w:tc>
      </w:tr>
      <w:tr>
        <w:tc>
          <w:tcPr>
            <w:tcW w:type="dxa" w:w="617"/>
            <w:shd w:fill="E8F0FE"/>
          </w:tcPr>
          <w:p>
            <w:pPr>
              <w:spacing w:before="40" w:after="40"/>
            </w:pPr>
            <w:r>
              <w:rPr>
                <w:rFonts w:ascii="Calibri" w:hAnsi="Calibri"/>
                <w:b/>
                <w:sz w:val="18"/>
              </w:rPr>
              <w:t>Profit before tax</w:t>
            </w:r>
          </w:p>
        </w:tc>
        <w:tc>
          <w:tcPr>
            <w:tcW w:type="dxa" w:w="617"/>
            <w:shd w:fill="E8F0FE"/>
          </w:tcPr>
          <w:p>
            <w:pPr>
              <w:spacing w:before="40" w:after="40"/>
            </w:pPr>
            <w:r>
              <w:rPr>
                <w:rFonts w:ascii="Calibri" w:hAnsi="Calibri"/>
                <w:sz w:val="18"/>
              </w:rPr>
              <w:t>-142</w:t>
            </w:r>
          </w:p>
        </w:tc>
        <w:tc>
          <w:tcPr>
            <w:tcW w:type="dxa" w:w="617"/>
            <w:shd w:fill="E8F0FE"/>
          </w:tcPr>
          <w:p>
            <w:pPr>
              <w:spacing w:before="40" w:after="40"/>
            </w:pPr>
            <w:r>
              <w:rPr>
                <w:rFonts w:ascii="Calibri" w:hAnsi="Calibri"/>
                <w:sz w:val="18"/>
              </w:rPr>
              <w:t>-143</w:t>
            </w:r>
          </w:p>
        </w:tc>
        <w:tc>
          <w:tcPr>
            <w:tcW w:type="dxa" w:w="617"/>
            <w:shd w:fill="E8F0FE"/>
          </w:tcPr>
          <w:p>
            <w:pPr>
              <w:spacing w:before="40" w:after="40"/>
            </w:pPr>
            <w:r>
              <w:rPr>
                <w:rFonts w:ascii="Calibri" w:hAnsi="Calibri"/>
                <w:sz w:val="18"/>
              </w:rPr>
              <w:t>-83</w:t>
            </w:r>
          </w:p>
        </w:tc>
        <w:tc>
          <w:tcPr>
            <w:tcW w:type="dxa" w:w="617"/>
            <w:shd w:fill="E8F0FE"/>
          </w:tcPr>
          <w:p>
            <w:pPr>
              <w:spacing w:before="40" w:after="40"/>
            </w:pPr>
            <w:r>
              <w:rPr>
                <w:rFonts w:ascii="Calibri" w:hAnsi="Calibri"/>
                <w:sz w:val="18"/>
              </w:rPr>
              <w:t>-55</w:t>
            </w:r>
          </w:p>
        </w:tc>
        <w:tc>
          <w:tcPr>
            <w:tcW w:type="dxa" w:w="617"/>
            <w:shd w:fill="E8F0FE"/>
          </w:tcPr>
          <w:p>
            <w:pPr>
              <w:spacing w:before="40" w:after="40"/>
            </w:pPr>
            <w:r>
              <w:rPr>
                <w:rFonts w:ascii="Calibri" w:hAnsi="Calibri"/>
                <w:sz w:val="18"/>
              </w:rPr>
              <w:t>36</w:t>
            </w:r>
          </w:p>
        </w:tc>
        <w:tc>
          <w:tcPr>
            <w:tcW w:type="dxa" w:w="617"/>
            <w:shd w:fill="E8F0FE"/>
          </w:tcPr>
          <w:p>
            <w:pPr>
              <w:spacing w:before="40" w:after="40"/>
            </w:pPr>
            <w:r>
              <w:rPr>
                <w:rFonts w:ascii="Calibri" w:hAnsi="Calibri"/>
                <w:sz w:val="18"/>
              </w:rPr>
              <w:t>50</w:t>
            </w:r>
          </w:p>
        </w:tc>
        <w:tc>
          <w:tcPr>
            <w:tcW w:type="dxa" w:w="617"/>
            <w:shd w:fill="E8F0FE"/>
          </w:tcPr>
          <w:p>
            <w:pPr>
              <w:spacing w:before="40" w:after="40"/>
            </w:pPr>
            <w:r>
              <w:rPr>
                <w:rFonts w:ascii="Calibri" w:hAnsi="Calibri"/>
                <w:sz w:val="18"/>
              </w:rPr>
              <w:t>-20</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13</w:t>
            </w:r>
          </w:p>
        </w:tc>
        <w:tc>
          <w:tcPr>
            <w:tcW w:type="dxa" w:w="617"/>
            <w:shd w:fill="E8F0FE"/>
          </w:tcPr>
          <w:p>
            <w:pPr>
              <w:spacing w:before="40" w:after="40"/>
            </w:pPr>
            <w:r>
              <w:rPr>
                <w:rFonts w:ascii="Calibri" w:hAnsi="Calibri"/>
                <w:sz w:val="18"/>
              </w:rPr>
              <w:t>87</w:t>
            </w:r>
          </w:p>
        </w:tc>
        <w:tc>
          <w:tcPr>
            <w:tcW w:type="dxa" w:w="617"/>
            <w:shd w:fill="E8F0FE"/>
          </w:tcPr>
          <w:p>
            <w:pPr>
              <w:spacing w:before="40" w:after="40"/>
            </w:pPr>
            <w:r>
              <w:rPr>
                <w:rFonts w:ascii="Calibri" w:hAnsi="Calibri"/>
                <w:sz w:val="18"/>
              </w:rPr>
              <w:t>598</w:t>
            </w:r>
          </w:p>
        </w:tc>
        <w:tc>
          <w:tcPr>
            <w:tcW w:type="dxa" w:w="617"/>
            <w:shd w:fill="E8F0FE"/>
          </w:tcPr>
          <w:p>
            <w:pPr>
              <w:spacing w:before="40" w:after="40"/>
            </w:pPr>
            <w:r>
              <w:rPr>
                <w:rFonts w:ascii="Calibri" w:hAnsi="Calibri"/>
                <w:sz w:val="18"/>
              </w:rPr>
              <w:t>258</w:t>
            </w:r>
          </w:p>
        </w:tc>
        <w:tc>
          <w:tcPr>
            <w:tcW w:type="dxa" w:w="617"/>
            <w:shd w:fill="E8F0FE"/>
          </w:tcPr>
          <w:p>
            <w:pPr>
              <w:spacing w:before="40" w:after="40"/>
            </w:pPr>
            <w:r>
              <w:rPr>
                <w:rFonts w:ascii="Calibri" w:hAnsi="Calibri"/>
                <w:sz w:val="18"/>
              </w:rPr>
              <w:t>268</w:t>
            </w:r>
          </w:p>
        </w:tc>
      </w:tr>
      <w:tr>
        <w:tc>
          <w:tcPr>
            <w:tcW w:type="dxa" w:w="617"/>
          </w:tcPr>
          <w:p>
            <w:pPr>
              <w:spacing w:before="40" w:after="40"/>
            </w:pPr>
            <w:r>
              <w:rPr>
                <w:rFonts w:ascii="Calibri" w:hAnsi="Calibri"/>
                <w:b/>
                <w:sz w:val="18"/>
              </w:rPr>
              <w:t>Tax %</w:t>
            </w:r>
          </w:p>
        </w:tc>
        <w:tc>
          <w:tcPr>
            <w:tcW w:type="dxa" w:w="617"/>
          </w:tcPr>
          <w:p>
            <w:pPr>
              <w:spacing w:before="40" w:after="40"/>
            </w:pPr>
            <w:r>
              <w:rPr>
                <w:rFonts w:ascii="Calibri" w:hAnsi="Calibri"/>
                <w:sz w:val="18"/>
              </w:rPr>
              <w:t>-14%</w:t>
            </w:r>
          </w:p>
        </w:tc>
        <w:tc>
          <w:tcPr>
            <w:tcW w:type="dxa" w:w="617"/>
          </w:tcPr>
          <w:p>
            <w:pPr>
              <w:spacing w:before="40" w:after="40"/>
            </w:pPr>
            <w:r>
              <w:rPr>
                <w:rFonts w:ascii="Calibri" w:hAnsi="Calibri"/>
                <w:sz w:val="18"/>
              </w:rPr>
              <w:t>-17%</w:t>
            </w:r>
          </w:p>
        </w:tc>
        <w:tc>
          <w:tcPr>
            <w:tcW w:type="dxa" w:w="617"/>
          </w:tcPr>
          <w:p>
            <w:pPr>
              <w:spacing w:before="40" w:after="40"/>
            </w:pPr>
            <w:r>
              <w:rPr>
                <w:rFonts w:ascii="Calibri" w:hAnsi="Calibri"/>
                <w:sz w:val="18"/>
              </w:rPr>
              <w:t>-29%</w:t>
            </w:r>
          </w:p>
        </w:tc>
        <w:tc>
          <w:tcPr>
            <w:tcW w:type="dxa" w:w="617"/>
          </w:tcPr>
          <w:p>
            <w:pPr>
              <w:spacing w:before="40" w:after="40"/>
            </w:pPr>
            <w:r>
              <w:rPr>
                <w:rFonts w:ascii="Calibri" w:hAnsi="Calibri"/>
                <w:sz w:val="18"/>
              </w:rPr>
              <w:t>-29%</w:t>
            </w:r>
          </w:p>
        </w:tc>
        <w:tc>
          <w:tcPr>
            <w:tcW w:type="dxa" w:w="617"/>
          </w:tcPr>
          <w:p>
            <w:pPr>
              <w:spacing w:before="40" w:after="40"/>
            </w:pPr>
            <w:r>
              <w:rPr>
                <w:rFonts w:ascii="Calibri" w:hAnsi="Calibri"/>
                <w:sz w:val="18"/>
              </w:rPr>
              <w:t>39%</w:t>
            </w:r>
          </w:p>
        </w:tc>
        <w:tc>
          <w:tcPr>
            <w:tcW w:type="dxa" w:w="617"/>
          </w:tcPr>
          <w:p>
            <w:pPr>
              <w:spacing w:before="40" w:after="40"/>
            </w:pPr>
            <w:r>
              <w:rPr>
                <w:rFonts w:ascii="Calibri" w:hAnsi="Calibri"/>
                <w:sz w:val="18"/>
              </w:rPr>
              <w:t>42%</w:t>
            </w:r>
          </w:p>
        </w:tc>
        <w:tc>
          <w:tcPr>
            <w:tcW w:type="dxa" w:w="617"/>
          </w:tcPr>
          <w:p>
            <w:pPr>
              <w:spacing w:before="40" w:after="40"/>
            </w:pPr>
            <w:r>
              <w:rPr>
                <w:rFonts w:ascii="Calibri" w:hAnsi="Calibri"/>
                <w:sz w:val="18"/>
              </w:rPr>
              <w:t>7%</w:t>
            </w:r>
          </w:p>
        </w:tc>
        <w:tc>
          <w:tcPr>
            <w:tcW w:type="dxa" w:w="617"/>
          </w:tcPr>
          <w:p>
            <w:pPr>
              <w:spacing w:before="40" w:after="40"/>
            </w:pPr>
            <w:r>
              <w:rPr>
                <w:rFonts w:ascii="Calibri" w:hAnsi="Calibri"/>
                <w:sz w:val="18"/>
              </w:rPr>
              <w:t>117%</w:t>
            </w:r>
          </w:p>
        </w:tc>
        <w:tc>
          <w:tcPr>
            <w:tcW w:type="dxa" w:w="617"/>
          </w:tcPr>
          <w:p>
            <w:pPr>
              <w:spacing w:before="40" w:after="40"/>
            </w:pPr>
            <w:r>
              <w:rPr>
                <w:rFonts w:ascii="Calibri" w:hAnsi="Calibri"/>
                <w:sz w:val="18"/>
              </w:rPr>
              <w:t>117%</w:t>
            </w:r>
          </w:p>
        </w:tc>
        <w:tc>
          <w:tcPr>
            <w:tcW w:type="dxa" w:w="617"/>
          </w:tcPr>
          <w:p>
            <w:pPr>
              <w:spacing w:before="40" w:after="40"/>
            </w:pPr>
            <w:r>
              <w:rPr>
                <w:rFonts w:ascii="Calibri" w:hAnsi="Calibri"/>
                <w:sz w:val="18"/>
              </w:rPr>
              <w:t>45%</w:t>
            </w:r>
          </w:p>
        </w:tc>
        <w:tc>
          <w:tcPr>
            <w:tcW w:type="dxa" w:w="617"/>
          </w:tcPr>
          <w:p>
            <w:pPr>
              <w:spacing w:before="40" w:after="40"/>
            </w:pPr>
            <w:r>
              <w:rPr>
                <w:rFonts w:ascii="Calibri" w:hAnsi="Calibri"/>
                <w:sz w:val="18"/>
              </w:rPr>
              <w:t>10%</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r>
          </w:p>
        </w:tc>
      </w:tr>
      <w:tr>
        <w:tc>
          <w:tcPr>
            <w:tcW w:type="dxa" w:w="617"/>
            <w:shd w:fill="E8F0FE"/>
          </w:tcPr>
          <w:p>
            <w:pPr>
              <w:spacing w:before="40" w:after="40"/>
            </w:pPr>
            <w:r>
              <w:rPr>
                <w:rFonts w:ascii="Calibri" w:hAnsi="Calibri"/>
                <w:b/>
                <w:sz w:val="18"/>
              </w:rPr>
              <w:t>Net Profit+</w:t>
            </w:r>
          </w:p>
        </w:tc>
        <w:tc>
          <w:tcPr>
            <w:tcW w:type="dxa" w:w="617"/>
            <w:shd w:fill="E8F0FE"/>
          </w:tcPr>
          <w:p>
            <w:pPr>
              <w:spacing w:before="40" w:after="40"/>
            </w:pPr>
            <w:r>
              <w:rPr>
                <w:rFonts w:ascii="Calibri" w:hAnsi="Calibri"/>
                <w:sz w:val="18"/>
              </w:rPr>
              <w:t>-122</w:t>
            </w:r>
          </w:p>
        </w:tc>
        <w:tc>
          <w:tcPr>
            <w:tcW w:type="dxa" w:w="617"/>
            <w:shd w:fill="E8F0FE"/>
          </w:tcPr>
          <w:p>
            <w:pPr>
              <w:spacing w:before="40" w:after="40"/>
            </w:pPr>
            <w:r>
              <w:rPr>
                <w:rFonts w:ascii="Calibri" w:hAnsi="Calibri"/>
                <w:sz w:val="18"/>
              </w:rPr>
              <w:t>-119</w:t>
            </w:r>
          </w:p>
        </w:tc>
        <w:tc>
          <w:tcPr>
            <w:tcW w:type="dxa" w:w="617"/>
            <w:shd w:fill="E8F0FE"/>
          </w:tcPr>
          <w:p>
            <w:pPr>
              <w:spacing w:before="40" w:after="40"/>
            </w:pPr>
            <w:r>
              <w:rPr>
                <w:rFonts w:ascii="Calibri" w:hAnsi="Calibri"/>
                <w:sz w:val="18"/>
              </w:rPr>
              <w:t>-59</w:t>
            </w:r>
          </w:p>
        </w:tc>
        <w:tc>
          <w:tcPr>
            <w:tcW w:type="dxa" w:w="617"/>
            <w:shd w:fill="E8F0FE"/>
          </w:tcPr>
          <w:p>
            <w:pPr>
              <w:spacing w:before="40" w:after="40"/>
            </w:pPr>
            <w:r>
              <w:rPr>
                <w:rFonts w:ascii="Calibri" w:hAnsi="Calibri"/>
                <w:sz w:val="18"/>
              </w:rPr>
              <w:t>-39</w:t>
            </w:r>
          </w:p>
        </w:tc>
        <w:tc>
          <w:tcPr>
            <w:tcW w:type="dxa" w:w="617"/>
            <w:shd w:fill="E8F0FE"/>
          </w:tcPr>
          <w:p>
            <w:pPr>
              <w:spacing w:before="40" w:after="40"/>
            </w:pPr>
            <w:r>
              <w:rPr>
                <w:rFonts w:ascii="Calibri" w:hAnsi="Calibri"/>
                <w:sz w:val="18"/>
              </w:rPr>
              <w:t>22</w:t>
            </w:r>
          </w:p>
        </w:tc>
        <w:tc>
          <w:tcPr>
            <w:tcW w:type="dxa" w:w="617"/>
            <w:shd w:fill="E8F0FE"/>
          </w:tcPr>
          <w:p>
            <w:pPr>
              <w:spacing w:before="40" w:after="40"/>
            </w:pPr>
            <w:r>
              <w:rPr>
                <w:rFonts w:ascii="Calibri" w:hAnsi="Calibri"/>
                <w:sz w:val="18"/>
              </w:rPr>
              <w:t>29</w:t>
            </w:r>
          </w:p>
        </w:tc>
        <w:tc>
          <w:tcPr>
            <w:tcW w:type="dxa" w:w="617"/>
            <w:shd w:fill="E8F0FE"/>
          </w:tcPr>
          <w:p>
            <w:pPr>
              <w:spacing w:before="40" w:after="40"/>
            </w:pPr>
            <w:r>
              <w:rPr>
                <w:rFonts w:ascii="Calibri" w:hAnsi="Calibri"/>
                <w:sz w:val="18"/>
              </w:rPr>
              <w:t>-21</w:t>
            </w:r>
          </w:p>
        </w:tc>
        <w:tc>
          <w:tcPr>
            <w:tcW w:type="dxa" w:w="617"/>
            <w:shd w:fill="E8F0FE"/>
          </w:tcPr>
          <w:p>
            <w:pPr>
              <w:spacing w:before="40" w:after="40"/>
            </w:pPr>
            <w:r>
              <w:rPr>
                <w:rFonts w:ascii="Calibri" w:hAnsi="Calibri"/>
                <w:sz w:val="18"/>
              </w:rPr>
              <w:t>-3</w:t>
            </w:r>
          </w:p>
        </w:tc>
        <w:tc>
          <w:tcPr>
            <w:tcW w:type="dxa" w:w="617"/>
            <w:shd w:fill="E8F0FE"/>
          </w:tcPr>
          <w:p>
            <w:pPr>
              <w:spacing w:before="40" w:after="40"/>
            </w:pPr>
            <w:r>
              <w:rPr>
                <w:rFonts w:ascii="Calibri" w:hAnsi="Calibri"/>
                <w:sz w:val="18"/>
              </w:rPr>
              <w:t>-2</w:t>
            </w:r>
          </w:p>
        </w:tc>
        <w:tc>
          <w:tcPr>
            <w:tcW w:type="dxa" w:w="617"/>
            <w:shd w:fill="E8F0FE"/>
          </w:tcPr>
          <w:p>
            <w:pPr>
              <w:spacing w:before="40" w:after="40"/>
            </w:pPr>
            <w:r>
              <w:rPr>
                <w:rFonts w:ascii="Calibri" w:hAnsi="Calibri"/>
                <w:sz w:val="18"/>
              </w:rPr>
              <w:t>48</w:t>
            </w:r>
          </w:p>
        </w:tc>
        <w:tc>
          <w:tcPr>
            <w:tcW w:type="dxa" w:w="617"/>
            <w:shd w:fill="E8F0FE"/>
          </w:tcPr>
          <w:p>
            <w:pPr>
              <w:spacing w:before="40" w:after="40"/>
            </w:pPr>
            <w:r>
              <w:rPr>
                <w:rFonts w:ascii="Calibri" w:hAnsi="Calibri"/>
                <w:sz w:val="18"/>
              </w:rPr>
              <w:t>539</w:t>
            </w:r>
          </w:p>
        </w:tc>
        <w:tc>
          <w:tcPr>
            <w:tcW w:type="dxa" w:w="617"/>
            <w:shd w:fill="E8F0FE"/>
          </w:tcPr>
          <w:p>
            <w:pPr>
              <w:spacing w:before="40" w:after="40"/>
            </w:pPr>
            <w:r>
              <w:rPr>
                <w:rFonts w:ascii="Calibri" w:hAnsi="Calibri"/>
                <w:sz w:val="18"/>
              </w:rPr>
              <w:t>250</w:t>
            </w:r>
          </w:p>
        </w:tc>
        <w:tc>
          <w:tcPr>
            <w:tcW w:type="dxa" w:w="617"/>
            <w:shd w:fill="E8F0FE"/>
          </w:tcPr>
          <w:p>
            <w:pPr>
              <w:spacing w:before="40" w:after="40"/>
            </w:pPr>
            <w:r>
              <w:rPr>
                <w:rFonts w:ascii="Calibri" w:hAnsi="Calibri"/>
                <w:sz w:val="18"/>
              </w:rPr>
              <w:t>249</w:t>
            </w:r>
          </w:p>
        </w:tc>
      </w:tr>
      <w:tr>
        <w:tc>
          <w:tcPr>
            <w:tcW w:type="dxa" w:w="617"/>
          </w:tcPr>
          <w:p>
            <w:pPr>
              <w:spacing w:before="40" w:after="40"/>
            </w:pPr>
            <w:r>
              <w:rPr>
                <w:rFonts w:ascii="Calibri" w:hAnsi="Calibri"/>
                <w:b/>
                <w:sz w:val="18"/>
              </w:rPr>
              <w:t>EPS in Rs</w:t>
            </w:r>
          </w:p>
        </w:tc>
        <w:tc>
          <w:tcPr>
            <w:tcW w:type="dxa" w:w="617"/>
          </w:tcPr>
          <w:p>
            <w:pPr>
              <w:spacing w:before="40" w:after="40"/>
            </w:pPr>
            <w:r>
              <w:rPr>
                <w:rFonts w:ascii="Calibri" w:hAnsi="Calibri"/>
                <w:sz w:val="18"/>
              </w:rPr>
              <w:t>-29.79</w:t>
            </w:r>
          </w:p>
        </w:tc>
        <w:tc>
          <w:tcPr>
            <w:tcW w:type="dxa" w:w="617"/>
          </w:tcPr>
          <w:p>
            <w:pPr>
              <w:spacing w:before="40" w:after="40"/>
            </w:pPr>
            <w:r>
              <w:rPr>
                <w:rFonts w:ascii="Calibri" w:hAnsi="Calibri"/>
                <w:sz w:val="18"/>
              </w:rPr>
              <w:t>-29.14</w:t>
            </w:r>
          </w:p>
        </w:tc>
        <w:tc>
          <w:tcPr>
            <w:tcW w:type="dxa" w:w="617"/>
          </w:tcPr>
          <w:p>
            <w:pPr>
              <w:spacing w:before="40" w:after="40"/>
            </w:pPr>
            <w:r>
              <w:rPr>
                <w:rFonts w:ascii="Calibri" w:hAnsi="Calibri"/>
                <w:sz w:val="18"/>
              </w:rPr>
              <w:t>-14.33</w:t>
            </w:r>
          </w:p>
        </w:tc>
        <w:tc>
          <w:tcPr>
            <w:tcW w:type="dxa" w:w="617"/>
          </w:tcPr>
          <w:p>
            <w:pPr>
              <w:spacing w:before="40" w:after="40"/>
            </w:pPr>
            <w:r>
              <w:rPr>
                <w:rFonts w:ascii="Calibri" w:hAnsi="Calibri"/>
                <w:sz w:val="18"/>
              </w:rPr>
              <w:t>-8.75</w:t>
            </w:r>
          </w:p>
        </w:tc>
        <w:tc>
          <w:tcPr>
            <w:tcW w:type="dxa" w:w="617"/>
          </w:tcPr>
          <w:p>
            <w:pPr>
              <w:spacing w:before="40" w:after="40"/>
            </w:pPr>
            <w:r>
              <w:rPr>
                <w:rFonts w:ascii="Calibri" w:hAnsi="Calibri"/>
                <w:sz w:val="18"/>
              </w:rPr>
              <w:t>4.85</w:t>
            </w:r>
          </w:p>
        </w:tc>
        <w:tc>
          <w:tcPr>
            <w:tcW w:type="dxa" w:w="617"/>
          </w:tcPr>
          <w:p>
            <w:pPr>
              <w:spacing w:before="40" w:after="40"/>
            </w:pPr>
            <w:r>
              <w:rPr>
                <w:rFonts w:ascii="Calibri" w:hAnsi="Calibri"/>
                <w:sz w:val="18"/>
              </w:rPr>
              <w:t>6.09</w:t>
            </w:r>
          </w:p>
        </w:tc>
        <w:tc>
          <w:tcPr>
            <w:tcW w:type="dxa" w:w="617"/>
          </w:tcPr>
          <w:p>
            <w:pPr>
              <w:spacing w:before="40" w:after="40"/>
            </w:pPr>
            <w:r>
              <w:rPr>
                <w:rFonts w:ascii="Calibri" w:hAnsi="Calibri"/>
                <w:sz w:val="18"/>
              </w:rPr>
              <w:t>-3.59</w:t>
            </w:r>
          </w:p>
        </w:tc>
        <w:tc>
          <w:tcPr>
            <w:tcW w:type="dxa" w:w="617"/>
          </w:tcPr>
          <w:p>
            <w:pPr>
              <w:spacing w:before="40" w:after="40"/>
            </w:pPr>
            <w:r>
              <w:rPr>
                <w:rFonts w:ascii="Calibri" w:hAnsi="Calibri"/>
                <w:sz w:val="18"/>
              </w:rPr>
              <w:t>-0.53</w:t>
            </w:r>
          </w:p>
        </w:tc>
        <w:tc>
          <w:tcPr>
            <w:tcW w:type="dxa" w:w="617"/>
          </w:tcPr>
          <w:p>
            <w:pPr>
              <w:spacing w:before="40" w:after="40"/>
            </w:pPr>
            <w:r>
              <w:rPr>
                <w:rFonts w:ascii="Calibri" w:hAnsi="Calibri"/>
                <w:sz w:val="18"/>
              </w:rPr>
              <w:t>-0.36</w:t>
            </w:r>
          </w:p>
        </w:tc>
        <w:tc>
          <w:tcPr>
            <w:tcW w:type="dxa" w:w="617"/>
          </w:tcPr>
          <w:p>
            <w:pPr>
              <w:spacing w:before="40" w:after="40"/>
            </w:pPr>
            <w:r>
              <w:rPr>
                <w:rFonts w:ascii="Calibri" w:hAnsi="Calibri"/>
                <w:sz w:val="18"/>
              </w:rPr>
              <w:t>8.06</w:t>
            </w:r>
          </w:p>
        </w:tc>
        <w:tc>
          <w:tcPr>
            <w:tcW w:type="dxa" w:w="617"/>
          </w:tcPr>
          <w:p>
            <w:pPr>
              <w:spacing w:before="40" w:after="40"/>
            </w:pPr>
            <w:r>
              <w:rPr>
                <w:rFonts w:ascii="Calibri" w:hAnsi="Calibri"/>
                <w:sz w:val="18"/>
              </w:rPr>
              <w:t>91.18</w:t>
            </w:r>
          </w:p>
        </w:tc>
        <w:tc>
          <w:tcPr>
            <w:tcW w:type="dxa" w:w="617"/>
          </w:tcPr>
          <w:p>
            <w:pPr>
              <w:spacing w:before="40" w:after="40"/>
            </w:pPr>
            <w:r>
              <w:rPr>
                <w:rFonts w:ascii="Calibri" w:hAnsi="Calibri"/>
                <w:sz w:val="18"/>
              </w:rPr>
              <w:t>41.32</w:t>
            </w:r>
          </w:p>
        </w:tc>
        <w:tc>
          <w:tcPr>
            <w:tcW w:type="dxa" w:w="617"/>
          </w:tcPr>
          <w:p>
            <w:pPr>
              <w:spacing w:before="40" w:after="40"/>
            </w:pPr>
            <w:r>
              <w:rPr>
                <w:rFonts w:ascii="Calibri" w:hAnsi="Calibri"/>
                <w:sz w:val="18"/>
              </w:rPr>
              <w:t>40.27</w:t>
            </w:r>
          </w:p>
        </w:tc>
      </w:tr>
      <w:tr>
        <w:tc>
          <w:tcPr>
            <w:tcW w:type="dxa" w:w="617"/>
            <w:shd w:fill="E8F0FE"/>
          </w:tcPr>
          <w:p>
            <w:pPr>
              <w:spacing w:before="40" w:after="40"/>
            </w:pPr>
            <w:r>
              <w:rPr>
                <w:rFonts w:ascii="Calibri" w:hAnsi="Calibri"/>
                <w:b/>
                <w:sz w:val="18"/>
              </w:rPr>
              <w:t>Dividend Payout %</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r>
          </w:p>
        </w:tc>
      </w:tr>
    </w:tbl>
    <w:p/>
    <w:p>
      <w:pPr>
        <w:pStyle w:val="Heading2"/>
      </w:pPr>
      <w:r>
        <w:rPr>
          <w:rFonts w:ascii="Calibri" w:hAnsi="Calibri"/>
          <w:color w:val="1F5F8B"/>
          <w:sz w:val="26"/>
        </w:rPr>
        <w:t>3.2 Consolidated Balance Sheet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shd w:fill="1F5F8B"/>
          </w:tcPr>
          <w:p>
            <w:pPr>
              <w:spacing w:before="40" w:after="40"/>
            </w:pPr>
            <w:r>
              <w:rPr>
                <w:rFonts w:ascii="Calibri" w:hAnsi="Calibri"/>
                <w:b/>
                <w:color w:val="FFFFFF"/>
                <w:sz w:val="18"/>
              </w:rPr>
            </w:r>
          </w:p>
        </w:tc>
        <w:tc>
          <w:tcPr>
            <w:tcW w:type="dxa" w:w="617"/>
            <w:shd w:fill="1F5F8B"/>
          </w:tcPr>
          <w:p>
            <w:pPr>
              <w:spacing w:before="40" w:after="40"/>
            </w:pPr>
            <w:r>
              <w:rPr>
                <w:rFonts w:ascii="Calibri" w:hAnsi="Calibri"/>
                <w:b/>
                <w:color w:val="FFFFFF"/>
                <w:sz w:val="18"/>
              </w:rPr>
              <w:t>Mar 2014</w:t>
            </w:r>
          </w:p>
        </w:tc>
        <w:tc>
          <w:tcPr>
            <w:tcW w:type="dxa" w:w="617"/>
            <w:shd w:fill="1F5F8B"/>
          </w:tcPr>
          <w:p>
            <w:pPr>
              <w:spacing w:before="40" w:after="40"/>
            </w:pPr>
            <w:r>
              <w:rPr>
                <w:rFonts w:ascii="Calibri" w:hAnsi="Calibri"/>
                <w:b/>
                <w:color w:val="FFFFFF"/>
                <w:sz w:val="18"/>
              </w:rPr>
              <w:t>Mar 2015</w:t>
            </w:r>
          </w:p>
        </w:tc>
        <w:tc>
          <w:tcPr>
            <w:tcW w:type="dxa" w:w="617"/>
            <w:shd w:fill="1F5F8B"/>
          </w:tcPr>
          <w:p>
            <w:pPr>
              <w:spacing w:before="40" w:after="40"/>
            </w:pPr>
            <w:r>
              <w:rPr>
                <w:rFonts w:ascii="Calibri" w:hAnsi="Calibri"/>
                <w:b/>
                <w:color w:val="FFFFFF"/>
                <w:sz w:val="18"/>
              </w:rPr>
              <w:t>Mar 2016</w:t>
            </w:r>
          </w:p>
        </w:tc>
        <w:tc>
          <w:tcPr>
            <w:tcW w:type="dxa" w:w="617"/>
            <w:shd w:fill="1F5F8B"/>
          </w:tcPr>
          <w:p>
            <w:pPr>
              <w:spacing w:before="40" w:after="40"/>
            </w:pPr>
            <w:r>
              <w:rPr>
                <w:rFonts w:ascii="Calibri" w:hAnsi="Calibri"/>
                <w:b/>
                <w:color w:val="FFFFFF"/>
                <w:sz w:val="18"/>
              </w:rPr>
              <w:t>Mar 2017</w:t>
            </w:r>
          </w:p>
        </w:tc>
        <w:tc>
          <w:tcPr>
            <w:tcW w:type="dxa" w:w="617"/>
            <w:shd w:fill="1F5F8B"/>
          </w:tcPr>
          <w:p>
            <w:pPr>
              <w:spacing w:before="40" w:after="40"/>
            </w:pPr>
            <w:r>
              <w:rPr>
                <w:rFonts w:ascii="Calibri" w:hAnsi="Calibri"/>
                <w:b/>
                <w:color w:val="FFFFFF"/>
                <w:sz w:val="18"/>
              </w:rPr>
              <w:t>Mar 2018</w:t>
            </w:r>
          </w:p>
        </w:tc>
        <w:tc>
          <w:tcPr>
            <w:tcW w:type="dxa" w:w="617"/>
            <w:shd w:fill="1F5F8B"/>
          </w:tcPr>
          <w:p>
            <w:pPr>
              <w:spacing w:before="40" w:after="40"/>
            </w:pPr>
            <w:r>
              <w:rPr>
                <w:rFonts w:ascii="Calibri" w:hAnsi="Calibri"/>
                <w:b/>
                <w:color w:val="FFFFFF"/>
                <w:sz w:val="18"/>
              </w:rPr>
              <w:t>Mar 2019</w:t>
            </w:r>
          </w:p>
        </w:tc>
        <w:tc>
          <w:tcPr>
            <w:tcW w:type="dxa" w:w="617"/>
            <w:shd w:fill="1F5F8B"/>
          </w:tcPr>
          <w:p>
            <w:pPr>
              <w:spacing w:before="40" w:after="40"/>
            </w:pPr>
            <w:r>
              <w:rPr>
                <w:rFonts w:ascii="Calibri" w:hAnsi="Calibri"/>
                <w:b/>
                <w:color w:val="FFFFFF"/>
                <w:sz w:val="18"/>
              </w:rPr>
              <w:t>Mar 2020</w:t>
            </w:r>
          </w:p>
        </w:tc>
        <w:tc>
          <w:tcPr>
            <w:tcW w:type="dxa" w:w="617"/>
            <w:shd w:fill="1F5F8B"/>
          </w:tcPr>
          <w:p>
            <w:pPr>
              <w:spacing w:before="40" w:after="40"/>
            </w:pPr>
            <w:r>
              <w:rPr>
                <w:rFonts w:ascii="Calibri" w:hAnsi="Calibri"/>
                <w:b/>
                <w:color w:val="FFFFFF"/>
                <w:sz w:val="18"/>
              </w:rPr>
              <w:t>Mar 2021</w:t>
            </w:r>
          </w:p>
        </w:tc>
        <w:tc>
          <w:tcPr>
            <w:tcW w:type="dxa" w:w="617"/>
            <w:shd w:fill="1F5F8B"/>
          </w:tcPr>
          <w:p>
            <w:pPr>
              <w:spacing w:before="40" w:after="40"/>
            </w:pPr>
            <w:r>
              <w:rPr>
                <w:rFonts w:ascii="Calibri" w:hAnsi="Calibri"/>
                <w:b/>
                <w:color w:val="FFFFFF"/>
                <w:sz w:val="18"/>
              </w:rPr>
              <w:t>Mar 2022</w:t>
            </w:r>
          </w:p>
        </w:tc>
        <w:tc>
          <w:tcPr>
            <w:tcW w:type="dxa" w:w="617"/>
            <w:shd w:fill="1F5F8B"/>
          </w:tcPr>
          <w:p>
            <w:pPr>
              <w:spacing w:before="40" w:after="40"/>
            </w:pPr>
            <w:r>
              <w:rPr>
                <w:rFonts w:ascii="Calibri" w:hAnsi="Calibri"/>
                <w:b/>
                <w:color w:val="FFFFFF"/>
                <w:sz w:val="18"/>
              </w:rPr>
              <w:t>Mar 2023</w:t>
            </w:r>
          </w:p>
        </w:tc>
        <w:tc>
          <w:tcPr>
            <w:tcW w:type="dxa" w:w="617"/>
            <w:shd w:fill="1F5F8B"/>
          </w:tcPr>
          <w:p>
            <w:pPr>
              <w:spacing w:before="40" w:after="40"/>
            </w:pPr>
            <w:r>
              <w:rPr>
                <w:rFonts w:ascii="Calibri" w:hAnsi="Calibri"/>
                <w:b/>
                <w:color w:val="FFFFFF"/>
                <w:sz w:val="18"/>
              </w:rPr>
              <w:t>Mar 2024</w:t>
            </w:r>
          </w:p>
        </w:tc>
        <w:tc>
          <w:tcPr>
            <w:tcW w:type="dxa" w:w="617"/>
            <w:shd w:fill="1F5F8B"/>
          </w:tcPr>
          <w:p>
            <w:pPr>
              <w:spacing w:before="40" w:after="40"/>
            </w:pPr>
            <w:r>
              <w:rPr>
                <w:rFonts w:ascii="Calibri" w:hAnsi="Calibri"/>
                <w:b/>
                <w:color w:val="FFFFFF"/>
                <w:sz w:val="18"/>
              </w:rPr>
              <w:t>Mar 2025</w:t>
            </w:r>
          </w:p>
        </w:tc>
        <w:tc>
          <w:tcPr>
            <w:tcW w:type="dxa" w:w="617"/>
            <w:shd w:fill="1F5F8B"/>
          </w:tcPr>
          <w:p>
            <w:pPr>
              <w:spacing w:before="40" w:after="40"/>
            </w:pPr>
            <w:r>
              <w:rPr>
                <w:rFonts w:ascii="Calibri" w:hAnsi="Calibri"/>
                <w:b/>
                <w:color w:val="FFFFFF"/>
                <w:sz w:val="18"/>
              </w:rPr>
              <w:t>Sep 2025</w:t>
            </w:r>
          </w:p>
        </w:tc>
      </w:tr>
      <w:tr>
        <w:tc>
          <w:tcPr>
            <w:tcW w:type="dxa" w:w="617"/>
          </w:tcPr>
          <w:p>
            <w:pPr>
              <w:spacing w:before="40" w:after="40"/>
            </w:pPr>
            <w:r>
              <w:rPr>
                <w:rFonts w:ascii="Calibri" w:hAnsi="Calibri"/>
                <w:b/>
                <w:sz w:val="18"/>
              </w:rPr>
              <w:t>Equity Capital</w:t>
            </w:r>
          </w:p>
        </w:tc>
        <w:tc>
          <w:tcPr>
            <w:tcW w:type="dxa" w:w="617"/>
          </w:tcPr>
          <w:p>
            <w:pPr>
              <w:spacing w:before="40" w:after="40"/>
            </w:pPr>
            <w:r>
              <w:rPr>
                <w:rFonts w:ascii="Calibri" w:hAnsi="Calibri"/>
                <w:sz w:val="18"/>
              </w:rPr>
              <w:t>41</w:t>
            </w:r>
          </w:p>
        </w:tc>
        <w:tc>
          <w:tcPr>
            <w:tcW w:type="dxa" w:w="617"/>
          </w:tcPr>
          <w:p>
            <w:pPr>
              <w:spacing w:before="40" w:after="40"/>
            </w:pPr>
            <w:r>
              <w:rPr>
                <w:rFonts w:ascii="Calibri" w:hAnsi="Calibri"/>
                <w:sz w:val="18"/>
              </w:rPr>
              <w:t>42</w:t>
            </w:r>
          </w:p>
        </w:tc>
        <w:tc>
          <w:tcPr>
            <w:tcW w:type="dxa" w:w="617"/>
          </w:tcPr>
          <w:p>
            <w:pPr>
              <w:spacing w:before="40" w:after="40"/>
            </w:pPr>
            <w:r>
              <w:rPr>
                <w:rFonts w:ascii="Calibri" w:hAnsi="Calibri"/>
                <w:sz w:val="18"/>
              </w:rPr>
              <w:t>42</w:t>
            </w:r>
          </w:p>
        </w:tc>
        <w:tc>
          <w:tcPr>
            <w:tcW w:type="dxa" w:w="617"/>
          </w:tcPr>
          <w:p>
            <w:pPr>
              <w:spacing w:before="40" w:after="40"/>
            </w:pPr>
            <w:r>
              <w:rPr>
                <w:rFonts w:ascii="Calibri" w:hAnsi="Calibri"/>
                <w:sz w:val="18"/>
              </w:rPr>
              <w:t>45</w:t>
            </w:r>
          </w:p>
        </w:tc>
        <w:tc>
          <w:tcPr>
            <w:tcW w:type="dxa" w:w="617"/>
          </w:tcPr>
          <w:p>
            <w:pPr>
              <w:spacing w:before="40" w:after="40"/>
            </w:pPr>
            <w:r>
              <w:rPr>
                <w:rFonts w:ascii="Calibri" w:hAnsi="Calibri"/>
                <w:sz w:val="18"/>
              </w:rPr>
              <w:t>46</w:t>
            </w:r>
          </w:p>
        </w:tc>
        <w:tc>
          <w:tcPr>
            <w:tcW w:type="dxa" w:w="617"/>
          </w:tcPr>
          <w:p>
            <w:pPr>
              <w:spacing w:before="40" w:after="40"/>
            </w:pPr>
            <w:r>
              <w:rPr>
                <w:rFonts w:ascii="Calibri" w:hAnsi="Calibri"/>
                <w:sz w:val="18"/>
              </w:rPr>
              <w:t>48</w:t>
            </w:r>
          </w:p>
        </w:tc>
        <w:tc>
          <w:tcPr>
            <w:tcW w:type="dxa" w:w="617"/>
          </w:tcPr>
          <w:p>
            <w:pPr>
              <w:spacing w:before="40" w:after="40"/>
            </w:pPr>
            <w:r>
              <w:rPr>
                <w:rFonts w:ascii="Calibri" w:hAnsi="Calibri"/>
                <w:sz w:val="18"/>
              </w:rPr>
              <w:t>60</w:t>
            </w:r>
          </w:p>
        </w:tc>
        <w:tc>
          <w:tcPr>
            <w:tcW w:type="dxa" w:w="617"/>
          </w:tcPr>
          <w:p>
            <w:pPr>
              <w:spacing w:before="40" w:after="40"/>
            </w:pPr>
            <w:r>
              <w:rPr>
                <w:rFonts w:ascii="Calibri" w:hAnsi="Calibri"/>
                <w:sz w:val="18"/>
              </w:rPr>
              <w:t>60</w:t>
            </w:r>
          </w:p>
        </w:tc>
        <w:tc>
          <w:tcPr>
            <w:tcW w:type="dxa" w:w="617"/>
          </w:tcPr>
          <w:p>
            <w:pPr>
              <w:spacing w:before="40" w:after="40"/>
            </w:pPr>
            <w:r>
              <w:rPr>
                <w:rFonts w:ascii="Calibri" w:hAnsi="Calibri"/>
                <w:sz w:val="18"/>
              </w:rPr>
              <w:t>60</w:t>
            </w:r>
          </w:p>
        </w:tc>
        <w:tc>
          <w:tcPr>
            <w:tcW w:type="dxa" w:w="617"/>
          </w:tcPr>
          <w:p>
            <w:pPr>
              <w:spacing w:before="40" w:after="40"/>
            </w:pPr>
            <w:r>
              <w:rPr>
                <w:rFonts w:ascii="Calibri" w:hAnsi="Calibri"/>
                <w:sz w:val="18"/>
              </w:rPr>
              <w:t>60</w:t>
            </w:r>
          </w:p>
        </w:tc>
        <w:tc>
          <w:tcPr>
            <w:tcW w:type="dxa" w:w="617"/>
          </w:tcPr>
          <w:p>
            <w:pPr>
              <w:spacing w:before="40" w:after="40"/>
            </w:pPr>
            <w:r>
              <w:rPr>
                <w:rFonts w:ascii="Calibri" w:hAnsi="Calibri"/>
                <w:sz w:val="18"/>
              </w:rPr>
              <w:t>67</w:t>
            </w:r>
          </w:p>
        </w:tc>
        <w:tc>
          <w:tcPr>
            <w:tcW w:type="dxa" w:w="617"/>
          </w:tcPr>
          <w:p>
            <w:pPr>
              <w:spacing w:before="40" w:after="40"/>
            </w:pPr>
            <w:r>
              <w:rPr>
                <w:rFonts w:ascii="Calibri" w:hAnsi="Calibri"/>
                <w:sz w:val="18"/>
              </w:rPr>
              <w:t>69</w:t>
            </w:r>
          </w:p>
        </w:tc>
        <w:tc>
          <w:tcPr>
            <w:tcW w:type="dxa" w:w="617"/>
          </w:tcPr>
          <w:p>
            <w:pPr>
              <w:spacing w:before="40" w:after="40"/>
            </w:pPr>
            <w:r>
              <w:rPr>
                <w:rFonts w:ascii="Calibri" w:hAnsi="Calibri"/>
                <w:sz w:val="18"/>
              </w:rPr>
              <w:t>82</w:t>
            </w:r>
          </w:p>
        </w:tc>
      </w:tr>
      <w:tr>
        <w:tc>
          <w:tcPr>
            <w:tcW w:type="dxa" w:w="617"/>
            <w:shd w:fill="E8F0FE"/>
          </w:tcPr>
          <w:p>
            <w:pPr>
              <w:spacing w:before="40" w:after="40"/>
            </w:pPr>
            <w:r>
              <w:rPr>
                <w:rFonts w:ascii="Calibri" w:hAnsi="Calibri"/>
                <w:b/>
                <w:sz w:val="18"/>
              </w:rPr>
              <w:t>Reserves</w:t>
            </w:r>
          </w:p>
        </w:tc>
        <w:tc>
          <w:tcPr>
            <w:tcW w:type="dxa" w:w="617"/>
            <w:shd w:fill="E8F0FE"/>
          </w:tcPr>
          <w:p>
            <w:pPr>
              <w:spacing w:before="40" w:after="40"/>
            </w:pPr>
            <w:r>
              <w:rPr>
                <w:rFonts w:ascii="Calibri" w:hAnsi="Calibri"/>
                <w:sz w:val="18"/>
              </w:rPr>
              <w:t>684</w:t>
            </w:r>
          </w:p>
        </w:tc>
        <w:tc>
          <w:tcPr>
            <w:tcW w:type="dxa" w:w="617"/>
            <w:shd w:fill="E8F0FE"/>
          </w:tcPr>
          <w:p>
            <w:pPr>
              <w:spacing w:before="40" w:after="40"/>
            </w:pPr>
            <w:r>
              <w:rPr>
                <w:rFonts w:ascii="Calibri" w:hAnsi="Calibri"/>
                <w:sz w:val="18"/>
              </w:rPr>
              <w:t>553</w:t>
            </w:r>
          </w:p>
        </w:tc>
        <w:tc>
          <w:tcPr>
            <w:tcW w:type="dxa" w:w="617"/>
            <w:shd w:fill="E8F0FE"/>
          </w:tcPr>
          <w:p>
            <w:pPr>
              <w:spacing w:before="40" w:after="40"/>
            </w:pPr>
            <w:r>
              <w:rPr>
                <w:rFonts w:ascii="Calibri" w:hAnsi="Calibri"/>
                <w:sz w:val="18"/>
              </w:rPr>
              <w:t>476</w:t>
            </w:r>
          </w:p>
        </w:tc>
        <w:tc>
          <w:tcPr>
            <w:tcW w:type="dxa" w:w="617"/>
            <w:shd w:fill="E8F0FE"/>
          </w:tcPr>
          <w:p>
            <w:pPr>
              <w:spacing w:before="40" w:after="40"/>
            </w:pPr>
            <w:r>
              <w:rPr>
                <w:rFonts w:ascii="Calibri" w:hAnsi="Calibri"/>
                <w:sz w:val="18"/>
              </w:rPr>
              <w:t>486</w:t>
            </w:r>
          </w:p>
        </w:tc>
        <w:tc>
          <w:tcPr>
            <w:tcW w:type="dxa" w:w="617"/>
            <w:shd w:fill="E8F0FE"/>
          </w:tcPr>
          <w:p>
            <w:pPr>
              <w:spacing w:before="40" w:after="40"/>
            </w:pPr>
            <w:r>
              <w:rPr>
                <w:rFonts w:ascii="Calibri" w:hAnsi="Calibri"/>
                <w:sz w:val="18"/>
              </w:rPr>
              <w:t>507</w:t>
            </w:r>
          </w:p>
        </w:tc>
        <w:tc>
          <w:tcPr>
            <w:tcW w:type="dxa" w:w="617"/>
            <w:shd w:fill="E8F0FE"/>
          </w:tcPr>
          <w:p>
            <w:pPr>
              <w:spacing w:before="40" w:after="40"/>
            </w:pPr>
            <w:r>
              <w:rPr>
                <w:rFonts w:ascii="Calibri" w:hAnsi="Calibri"/>
                <w:sz w:val="18"/>
              </w:rPr>
              <w:t>540</w:t>
            </w:r>
          </w:p>
        </w:tc>
        <w:tc>
          <w:tcPr>
            <w:tcW w:type="dxa" w:w="617"/>
            <w:shd w:fill="E8F0FE"/>
          </w:tcPr>
          <w:p>
            <w:pPr>
              <w:spacing w:before="40" w:after="40"/>
            </w:pPr>
            <w:r>
              <w:rPr>
                <w:rFonts w:ascii="Calibri" w:hAnsi="Calibri"/>
                <w:sz w:val="18"/>
              </w:rPr>
              <w:t>581</w:t>
            </w:r>
          </w:p>
        </w:tc>
        <w:tc>
          <w:tcPr>
            <w:tcW w:type="dxa" w:w="617"/>
            <w:shd w:fill="E8F0FE"/>
          </w:tcPr>
          <w:p>
            <w:pPr>
              <w:spacing w:before="40" w:after="40"/>
            </w:pPr>
            <w:r>
              <w:rPr>
                <w:rFonts w:ascii="Calibri" w:hAnsi="Calibri"/>
                <w:sz w:val="18"/>
              </w:rPr>
              <w:t>544</w:t>
            </w:r>
          </w:p>
        </w:tc>
        <w:tc>
          <w:tcPr>
            <w:tcW w:type="dxa" w:w="617"/>
            <w:shd w:fill="E8F0FE"/>
          </w:tcPr>
          <w:p>
            <w:pPr>
              <w:spacing w:before="40" w:after="40"/>
            </w:pPr>
            <w:r>
              <w:rPr>
                <w:rFonts w:ascii="Calibri" w:hAnsi="Calibri"/>
                <w:sz w:val="18"/>
              </w:rPr>
              <w:t>541</w:t>
            </w:r>
          </w:p>
        </w:tc>
        <w:tc>
          <w:tcPr>
            <w:tcW w:type="dxa" w:w="617"/>
            <w:shd w:fill="E8F0FE"/>
          </w:tcPr>
          <w:p>
            <w:pPr>
              <w:spacing w:before="40" w:after="40"/>
            </w:pPr>
            <w:r>
              <w:rPr>
                <w:rFonts w:ascii="Calibri" w:hAnsi="Calibri"/>
                <w:sz w:val="18"/>
              </w:rPr>
              <w:t>622</w:t>
            </w:r>
          </w:p>
        </w:tc>
        <w:tc>
          <w:tcPr>
            <w:tcW w:type="dxa" w:w="617"/>
            <w:shd w:fill="E8F0FE"/>
          </w:tcPr>
          <w:p>
            <w:pPr>
              <w:spacing w:before="40" w:after="40"/>
            </w:pPr>
            <w:r>
              <w:rPr>
                <w:rFonts w:ascii="Calibri" w:hAnsi="Calibri"/>
                <w:sz w:val="18"/>
              </w:rPr>
              <w:t>745</w:t>
            </w:r>
          </w:p>
        </w:tc>
        <w:tc>
          <w:tcPr>
            <w:tcW w:type="dxa" w:w="617"/>
            <w:shd w:fill="E8F0FE"/>
          </w:tcPr>
          <w:p>
            <w:pPr>
              <w:spacing w:before="40" w:after="40"/>
            </w:pPr>
            <w:r>
              <w:rPr>
                <w:rFonts w:ascii="Calibri" w:hAnsi="Calibri"/>
                <w:sz w:val="18"/>
              </w:rPr>
              <w:t>1,104</w:t>
            </w:r>
          </w:p>
        </w:tc>
        <w:tc>
          <w:tcPr>
            <w:tcW w:type="dxa" w:w="617"/>
            <w:shd w:fill="E8F0FE"/>
          </w:tcPr>
          <w:p>
            <w:pPr>
              <w:spacing w:before="40" w:after="40"/>
            </w:pPr>
            <w:r>
              <w:rPr>
                <w:rFonts w:ascii="Calibri" w:hAnsi="Calibri"/>
                <w:sz w:val="18"/>
              </w:rPr>
              <w:t>1,226</w:t>
            </w:r>
          </w:p>
        </w:tc>
      </w:tr>
      <w:tr>
        <w:tc>
          <w:tcPr>
            <w:tcW w:type="dxa" w:w="617"/>
          </w:tcPr>
          <w:p>
            <w:pPr>
              <w:spacing w:before="40" w:after="40"/>
            </w:pPr>
            <w:r>
              <w:rPr>
                <w:rFonts w:ascii="Calibri" w:hAnsi="Calibri"/>
                <w:b/>
                <w:sz w:val="18"/>
              </w:rPr>
              <w:t>Borrowings+</w:t>
            </w:r>
          </w:p>
        </w:tc>
        <w:tc>
          <w:tcPr>
            <w:tcW w:type="dxa" w:w="617"/>
          </w:tcPr>
          <w:p>
            <w:pPr>
              <w:spacing w:before="40" w:after="40"/>
            </w:pPr>
            <w:r>
              <w:rPr>
                <w:rFonts w:ascii="Calibri" w:hAnsi="Calibri"/>
                <w:sz w:val="18"/>
              </w:rPr>
              <w:t>1,355</w:t>
            </w:r>
          </w:p>
        </w:tc>
        <w:tc>
          <w:tcPr>
            <w:tcW w:type="dxa" w:w="617"/>
          </w:tcPr>
          <w:p>
            <w:pPr>
              <w:spacing w:before="40" w:after="40"/>
            </w:pPr>
            <w:r>
              <w:rPr>
                <w:rFonts w:ascii="Calibri" w:hAnsi="Calibri"/>
                <w:sz w:val="18"/>
              </w:rPr>
              <w:t>1,413</w:t>
            </w:r>
          </w:p>
        </w:tc>
        <w:tc>
          <w:tcPr>
            <w:tcW w:type="dxa" w:w="617"/>
          </w:tcPr>
          <w:p>
            <w:pPr>
              <w:spacing w:before="40" w:after="40"/>
            </w:pPr>
            <w:r>
              <w:rPr>
                <w:rFonts w:ascii="Calibri" w:hAnsi="Calibri"/>
                <w:sz w:val="18"/>
              </w:rPr>
              <w:t>1,457</w:t>
            </w:r>
          </w:p>
        </w:tc>
        <w:tc>
          <w:tcPr>
            <w:tcW w:type="dxa" w:w="617"/>
          </w:tcPr>
          <w:p>
            <w:pPr>
              <w:spacing w:before="40" w:after="40"/>
            </w:pPr>
            <w:r>
              <w:rPr>
                <w:rFonts w:ascii="Calibri" w:hAnsi="Calibri"/>
                <w:sz w:val="18"/>
              </w:rPr>
              <w:t>1,242</w:t>
            </w:r>
          </w:p>
        </w:tc>
        <w:tc>
          <w:tcPr>
            <w:tcW w:type="dxa" w:w="617"/>
          </w:tcPr>
          <w:p>
            <w:pPr>
              <w:spacing w:before="40" w:after="40"/>
            </w:pPr>
            <w:r>
              <w:rPr>
                <w:rFonts w:ascii="Calibri" w:hAnsi="Calibri"/>
                <w:sz w:val="18"/>
              </w:rPr>
              <w:t>1,083</w:t>
            </w:r>
          </w:p>
        </w:tc>
        <w:tc>
          <w:tcPr>
            <w:tcW w:type="dxa" w:w="617"/>
          </w:tcPr>
          <w:p>
            <w:pPr>
              <w:spacing w:before="40" w:after="40"/>
            </w:pPr>
            <w:r>
              <w:rPr>
                <w:rFonts w:ascii="Calibri" w:hAnsi="Calibri"/>
                <w:sz w:val="18"/>
              </w:rPr>
              <w:t>1,148</w:t>
            </w:r>
          </w:p>
        </w:tc>
        <w:tc>
          <w:tcPr>
            <w:tcW w:type="dxa" w:w="617"/>
          </w:tcPr>
          <w:p>
            <w:pPr>
              <w:spacing w:before="40" w:after="40"/>
            </w:pPr>
            <w:r>
              <w:rPr>
                <w:rFonts w:ascii="Calibri" w:hAnsi="Calibri"/>
                <w:sz w:val="18"/>
              </w:rPr>
              <w:t>1,031</w:t>
            </w:r>
          </w:p>
        </w:tc>
        <w:tc>
          <w:tcPr>
            <w:tcW w:type="dxa" w:w="617"/>
          </w:tcPr>
          <w:p>
            <w:pPr>
              <w:spacing w:before="40" w:after="40"/>
            </w:pPr>
            <w:r>
              <w:rPr>
                <w:rFonts w:ascii="Calibri" w:hAnsi="Calibri"/>
                <w:sz w:val="18"/>
              </w:rPr>
              <w:t>1,005</w:t>
            </w:r>
          </w:p>
        </w:tc>
        <w:tc>
          <w:tcPr>
            <w:tcW w:type="dxa" w:w="617"/>
          </w:tcPr>
          <w:p>
            <w:pPr>
              <w:spacing w:before="40" w:after="40"/>
            </w:pPr>
            <w:r>
              <w:rPr>
                <w:rFonts w:ascii="Calibri" w:hAnsi="Calibri"/>
                <w:sz w:val="18"/>
              </w:rPr>
              <w:t>953</w:t>
            </w:r>
          </w:p>
        </w:tc>
        <w:tc>
          <w:tcPr>
            <w:tcW w:type="dxa" w:w="617"/>
          </w:tcPr>
          <w:p>
            <w:pPr>
              <w:spacing w:before="40" w:after="40"/>
            </w:pPr>
            <w:r>
              <w:rPr>
                <w:rFonts w:ascii="Calibri" w:hAnsi="Calibri"/>
                <w:sz w:val="18"/>
              </w:rPr>
              <w:t>862</w:t>
            </w:r>
          </w:p>
        </w:tc>
        <w:tc>
          <w:tcPr>
            <w:tcW w:type="dxa" w:w="617"/>
          </w:tcPr>
          <w:p>
            <w:pPr>
              <w:spacing w:before="40" w:after="40"/>
            </w:pPr>
            <w:r>
              <w:rPr>
                <w:rFonts w:ascii="Calibri" w:hAnsi="Calibri"/>
                <w:sz w:val="18"/>
              </w:rPr>
              <w:t>217</w:t>
            </w:r>
          </w:p>
        </w:tc>
        <w:tc>
          <w:tcPr>
            <w:tcW w:type="dxa" w:w="617"/>
          </w:tcPr>
          <w:p>
            <w:pPr>
              <w:spacing w:before="40" w:after="40"/>
            </w:pPr>
            <w:r>
              <w:rPr>
                <w:rFonts w:ascii="Calibri" w:hAnsi="Calibri"/>
                <w:sz w:val="18"/>
              </w:rPr>
              <w:t>41</w:t>
            </w:r>
          </w:p>
        </w:tc>
        <w:tc>
          <w:tcPr>
            <w:tcW w:type="dxa" w:w="617"/>
          </w:tcPr>
          <w:p>
            <w:pPr>
              <w:spacing w:before="40" w:after="40"/>
            </w:pPr>
            <w:r>
              <w:rPr>
                <w:rFonts w:ascii="Calibri" w:hAnsi="Calibri"/>
                <w:sz w:val="18"/>
              </w:rPr>
              <w:t>22</w:t>
            </w:r>
          </w:p>
        </w:tc>
      </w:tr>
      <w:tr>
        <w:tc>
          <w:tcPr>
            <w:tcW w:type="dxa" w:w="617"/>
            <w:shd w:fill="E8F0FE"/>
          </w:tcPr>
          <w:p>
            <w:pPr>
              <w:spacing w:before="40" w:after="40"/>
            </w:pPr>
            <w:r>
              <w:rPr>
                <w:rFonts w:ascii="Calibri" w:hAnsi="Calibri"/>
                <w:b/>
                <w:sz w:val="18"/>
              </w:rPr>
              <w:t>Other Liabilities+</w:t>
            </w:r>
          </w:p>
        </w:tc>
        <w:tc>
          <w:tcPr>
            <w:tcW w:type="dxa" w:w="617"/>
            <w:shd w:fill="E8F0FE"/>
          </w:tcPr>
          <w:p>
            <w:pPr>
              <w:spacing w:before="40" w:after="40"/>
            </w:pPr>
            <w:r>
              <w:rPr>
                <w:rFonts w:ascii="Calibri" w:hAnsi="Calibri"/>
                <w:sz w:val="18"/>
              </w:rPr>
              <w:t>258</w:t>
            </w:r>
          </w:p>
        </w:tc>
        <w:tc>
          <w:tcPr>
            <w:tcW w:type="dxa" w:w="617"/>
            <w:shd w:fill="E8F0FE"/>
          </w:tcPr>
          <w:p>
            <w:pPr>
              <w:spacing w:before="40" w:after="40"/>
            </w:pPr>
            <w:r>
              <w:rPr>
                <w:rFonts w:ascii="Calibri" w:hAnsi="Calibri"/>
                <w:sz w:val="18"/>
              </w:rPr>
              <w:t>236</w:t>
            </w:r>
          </w:p>
        </w:tc>
        <w:tc>
          <w:tcPr>
            <w:tcW w:type="dxa" w:w="617"/>
            <w:shd w:fill="E8F0FE"/>
          </w:tcPr>
          <w:p>
            <w:pPr>
              <w:spacing w:before="40" w:after="40"/>
            </w:pPr>
            <w:r>
              <w:rPr>
                <w:rFonts w:ascii="Calibri" w:hAnsi="Calibri"/>
                <w:sz w:val="18"/>
              </w:rPr>
              <w:t>240</w:t>
            </w:r>
          </w:p>
        </w:tc>
        <w:tc>
          <w:tcPr>
            <w:tcW w:type="dxa" w:w="617"/>
            <w:shd w:fill="E8F0FE"/>
          </w:tcPr>
          <w:p>
            <w:pPr>
              <w:spacing w:before="40" w:after="40"/>
            </w:pPr>
            <w:r>
              <w:rPr>
                <w:rFonts w:ascii="Calibri" w:hAnsi="Calibri"/>
                <w:sz w:val="18"/>
              </w:rPr>
              <w:t>364</w:t>
            </w:r>
          </w:p>
        </w:tc>
        <w:tc>
          <w:tcPr>
            <w:tcW w:type="dxa" w:w="617"/>
            <w:shd w:fill="E8F0FE"/>
          </w:tcPr>
          <w:p>
            <w:pPr>
              <w:spacing w:before="40" w:after="40"/>
            </w:pPr>
            <w:r>
              <w:rPr>
                <w:rFonts w:ascii="Calibri" w:hAnsi="Calibri"/>
                <w:sz w:val="18"/>
              </w:rPr>
              <w:t>387</w:t>
            </w:r>
          </w:p>
        </w:tc>
        <w:tc>
          <w:tcPr>
            <w:tcW w:type="dxa" w:w="617"/>
            <w:shd w:fill="E8F0FE"/>
          </w:tcPr>
          <w:p>
            <w:pPr>
              <w:spacing w:before="40" w:after="40"/>
            </w:pPr>
            <w:r>
              <w:rPr>
                <w:rFonts w:ascii="Calibri" w:hAnsi="Calibri"/>
                <w:sz w:val="18"/>
              </w:rPr>
              <w:t>188</w:t>
            </w:r>
          </w:p>
        </w:tc>
        <w:tc>
          <w:tcPr>
            <w:tcW w:type="dxa" w:w="617"/>
            <w:shd w:fill="E8F0FE"/>
          </w:tcPr>
          <w:p>
            <w:pPr>
              <w:spacing w:before="40" w:after="40"/>
            </w:pPr>
            <w:r>
              <w:rPr>
                <w:rFonts w:ascii="Calibri" w:hAnsi="Calibri"/>
                <w:sz w:val="18"/>
              </w:rPr>
              <w:t>198</w:t>
            </w:r>
          </w:p>
        </w:tc>
        <w:tc>
          <w:tcPr>
            <w:tcW w:type="dxa" w:w="617"/>
            <w:shd w:fill="E8F0FE"/>
          </w:tcPr>
          <w:p>
            <w:pPr>
              <w:spacing w:before="40" w:after="40"/>
            </w:pPr>
            <w:r>
              <w:rPr>
                <w:rFonts w:ascii="Calibri" w:hAnsi="Calibri"/>
                <w:sz w:val="18"/>
              </w:rPr>
              <w:t>210</w:t>
            </w:r>
          </w:p>
        </w:tc>
        <w:tc>
          <w:tcPr>
            <w:tcW w:type="dxa" w:w="617"/>
            <w:shd w:fill="E8F0FE"/>
          </w:tcPr>
          <w:p>
            <w:pPr>
              <w:spacing w:before="40" w:after="40"/>
            </w:pPr>
            <w:r>
              <w:rPr>
                <w:rFonts w:ascii="Calibri" w:hAnsi="Calibri"/>
                <w:sz w:val="18"/>
              </w:rPr>
              <w:t>247</w:t>
            </w:r>
          </w:p>
        </w:tc>
        <w:tc>
          <w:tcPr>
            <w:tcW w:type="dxa" w:w="617"/>
            <w:shd w:fill="E8F0FE"/>
          </w:tcPr>
          <w:p>
            <w:pPr>
              <w:spacing w:before="40" w:after="40"/>
            </w:pPr>
            <w:r>
              <w:rPr>
                <w:rFonts w:ascii="Calibri" w:hAnsi="Calibri"/>
                <w:sz w:val="18"/>
              </w:rPr>
              <w:t>280</w:t>
            </w:r>
          </w:p>
        </w:tc>
        <w:tc>
          <w:tcPr>
            <w:tcW w:type="dxa" w:w="617"/>
            <w:shd w:fill="E8F0FE"/>
          </w:tcPr>
          <w:p>
            <w:pPr>
              <w:spacing w:before="40" w:after="40"/>
            </w:pPr>
            <w:r>
              <w:rPr>
                <w:rFonts w:ascii="Calibri" w:hAnsi="Calibri"/>
                <w:sz w:val="18"/>
              </w:rPr>
              <w:t>432</w:t>
            </w:r>
          </w:p>
        </w:tc>
        <w:tc>
          <w:tcPr>
            <w:tcW w:type="dxa" w:w="617"/>
            <w:shd w:fill="E8F0FE"/>
          </w:tcPr>
          <w:p>
            <w:pPr>
              <w:spacing w:before="40" w:after="40"/>
            </w:pPr>
            <w:r>
              <w:rPr>
                <w:rFonts w:ascii="Calibri" w:hAnsi="Calibri"/>
                <w:sz w:val="18"/>
              </w:rPr>
              <w:t>224</w:t>
            </w:r>
          </w:p>
        </w:tc>
        <w:tc>
          <w:tcPr>
            <w:tcW w:type="dxa" w:w="617"/>
            <w:shd w:fill="E8F0FE"/>
          </w:tcPr>
          <w:p>
            <w:pPr>
              <w:spacing w:before="40" w:after="40"/>
            </w:pPr>
            <w:r>
              <w:rPr>
                <w:rFonts w:ascii="Calibri" w:hAnsi="Calibri"/>
                <w:sz w:val="18"/>
              </w:rPr>
              <w:t>215</w:t>
            </w:r>
          </w:p>
        </w:tc>
      </w:tr>
      <w:tr>
        <w:tc>
          <w:tcPr>
            <w:tcW w:type="dxa" w:w="617"/>
          </w:tcPr>
          <w:p>
            <w:pPr>
              <w:spacing w:before="40" w:after="40"/>
            </w:pPr>
            <w:r>
              <w:rPr>
                <w:rFonts w:ascii="Calibri" w:hAnsi="Calibri"/>
                <w:b/>
                <w:sz w:val="18"/>
              </w:rPr>
              <w:t>Total Liabilities</w:t>
            </w:r>
          </w:p>
        </w:tc>
        <w:tc>
          <w:tcPr>
            <w:tcW w:type="dxa" w:w="617"/>
          </w:tcPr>
          <w:p>
            <w:pPr>
              <w:spacing w:before="40" w:after="40"/>
            </w:pPr>
            <w:r>
              <w:rPr>
                <w:rFonts w:ascii="Calibri" w:hAnsi="Calibri"/>
                <w:sz w:val="18"/>
              </w:rPr>
              <w:t>2,339</w:t>
            </w:r>
          </w:p>
        </w:tc>
        <w:tc>
          <w:tcPr>
            <w:tcW w:type="dxa" w:w="617"/>
          </w:tcPr>
          <w:p>
            <w:pPr>
              <w:spacing w:before="40" w:after="40"/>
            </w:pPr>
            <w:r>
              <w:rPr>
                <w:rFonts w:ascii="Calibri" w:hAnsi="Calibri"/>
                <w:sz w:val="18"/>
              </w:rPr>
              <w:t>2,244</w:t>
            </w:r>
          </w:p>
        </w:tc>
        <w:tc>
          <w:tcPr>
            <w:tcW w:type="dxa" w:w="617"/>
          </w:tcPr>
          <w:p>
            <w:pPr>
              <w:spacing w:before="40" w:after="40"/>
            </w:pPr>
            <w:r>
              <w:rPr>
                <w:rFonts w:ascii="Calibri" w:hAnsi="Calibri"/>
                <w:sz w:val="18"/>
              </w:rPr>
              <w:t>2,215</w:t>
            </w:r>
          </w:p>
        </w:tc>
        <w:tc>
          <w:tcPr>
            <w:tcW w:type="dxa" w:w="617"/>
          </w:tcPr>
          <w:p>
            <w:pPr>
              <w:spacing w:before="40" w:after="40"/>
            </w:pPr>
            <w:r>
              <w:rPr>
                <w:rFonts w:ascii="Calibri" w:hAnsi="Calibri"/>
                <w:sz w:val="18"/>
              </w:rPr>
              <w:t>2,138</w:t>
            </w:r>
          </w:p>
        </w:tc>
        <w:tc>
          <w:tcPr>
            <w:tcW w:type="dxa" w:w="617"/>
          </w:tcPr>
          <w:p>
            <w:pPr>
              <w:spacing w:before="40" w:after="40"/>
            </w:pPr>
            <w:r>
              <w:rPr>
                <w:rFonts w:ascii="Calibri" w:hAnsi="Calibri"/>
                <w:sz w:val="18"/>
              </w:rPr>
              <w:t>2,023</w:t>
            </w:r>
          </w:p>
        </w:tc>
        <w:tc>
          <w:tcPr>
            <w:tcW w:type="dxa" w:w="617"/>
          </w:tcPr>
          <w:p>
            <w:pPr>
              <w:spacing w:before="40" w:after="40"/>
            </w:pPr>
            <w:r>
              <w:rPr>
                <w:rFonts w:ascii="Calibri" w:hAnsi="Calibri"/>
                <w:sz w:val="18"/>
              </w:rPr>
              <w:t>1,924</w:t>
            </w:r>
          </w:p>
        </w:tc>
        <w:tc>
          <w:tcPr>
            <w:tcW w:type="dxa" w:w="617"/>
          </w:tcPr>
          <w:p>
            <w:pPr>
              <w:spacing w:before="40" w:after="40"/>
            </w:pPr>
            <w:r>
              <w:rPr>
                <w:rFonts w:ascii="Calibri" w:hAnsi="Calibri"/>
                <w:sz w:val="18"/>
              </w:rPr>
              <w:t>1,870</w:t>
            </w:r>
          </w:p>
        </w:tc>
        <w:tc>
          <w:tcPr>
            <w:tcW w:type="dxa" w:w="617"/>
          </w:tcPr>
          <w:p>
            <w:pPr>
              <w:spacing w:before="40" w:after="40"/>
            </w:pPr>
            <w:r>
              <w:rPr>
                <w:rFonts w:ascii="Calibri" w:hAnsi="Calibri"/>
                <w:sz w:val="18"/>
              </w:rPr>
              <w:t>1,818</w:t>
            </w:r>
          </w:p>
        </w:tc>
        <w:tc>
          <w:tcPr>
            <w:tcW w:type="dxa" w:w="617"/>
          </w:tcPr>
          <w:p>
            <w:pPr>
              <w:spacing w:before="40" w:after="40"/>
            </w:pPr>
            <w:r>
              <w:rPr>
                <w:rFonts w:ascii="Calibri" w:hAnsi="Calibri"/>
                <w:sz w:val="18"/>
              </w:rPr>
              <w:t>1,801</w:t>
            </w:r>
          </w:p>
        </w:tc>
        <w:tc>
          <w:tcPr>
            <w:tcW w:type="dxa" w:w="617"/>
          </w:tcPr>
          <w:p>
            <w:pPr>
              <w:spacing w:before="40" w:after="40"/>
            </w:pPr>
            <w:r>
              <w:rPr>
                <w:rFonts w:ascii="Calibri" w:hAnsi="Calibri"/>
                <w:sz w:val="18"/>
              </w:rPr>
              <w:t>1,824</w:t>
            </w:r>
          </w:p>
        </w:tc>
        <w:tc>
          <w:tcPr>
            <w:tcW w:type="dxa" w:w="617"/>
          </w:tcPr>
          <w:p>
            <w:pPr>
              <w:spacing w:before="40" w:after="40"/>
            </w:pPr>
            <w:r>
              <w:rPr>
                <w:rFonts w:ascii="Calibri" w:hAnsi="Calibri"/>
                <w:sz w:val="18"/>
              </w:rPr>
              <w:t>1,460</w:t>
            </w:r>
          </w:p>
        </w:tc>
        <w:tc>
          <w:tcPr>
            <w:tcW w:type="dxa" w:w="617"/>
          </w:tcPr>
          <w:p>
            <w:pPr>
              <w:spacing w:before="40" w:after="40"/>
            </w:pPr>
            <w:r>
              <w:rPr>
                <w:rFonts w:ascii="Calibri" w:hAnsi="Calibri"/>
                <w:sz w:val="18"/>
              </w:rPr>
              <w:t>1,438</w:t>
            </w:r>
          </w:p>
        </w:tc>
        <w:tc>
          <w:tcPr>
            <w:tcW w:type="dxa" w:w="617"/>
          </w:tcPr>
          <w:p>
            <w:pPr>
              <w:spacing w:before="40" w:after="40"/>
            </w:pPr>
            <w:r>
              <w:rPr>
                <w:rFonts w:ascii="Calibri" w:hAnsi="Calibri"/>
                <w:sz w:val="18"/>
              </w:rPr>
              <w:t>1,544</w:t>
            </w:r>
          </w:p>
        </w:tc>
      </w:tr>
      <w:tr>
        <w:tc>
          <w:tcPr>
            <w:tcW w:type="dxa" w:w="617"/>
            <w:shd w:fill="E8F0FE"/>
          </w:tcPr>
          <w:p>
            <w:pPr>
              <w:spacing w:before="40" w:after="40"/>
            </w:pPr>
            <w:r>
              <w:rPr>
                <w:rFonts w:ascii="Calibri" w:hAnsi="Calibri"/>
                <w:b/>
                <w:sz w:val="18"/>
              </w:rPr>
              <w:t>Fixed Assets+</w:t>
            </w:r>
          </w:p>
        </w:tc>
        <w:tc>
          <w:tcPr>
            <w:tcW w:type="dxa" w:w="617"/>
            <w:shd w:fill="E8F0FE"/>
          </w:tcPr>
          <w:p>
            <w:pPr>
              <w:spacing w:before="40" w:after="40"/>
            </w:pPr>
            <w:r>
              <w:rPr>
                <w:rFonts w:ascii="Calibri" w:hAnsi="Calibri"/>
                <w:sz w:val="18"/>
              </w:rPr>
              <w:t>1,174</w:t>
            </w:r>
          </w:p>
        </w:tc>
        <w:tc>
          <w:tcPr>
            <w:tcW w:type="dxa" w:w="617"/>
            <w:shd w:fill="E8F0FE"/>
          </w:tcPr>
          <w:p>
            <w:pPr>
              <w:spacing w:before="40" w:after="40"/>
            </w:pPr>
            <w:r>
              <w:rPr>
                <w:rFonts w:ascii="Calibri" w:hAnsi="Calibri"/>
                <w:sz w:val="18"/>
              </w:rPr>
              <w:t>1,117</w:t>
            </w:r>
          </w:p>
        </w:tc>
        <w:tc>
          <w:tcPr>
            <w:tcW w:type="dxa" w:w="617"/>
            <w:shd w:fill="E8F0FE"/>
          </w:tcPr>
          <w:p>
            <w:pPr>
              <w:spacing w:before="40" w:after="40"/>
            </w:pPr>
            <w:r>
              <w:rPr>
                <w:rFonts w:ascii="Calibri" w:hAnsi="Calibri"/>
                <w:sz w:val="18"/>
              </w:rPr>
              <w:t>1,099</w:t>
            </w:r>
          </w:p>
        </w:tc>
        <w:tc>
          <w:tcPr>
            <w:tcW w:type="dxa" w:w="617"/>
            <w:shd w:fill="E8F0FE"/>
          </w:tcPr>
          <w:p>
            <w:pPr>
              <w:spacing w:before="40" w:after="40"/>
            </w:pPr>
            <w:r>
              <w:rPr>
                <w:rFonts w:ascii="Calibri" w:hAnsi="Calibri"/>
                <w:sz w:val="18"/>
              </w:rPr>
              <w:t>1,042</w:t>
            </w:r>
          </w:p>
        </w:tc>
        <w:tc>
          <w:tcPr>
            <w:tcW w:type="dxa" w:w="617"/>
            <w:shd w:fill="E8F0FE"/>
          </w:tcPr>
          <w:p>
            <w:pPr>
              <w:spacing w:before="40" w:after="40"/>
            </w:pPr>
            <w:r>
              <w:rPr>
                <w:rFonts w:ascii="Calibri" w:hAnsi="Calibri"/>
                <w:sz w:val="18"/>
              </w:rPr>
              <w:t>934</w:t>
            </w:r>
          </w:p>
        </w:tc>
        <w:tc>
          <w:tcPr>
            <w:tcW w:type="dxa" w:w="617"/>
            <w:shd w:fill="E8F0FE"/>
          </w:tcPr>
          <w:p>
            <w:pPr>
              <w:spacing w:before="40" w:after="40"/>
            </w:pPr>
            <w:r>
              <w:rPr>
                <w:rFonts w:ascii="Calibri" w:hAnsi="Calibri"/>
                <w:sz w:val="18"/>
              </w:rPr>
              <w:t>914</w:t>
            </w:r>
          </w:p>
        </w:tc>
        <w:tc>
          <w:tcPr>
            <w:tcW w:type="dxa" w:w="617"/>
            <w:shd w:fill="E8F0FE"/>
          </w:tcPr>
          <w:p>
            <w:pPr>
              <w:spacing w:before="40" w:after="40"/>
            </w:pPr>
            <w:r>
              <w:rPr>
                <w:rFonts w:ascii="Calibri" w:hAnsi="Calibri"/>
                <w:sz w:val="18"/>
              </w:rPr>
              <w:t>843</w:t>
            </w:r>
          </w:p>
        </w:tc>
        <w:tc>
          <w:tcPr>
            <w:tcW w:type="dxa" w:w="617"/>
            <w:shd w:fill="E8F0FE"/>
          </w:tcPr>
          <w:p>
            <w:pPr>
              <w:spacing w:before="40" w:after="40"/>
            </w:pPr>
            <w:r>
              <w:rPr>
                <w:rFonts w:ascii="Calibri" w:hAnsi="Calibri"/>
                <w:sz w:val="18"/>
              </w:rPr>
              <w:t>753</w:t>
            </w:r>
          </w:p>
        </w:tc>
        <w:tc>
          <w:tcPr>
            <w:tcW w:type="dxa" w:w="617"/>
            <w:shd w:fill="E8F0FE"/>
          </w:tcPr>
          <w:p>
            <w:pPr>
              <w:spacing w:before="40" w:after="40"/>
            </w:pPr>
            <w:r>
              <w:rPr>
                <w:rFonts w:ascii="Calibri" w:hAnsi="Calibri"/>
                <w:sz w:val="18"/>
              </w:rPr>
              <w:t>630</w:t>
            </w:r>
          </w:p>
        </w:tc>
        <w:tc>
          <w:tcPr>
            <w:tcW w:type="dxa" w:w="617"/>
            <w:shd w:fill="E8F0FE"/>
          </w:tcPr>
          <w:p>
            <w:pPr>
              <w:spacing w:before="40" w:after="40"/>
            </w:pPr>
            <w:r>
              <w:rPr>
                <w:rFonts w:ascii="Calibri" w:hAnsi="Calibri"/>
                <w:sz w:val="18"/>
              </w:rPr>
              <w:t>587</w:t>
            </w:r>
          </w:p>
        </w:tc>
        <w:tc>
          <w:tcPr>
            <w:tcW w:type="dxa" w:w="617"/>
            <w:shd w:fill="E8F0FE"/>
          </w:tcPr>
          <w:p>
            <w:pPr>
              <w:spacing w:before="40" w:after="40"/>
            </w:pPr>
            <w:r>
              <w:rPr>
                <w:rFonts w:ascii="Calibri" w:hAnsi="Calibri"/>
                <w:sz w:val="18"/>
              </w:rPr>
              <w:t>192</w:t>
            </w:r>
          </w:p>
        </w:tc>
        <w:tc>
          <w:tcPr>
            <w:tcW w:type="dxa" w:w="617"/>
            <w:shd w:fill="E8F0FE"/>
          </w:tcPr>
          <w:p>
            <w:pPr>
              <w:spacing w:before="40" w:after="40"/>
            </w:pPr>
            <w:r>
              <w:rPr>
                <w:rFonts w:ascii="Calibri" w:hAnsi="Calibri"/>
                <w:sz w:val="18"/>
              </w:rPr>
              <w:t>273</w:t>
            </w:r>
          </w:p>
        </w:tc>
        <w:tc>
          <w:tcPr>
            <w:tcW w:type="dxa" w:w="617"/>
            <w:shd w:fill="E8F0FE"/>
          </w:tcPr>
          <w:p>
            <w:pPr>
              <w:spacing w:before="40" w:after="40"/>
            </w:pPr>
            <w:r>
              <w:rPr>
                <w:rFonts w:ascii="Calibri" w:hAnsi="Calibri"/>
                <w:sz w:val="18"/>
              </w:rPr>
              <w:t>285</w:t>
            </w:r>
          </w:p>
        </w:tc>
      </w:tr>
      <w:tr>
        <w:tc>
          <w:tcPr>
            <w:tcW w:type="dxa" w:w="617"/>
          </w:tcPr>
          <w:p>
            <w:pPr>
              <w:spacing w:before="40" w:after="40"/>
            </w:pPr>
            <w:r>
              <w:rPr>
                <w:rFonts w:ascii="Calibri" w:hAnsi="Calibri"/>
                <w:b/>
                <w:sz w:val="18"/>
              </w:rPr>
              <w:t>CWIP</w:t>
            </w:r>
          </w:p>
        </w:tc>
        <w:tc>
          <w:tcPr>
            <w:tcW w:type="dxa" w:w="617"/>
          </w:tcPr>
          <w:p>
            <w:pPr>
              <w:spacing w:before="40" w:after="40"/>
            </w:pPr>
            <w:r>
              <w:rPr>
                <w:rFonts w:ascii="Calibri" w:hAnsi="Calibri"/>
                <w:sz w:val="18"/>
              </w:rPr>
              <w:t>78</w:t>
            </w:r>
          </w:p>
        </w:tc>
        <w:tc>
          <w:tcPr>
            <w:tcW w:type="dxa" w:w="617"/>
          </w:tcPr>
          <w:p>
            <w:pPr>
              <w:spacing w:before="40" w:after="40"/>
            </w:pPr>
            <w:r>
              <w:rPr>
                <w:rFonts w:ascii="Calibri" w:hAnsi="Calibri"/>
                <w:sz w:val="18"/>
              </w:rPr>
              <w:t>113</w:t>
            </w:r>
          </w:p>
        </w:tc>
        <w:tc>
          <w:tcPr>
            <w:tcW w:type="dxa" w:w="617"/>
          </w:tcPr>
          <w:p>
            <w:pPr>
              <w:spacing w:before="40" w:after="40"/>
            </w:pPr>
            <w:r>
              <w:rPr>
                <w:rFonts w:ascii="Calibri" w:hAnsi="Calibri"/>
                <w:sz w:val="18"/>
              </w:rPr>
              <w:t>78</w:t>
            </w:r>
          </w:p>
        </w:tc>
        <w:tc>
          <w:tcPr>
            <w:tcW w:type="dxa" w:w="617"/>
          </w:tcPr>
          <w:p>
            <w:pPr>
              <w:spacing w:before="40" w:after="40"/>
            </w:pPr>
            <w:r>
              <w:rPr>
                <w:rFonts w:ascii="Calibri" w:hAnsi="Calibri"/>
                <w:sz w:val="18"/>
              </w:rPr>
              <w:t>70</w:t>
            </w:r>
          </w:p>
        </w:tc>
        <w:tc>
          <w:tcPr>
            <w:tcW w:type="dxa" w:w="617"/>
          </w:tcPr>
          <w:p>
            <w:pPr>
              <w:spacing w:before="40" w:after="40"/>
            </w:pPr>
            <w:r>
              <w:rPr>
                <w:rFonts w:ascii="Calibri" w:hAnsi="Calibri"/>
                <w:sz w:val="18"/>
              </w:rPr>
              <w:t>69</w:t>
            </w:r>
          </w:p>
        </w:tc>
        <w:tc>
          <w:tcPr>
            <w:tcW w:type="dxa" w:w="617"/>
          </w:tcPr>
          <w:p>
            <w:pPr>
              <w:spacing w:before="40" w:after="40"/>
            </w:pPr>
            <w:r>
              <w:rPr>
                <w:rFonts w:ascii="Calibri" w:hAnsi="Calibri"/>
                <w:sz w:val="18"/>
              </w:rPr>
              <w:t>20</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19</w:t>
            </w:r>
          </w:p>
        </w:tc>
        <w:tc>
          <w:tcPr>
            <w:tcW w:type="dxa" w:w="617"/>
          </w:tcPr>
          <w:p>
            <w:pPr>
              <w:spacing w:before="40" w:after="40"/>
            </w:pPr>
            <w:r>
              <w:rPr>
                <w:rFonts w:ascii="Calibri" w:hAnsi="Calibri"/>
                <w:sz w:val="18"/>
              </w:rPr>
              <w:t>10</w:t>
            </w:r>
          </w:p>
        </w:tc>
        <w:tc>
          <w:tcPr>
            <w:tcW w:type="dxa" w:w="617"/>
          </w:tcPr>
          <w:p>
            <w:pPr>
              <w:spacing w:before="40" w:after="40"/>
            </w:pPr>
            <w:r>
              <w:rPr>
                <w:rFonts w:ascii="Calibri" w:hAnsi="Calibri"/>
                <w:sz w:val="18"/>
              </w:rPr>
              <w:t>8</w:t>
            </w:r>
          </w:p>
        </w:tc>
        <w:tc>
          <w:tcPr>
            <w:tcW w:type="dxa" w:w="617"/>
          </w:tcPr>
          <w:p>
            <w:pPr>
              <w:spacing w:before="40" w:after="40"/>
            </w:pPr>
            <w:r>
              <w:rPr>
                <w:rFonts w:ascii="Calibri" w:hAnsi="Calibri"/>
                <w:sz w:val="18"/>
              </w:rPr>
              <w:t>51</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r>
      <w:tr>
        <w:tc>
          <w:tcPr>
            <w:tcW w:type="dxa" w:w="617"/>
            <w:shd w:fill="E8F0FE"/>
          </w:tcPr>
          <w:p>
            <w:pPr>
              <w:spacing w:before="40" w:after="40"/>
            </w:pPr>
            <w:r>
              <w:rPr>
                <w:rFonts w:ascii="Calibri" w:hAnsi="Calibri"/>
                <w:b/>
                <w:sz w:val="18"/>
              </w:rPr>
              <w:t>Investments</w:t>
            </w:r>
          </w:p>
        </w:tc>
        <w:tc>
          <w:tcPr>
            <w:tcW w:type="dxa" w:w="617"/>
            <w:shd w:fill="E8F0FE"/>
          </w:tcPr>
          <w:p>
            <w:pPr>
              <w:spacing w:before="40" w:after="40"/>
            </w:pPr>
            <w:r>
              <w:rPr>
                <w:rFonts w:ascii="Calibri" w:hAnsi="Calibri"/>
                <w:sz w:val="18"/>
              </w:rPr>
              <w:t>17</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19</w:t>
            </w:r>
          </w:p>
        </w:tc>
        <w:tc>
          <w:tcPr>
            <w:tcW w:type="dxa" w:w="617"/>
            <w:shd w:fill="E8F0FE"/>
          </w:tcPr>
          <w:p>
            <w:pPr>
              <w:spacing w:before="40" w:after="40"/>
            </w:pPr>
            <w:r>
              <w:rPr>
                <w:rFonts w:ascii="Calibri" w:hAnsi="Calibri"/>
                <w:sz w:val="18"/>
              </w:rPr>
              <w:t>17</w:t>
            </w:r>
          </w:p>
        </w:tc>
        <w:tc>
          <w:tcPr>
            <w:tcW w:type="dxa" w:w="617"/>
            <w:shd w:fill="E8F0FE"/>
          </w:tcPr>
          <w:p>
            <w:pPr>
              <w:spacing w:before="40" w:after="40"/>
            </w:pPr>
            <w:r>
              <w:rPr>
                <w:rFonts w:ascii="Calibri" w:hAnsi="Calibri"/>
                <w:sz w:val="18"/>
              </w:rPr>
              <w:t>36</w:t>
            </w:r>
          </w:p>
        </w:tc>
        <w:tc>
          <w:tcPr>
            <w:tcW w:type="dxa" w:w="617"/>
            <w:shd w:fill="E8F0FE"/>
          </w:tcPr>
          <w:p>
            <w:pPr>
              <w:spacing w:before="40" w:after="40"/>
            </w:pPr>
            <w:r>
              <w:rPr>
                <w:rFonts w:ascii="Calibri" w:hAnsi="Calibri"/>
                <w:sz w:val="18"/>
              </w:rPr>
              <w:t>29</w:t>
            </w:r>
          </w:p>
        </w:tc>
        <w:tc>
          <w:tcPr>
            <w:tcW w:type="dxa" w:w="617"/>
            <w:shd w:fill="E8F0FE"/>
          </w:tcPr>
          <w:p>
            <w:pPr>
              <w:spacing w:before="40" w:after="40"/>
            </w:pPr>
            <w:r>
              <w:rPr>
                <w:rFonts w:ascii="Calibri" w:hAnsi="Calibri"/>
                <w:sz w:val="18"/>
              </w:rPr>
              <w:t>30</w:t>
            </w:r>
          </w:p>
        </w:tc>
        <w:tc>
          <w:tcPr>
            <w:tcW w:type="dxa" w:w="617"/>
            <w:shd w:fill="E8F0FE"/>
          </w:tcPr>
          <w:p>
            <w:pPr>
              <w:spacing w:before="40" w:after="40"/>
            </w:pPr>
            <w:r>
              <w:rPr>
                <w:rFonts w:ascii="Calibri" w:hAnsi="Calibri"/>
                <w:sz w:val="18"/>
              </w:rPr>
              <w:t>112</w:t>
            </w:r>
          </w:p>
        </w:tc>
        <w:tc>
          <w:tcPr>
            <w:tcW w:type="dxa" w:w="617"/>
            <w:shd w:fill="E8F0FE"/>
          </w:tcPr>
          <w:p>
            <w:pPr>
              <w:spacing w:before="40" w:after="40"/>
            </w:pPr>
            <w:r>
              <w:rPr>
                <w:rFonts w:ascii="Calibri" w:hAnsi="Calibri"/>
                <w:sz w:val="18"/>
              </w:rPr>
              <w:t>213</w:t>
            </w:r>
          </w:p>
        </w:tc>
        <w:tc>
          <w:tcPr>
            <w:tcW w:type="dxa" w:w="617"/>
            <w:shd w:fill="E8F0FE"/>
          </w:tcPr>
          <w:p>
            <w:pPr>
              <w:spacing w:before="40" w:after="40"/>
            </w:pPr>
            <w:r>
              <w:rPr>
                <w:rFonts w:ascii="Calibri" w:hAnsi="Calibri"/>
                <w:sz w:val="18"/>
              </w:rPr>
              <w:t>312</w:t>
            </w:r>
          </w:p>
        </w:tc>
      </w:tr>
      <w:tr>
        <w:tc>
          <w:tcPr>
            <w:tcW w:type="dxa" w:w="617"/>
          </w:tcPr>
          <w:p>
            <w:pPr>
              <w:spacing w:before="40" w:after="40"/>
            </w:pPr>
            <w:r>
              <w:rPr>
                <w:rFonts w:ascii="Calibri" w:hAnsi="Calibri"/>
                <w:b/>
                <w:sz w:val="18"/>
              </w:rPr>
              <w:t>Other Assets+</w:t>
            </w:r>
          </w:p>
        </w:tc>
        <w:tc>
          <w:tcPr>
            <w:tcW w:type="dxa" w:w="617"/>
          </w:tcPr>
          <w:p>
            <w:pPr>
              <w:spacing w:before="40" w:after="40"/>
            </w:pPr>
            <w:r>
              <w:rPr>
                <w:rFonts w:ascii="Calibri" w:hAnsi="Calibri"/>
                <w:sz w:val="18"/>
              </w:rPr>
              <w:t>1,070</w:t>
            </w:r>
          </w:p>
        </w:tc>
        <w:tc>
          <w:tcPr>
            <w:tcW w:type="dxa" w:w="617"/>
          </w:tcPr>
          <w:p>
            <w:pPr>
              <w:spacing w:before="40" w:after="40"/>
            </w:pPr>
            <w:r>
              <w:rPr>
                <w:rFonts w:ascii="Calibri" w:hAnsi="Calibri"/>
                <w:sz w:val="18"/>
              </w:rPr>
              <w:t>997</w:t>
            </w:r>
          </w:p>
        </w:tc>
        <w:tc>
          <w:tcPr>
            <w:tcW w:type="dxa" w:w="617"/>
          </w:tcPr>
          <w:p>
            <w:pPr>
              <w:spacing w:before="40" w:after="40"/>
            </w:pPr>
            <w:r>
              <w:rPr>
                <w:rFonts w:ascii="Calibri" w:hAnsi="Calibri"/>
                <w:sz w:val="18"/>
              </w:rPr>
              <w:t>1,020</w:t>
            </w:r>
          </w:p>
        </w:tc>
        <w:tc>
          <w:tcPr>
            <w:tcW w:type="dxa" w:w="617"/>
          </w:tcPr>
          <w:p>
            <w:pPr>
              <w:spacing w:before="40" w:after="40"/>
            </w:pPr>
            <w:r>
              <w:rPr>
                <w:rFonts w:ascii="Calibri" w:hAnsi="Calibri"/>
                <w:sz w:val="18"/>
              </w:rPr>
              <w:t>1,007</w:t>
            </w:r>
          </w:p>
        </w:tc>
        <w:tc>
          <w:tcPr>
            <w:tcW w:type="dxa" w:w="617"/>
          </w:tcPr>
          <w:p>
            <w:pPr>
              <w:spacing w:before="40" w:after="40"/>
            </w:pPr>
            <w:r>
              <w:rPr>
                <w:rFonts w:ascii="Calibri" w:hAnsi="Calibri"/>
                <w:sz w:val="18"/>
              </w:rPr>
              <w:t>1,002</w:t>
            </w:r>
          </w:p>
        </w:tc>
        <w:tc>
          <w:tcPr>
            <w:tcW w:type="dxa" w:w="617"/>
          </w:tcPr>
          <w:p>
            <w:pPr>
              <w:spacing w:before="40" w:after="40"/>
            </w:pPr>
            <w:r>
              <w:rPr>
                <w:rFonts w:ascii="Calibri" w:hAnsi="Calibri"/>
                <w:sz w:val="18"/>
              </w:rPr>
              <w:t>972</w:t>
            </w:r>
          </w:p>
        </w:tc>
        <w:tc>
          <w:tcPr>
            <w:tcW w:type="dxa" w:w="617"/>
          </w:tcPr>
          <w:p>
            <w:pPr>
              <w:spacing w:before="40" w:after="40"/>
            </w:pPr>
            <w:r>
              <w:rPr>
                <w:rFonts w:ascii="Calibri" w:hAnsi="Calibri"/>
                <w:sz w:val="18"/>
              </w:rPr>
              <w:t>998</w:t>
            </w:r>
          </w:p>
        </w:tc>
        <w:tc>
          <w:tcPr>
            <w:tcW w:type="dxa" w:w="617"/>
          </w:tcPr>
          <w:p>
            <w:pPr>
              <w:spacing w:before="40" w:after="40"/>
            </w:pPr>
            <w:r>
              <w:rPr>
                <w:rFonts w:ascii="Calibri" w:hAnsi="Calibri"/>
                <w:sz w:val="18"/>
              </w:rPr>
              <w:t>1,011</w:t>
            </w:r>
          </w:p>
        </w:tc>
        <w:tc>
          <w:tcPr>
            <w:tcW w:type="dxa" w:w="617"/>
          </w:tcPr>
          <w:p>
            <w:pPr>
              <w:spacing w:before="40" w:after="40"/>
            </w:pPr>
            <w:r>
              <w:rPr>
                <w:rFonts w:ascii="Calibri" w:hAnsi="Calibri"/>
                <w:sz w:val="18"/>
              </w:rPr>
              <w:t>1,131</w:t>
            </w:r>
          </w:p>
        </w:tc>
        <w:tc>
          <w:tcPr>
            <w:tcW w:type="dxa" w:w="617"/>
          </w:tcPr>
          <w:p>
            <w:pPr>
              <w:spacing w:before="40" w:after="40"/>
            </w:pPr>
            <w:r>
              <w:rPr>
                <w:rFonts w:ascii="Calibri" w:hAnsi="Calibri"/>
                <w:sz w:val="18"/>
              </w:rPr>
              <w:t>1,199</w:t>
            </w:r>
          </w:p>
        </w:tc>
        <w:tc>
          <w:tcPr>
            <w:tcW w:type="dxa" w:w="617"/>
          </w:tcPr>
          <w:p>
            <w:pPr>
              <w:spacing w:before="40" w:after="40"/>
            </w:pPr>
            <w:r>
              <w:rPr>
                <w:rFonts w:ascii="Calibri" w:hAnsi="Calibri"/>
                <w:sz w:val="18"/>
              </w:rPr>
              <w:t>1,106</w:t>
            </w:r>
          </w:p>
        </w:tc>
        <w:tc>
          <w:tcPr>
            <w:tcW w:type="dxa" w:w="617"/>
          </w:tcPr>
          <w:p>
            <w:pPr>
              <w:spacing w:before="40" w:after="40"/>
            </w:pPr>
            <w:r>
              <w:rPr>
                <w:rFonts w:ascii="Calibri" w:hAnsi="Calibri"/>
                <w:sz w:val="18"/>
              </w:rPr>
              <w:t>952</w:t>
            </w:r>
          </w:p>
        </w:tc>
        <w:tc>
          <w:tcPr>
            <w:tcW w:type="dxa" w:w="617"/>
          </w:tcPr>
          <w:p>
            <w:pPr>
              <w:spacing w:before="40" w:after="40"/>
            </w:pPr>
            <w:r>
              <w:rPr>
                <w:rFonts w:ascii="Calibri" w:hAnsi="Calibri"/>
                <w:sz w:val="18"/>
              </w:rPr>
              <w:t>947</w:t>
            </w:r>
          </w:p>
        </w:tc>
      </w:tr>
      <w:tr>
        <w:tc>
          <w:tcPr>
            <w:tcW w:type="dxa" w:w="617"/>
            <w:shd w:fill="E8F0FE"/>
          </w:tcPr>
          <w:p>
            <w:pPr>
              <w:spacing w:before="40" w:after="40"/>
            </w:pPr>
            <w:r>
              <w:rPr>
                <w:rFonts w:ascii="Calibri" w:hAnsi="Calibri"/>
                <w:b/>
                <w:sz w:val="18"/>
              </w:rPr>
              <w:t>Total Assets</w:t>
            </w:r>
          </w:p>
        </w:tc>
        <w:tc>
          <w:tcPr>
            <w:tcW w:type="dxa" w:w="617"/>
            <w:shd w:fill="E8F0FE"/>
          </w:tcPr>
          <w:p>
            <w:pPr>
              <w:spacing w:before="40" w:after="40"/>
            </w:pPr>
            <w:r>
              <w:rPr>
                <w:rFonts w:ascii="Calibri" w:hAnsi="Calibri"/>
                <w:sz w:val="18"/>
              </w:rPr>
              <w:t>2,339</w:t>
            </w:r>
          </w:p>
        </w:tc>
        <w:tc>
          <w:tcPr>
            <w:tcW w:type="dxa" w:w="617"/>
            <w:shd w:fill="E8F0FE"/>
          </w:tcPr>
          <w:p>
            <w:pPr>
              <w:spacing w:before="40" w:after="40"/>
            </w:pPr>
            <w:r>
              <w:rPr>
                <w:rFonts w:ascii="Calibri" w:hAnsi="Calibri"/>
                <w:sz w:val="18"/>
              </w:rPr>
              <w:t>2,244</w:t>
            </w:r>
          </w:p>
        </w:tc>
        <w:tc>
          <w:tcPr>
            <w:tcW w:type="dxa" w:w="617"/>
            <w:shd w:fill="E8F0FE"/>
          </w:tcPr>
          <w:p>
            <w:pPr>
              <w:spacing w:before="40" w:after="40"/>
            </w:pPr>
            <w:r>
              <w:rPr>
                <w:rFonts w:ascii="Calibri" w:hAnsi="Calibri"/>
                <w:sz w:val="18"/>
              </w:rPr>
              <w:t>2,215</w:t>
            </w:r>
          </w:p>
        </w:tc>
        <w:tc>
          <w:tcPr>
            <w:tcW w:type="dxa" w:w="617"/>
            <w:shd w:fill="E8F0FE"/>
          </w:tcPr>
          <w:p>
            <w:pPr>
              <w:spacing w:before="40" w:after="40"/>
            </w:pPr>
            <w:r>
              <w:rPr>
                <w:rFonts w:ascii="Calibri" w:hAnsi="Calibri"/>
                <w:sz w:val="18"/>
              </w:rPr>
              <w:t>2,138</w:t>
            </w:r>
          </w:p>
        </w:tc>
        <w:tc>
          <w:tcPr>
            <w:tcW w:type="dxa" w:w="617"/>
            <w:shd w:fill="E8F0FE"/>
          </w:tcPr>
          <w:p>
            <w:pPr>
              <w:spacing w:before="40" w:after="40"/>
            </w:pPr>
            <w:r>
              <w:rPr>
                <w:rFonts w:ascii="Calibri" w:hAnsi="Calibri"/>
                <w:sz w:val="18"/>
              </w:rPr>
              <w:t>2,023</w:t>
            </w:r>
          </w:p>
        </w:tc>
        <w:tc>
          <w:tcPr>
            <w:tcW w:type="dxa" w:w="617"/>
            <w:shd w:fill="E8F0FE"/>
          </w:tcPr>
          <w:p>
            <w:pPr>
              <w:spacing w:before="40" w:after="40"/>
            </w:pPr>
            <w:r>
              <w:rPr>
                <w:rFonts w:ascii="Calibri" w:hAnsi="Calibri"/>
                <w:sz w:val="18"/>
              </w:rPr>
              <w:t>1,924</w:t>
            </w:r>
          </w:p>
        </w:tc>
        <w:tc>
          <w:tcPr>
            <w:tcW w:type="dxa" w:w="617"/>
            <w:shd w:fill="E8F0FE"/>
          </w:tcPr>
          <w:p>
            <w:pPr>
              <w:spacing w:before="40" w:after="40"/>
            </w:pPr>
            <w:r>
              <w:rPr>
                <w:rFonts w:ascii="Calibri" w:hAnsi="Calibri"/>
                <w:sz w:val="18"/>
              </w:rPr>
              <w:t>1,870</w:t>
            </w:r>
          </w:p>
        </w:tc>
        <w:tc>
          <w:tcPr>
            <w:tcW w:type="dxa" w:w="617"/>
            <w:shd w:fill="E8F0FE"/>
          </w:tcPr>
          <w:p>
            <w:pPr>
              <w:spacing w:before="40" w:after="40"/>
            </w:pPr>
            <w:r>
              <w:rPr>
                <w:rFonts w:ascii="Calibri" w:hAnsi="Calibri"/>
                <w:sz w:val="18"/>
              </w:rPr>
              <w:t>1,818</w:t>
            </w:r>
          </w:p>
        </w:tc>
        <w:tc>
          <w:tcPr>
            <w:tcW w:type="dxa" w:w="617"/>
            <w:shd w:fill="E8F0FE"/>
          </w:tcPr>
          <w:p>
            <w:pPr>
              <w:spacing w:before="40" w:after="40"/>
            </w:pPr>
            <w:r>
              <w:rPr>
                <w:rFonts w:ascii="Calibri" w:hAnsi="Calibri"/>
                <w:sz w:val="18"/>
              </w:rPr>
              <w:t>1,801</w:t>
            </w:r>
          </w:p>
        </w:tc>
        <w:tc>
          <w:tcPr>
            <w:tcW w:type="dxa" w:w="617"/>
            <w:shd w:fill="E8F0FE"/>
          </w:tcPr>
          <w:p>
            <w:pPr>
              <w:spacing w:before="40" w:after="40"/>
            </w:pPr>
            <w:r>
              <w:rPr>
                <w:rFonts w:ascii="Calibri" w:hAnsi="Calibri"/>
                <w:sz w:val="18"/>
              </w:rPr>
              <w:t>1,824</w:t>
            </w:r>
          </w:p>
        </w:tc>
        <w:tc>
          <w:tcPr>
            <w:tcW w:type="dxa" w:w="617"/>
            <w:shd w:fill="E8F0FE"/>
          </w:tcPr>
          <w:p>
            <w:pPr>
              <w:spacing w:before="40" w:after="40"/>
            </w:pPr>
            <w:r>
              <w:rPr>
                <w:rFonts w:ascii="Calibri" w:hAnsi="Calibri"/>
                <w:sz w:val="18"/>
              </w:rPr>
              <w:t>1,460</w:t>
            </w:r>
          </w:p>
        </w:tc>
        <w:tc>
          <w:tcPr>
            <w:tcW w:type="dxa" w:w="617"/>
            <w:shd w:fill="E8F0FE"/>
          </w:tcPr>
          <w:p>
            <w:pPr>
              <w:spacing w:before="40" w:after="40"/>
            </w:pPr>
            <w:r>
              <w:rPr>
                <w:rFonts w:ascii="Calibri" w:hAnsi="Calibri"/>
                <w:sz w:val="18"/>
              </w:rPr>
              <w:t>1,438</w:t>
            </w:r>
          </w:p>
        </w:tc>
        <w:tc>
          <w:tcPr>
            <w:tcW w:type="dxa" w:w="617"/>
            <w:shd w:fill="E8F0FE"/>
          </w:tcPr>
          <w:p>
            <w:pPr>
              <w:spacing w:before="40" w:after="40"/>
            </w:pPr>
            <w:r>
              <w:rPr>
                <w:rFonts w:ascii="Calibri" w:hAnsi="Calibri"/>
                <w:sz w:val="18"/>
              </w:rPr>
              <w:t>1,544</w:t>
            </w:r>
          </w:p>
        </w:tc>
      </w:tr>
    </w:tbl>
    <w:p/>
    <w:p>
      <w:pPr>
        <w:pStyle w:val="Heading2"/>
      </w:pPr>
      <w:r>
        <w:rPr>
          <w:rFonts w:ascii="Calibri" w:hAnsi="Calibri"/>
          <w:color w:val="1F5F8B"/>
          <w:sz w:val="26"/>
        </w:rPr>
        <w:t>3.3 Consolidated Cash Flow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65"/>
        <w:gridCol w:w="665"/>
        <w:gridCol w:w="665"/>
        <w:gridCol w:w="665"/>
        <w:gridCol w:w="665"/>
        <w:gridCol w:w="665"/>
        <w:gridCol w:w="665"/>
        <w:gridCol w:w="665"/>
        <w:gridCol w:w="665"/>
        <w:gridCol w:w="665"/>
        <w:gridCol w:w="665"/>
        <w:gridCol w:w="665"/>
        <w:gridCol w:w="665"/>
      </w:tblGrid>
      <w:tr>
        <w:tc>
          <w:tcPr>
            <w:tcW w:type="dxa" w:w="665"/>
            <w:shd w:fill="1F5F8B"/>
          </w:tcPr>
          <w:p>
            <w:pPr>
              <w:spacing w:before="40" w:after="40"/>
            </w:pPr>
            <w:r>
              <w:rPr>
                <w:rFonts w:ascii="Calibri" w:hAnsi="Calibri"/>
                <w:b/>
                <w:color w:val="FFFFFF"/>
                <w:sz w:val="18"/>
              </w:rPr>
            </w:r>
          </w:p>
        </w:tc>
        <w:tc>
          <w:tcPr>
            <w:tcW w:type="dxa" w:w="665"/>
            <w:shd w:fill="1F5F8B"/>
          </w:tcPr>
          <w:p>
            <w:pPr>
              <w:spacing w:before="40" w:after="40"/>
            </w:pPr>
            <w:r>
              <w:rPr>
                <w:rFonts w:ascii="Calibri" w:hAnsi="Calibri"/>
                <w:b/>
                <w:color w:val="FFFFFF"/>
                <w:sz w:val="18"/>
              </w:rPr>
              <w:t>Mar 2014</w:t>
            </w:r>
          </w:p>
        </w:tc>
        <w:tc>
          <w:tcPr>
            <w:tcW w:type="dxa" w:w="665"/>
            <w:shd w:fill="1F5F8B"/>
          </w:tcPr>
          <w:p>
            <w:pPr>
              <w:spacing w:before="40" w:after="40"/>
            </w:pPr>
            <w:r>
              <w:rPr>
                <w:rFonts w:ascii="Calibri" w:hAnsi="Calibri"/>
                <w:b/>
                <w:color w:val="FFFFFF"/>
                <w:sz w:val="18"/>
              </w:rPr>
              <w:t>Mar 2015</w:t>
            </w:r>
          </w:p>
        </w:tc>
        <w:tc>
          <w:tcPr>
            <w:tcW w:type="dxa" w:w="665"/>
            <w:shd w:fill="1F5F8B"/>
          </w:tcPr>
          <w:p>
            <w:pPr>
              <w:spacing w:before="40" w:after="40"/>
            </w:pPr>
            <w:r>
              <w:rPr>
                <w:rFonts w:ascii="Calibri" w:hAnsi="Calibri"/>
                <w:b/>
                <w:color w:val="FFFFFF"/>
                <w:sz w:val="18"/>
              </w:rPr>
              <w:t>Mar 2016</w:t>
            </w:r>
          </w:p>
        </w:tc>
        <w:tc>
          <w:tcPr>
            <w:tcW w:type="dxa" w:w="665"/>
            <w:shd w:fill="1F5F8B"/>
          </w:tcPr>
          <w:p>
            <w:pPr>
              <w:spacing w:before="40" w:after="40"/>
            </w:pPr>
            <w:r>
              <w:rPr>
                <w:rFonts w:ascii="Calibri" w:hAnsi="Calibri"/>
                <w:b/>
                <w:color w:val="FFFFFF"/>
                <w:sz w:val="18"/>
              </w:rPr>
              <w:t>Mar 2017</w:t>
            </w:r>
          </w:p>
        </w:tc>
        <w:tc>
          <w:tcPr>
            <w:tcW w:type="dxa" w:w="665"/>
            <w:shd w:fill="1F5F8B"/>
          </w:tcPr>
          <w:p>
            <w:pPr>
              <w:spacing w:before="40" w:after="40"/>
            </w:pPr>
            <w:r>
              <w:rPr>
                <w:rFonts w:ascii="Calibri" w:hAnsi="Calibri"/>
                <w:b/>
                <w:color w:val="FFFFFF"/>
                <w:sz w:val="18"/>
              </w:rPr>
              <w:t>Mar 2018</w:t>
            </w:r>
          </w:p>
        </w:tc>
        <w:tc>
          <w:tcPr>
            <w:tcW w:type="dxa" w:w="665"/>
            <w:shd w:fill="1F5F8B"/>
          </w:tcPr>
          <w:p>
            <w:pPr>
              <w:spacing w:before="40" w:after="40"/>
            </w:pPr>
            <w:r>
              <w:rPr>
                <w:rFonts w:ascii="Calibri" w:hAnsi="Calibri"/>
                <w:b/>
                <w:color w:val="FFFFFF"/>
                <w:sz w:val="18"/>
              </w:rPr>
              <w:t>Mar 2019</w:t>
            </w:r>
          </w:p>
        </w:tc>
        <w:tc>
          <w:tcPr>
            <w:tcW w:type="dxa" w:w="665"/>
            <w:shd w:fill="1F5F8B"/>
          </w:tcPr>
          <w:p>
            <w:pPr>
              <w:spacing w:before="40" w:after="40"/>
            </w:pPr>
            <w:r>
              <w:rPr>
                <w:rFonts w:ascii="Calibri" w:hAnsi="Calibri"/>
                <w:b/>
                <w:color w:val="FFFFFF"/>
                <w:sz w:val="18"/>
              </w:rPr>
              <w:t>Mar 2020</w:t>
            </w:r>
          </w:p>
        </w:tc>
        <w:tc>
          <w:tcPr>
            <w:tcW w:type="dxa" w:w="665"/>
            <w:shd w:fill="1F5F8B"/>
          </w:tcPr>
          <w:p>
            <w:pPr>
              <w:spacing w:before="40" w:after="40"/>
            </w:pPr>
            <w:r>
              <w:rPr>
                <w:rFonts w:ascii="Calibri" w:hAnsi="Calibri"/>
                <w:b/>
                <w:color w:val="FFFFFF"/>
                <w:sz w:val="18"/>
              </w:rPr>
              <w:t>Mar 2021</w:t>
            </w:r>
          </w:p>
        </w:tc>
        <w:tc>
          <w:tcPr>
            <w:tcW w:type="dxa" w:w="665"/>
            <w:shd w:fill="1F5F8B"/>
          </w:tcPr>
          <w:p>
            <w:pPr>
              <w:spacing w:before="40" w:after="40"/>
            </w:pPr>
            <w:r>
              <w:rPr>
                <w:rFonts w:ascii="Calibri" w:hAnsi="Calibri"/>
                <w:b/>
                <w:color w:val="FFFFFF"/>
                <w:sz w:val="18"/>
              </w:rPr>
              <w:t>Mar 2022</w:t>
            </w:r>
          </w:p>
        </w:tc>
        <w:tc>
          <w:tcPr>
            <w:tcW w:type="dxa" w:w="665"/>
            <w:shd w:fill="1F5F8B"/>
          </w:tcPr>
          <w:p>
            <w:pPr>
              <w:spacing w:before="40" w:after="40"/>
            </w:pPr>
            <w:r>
              <w:rPr>
                <w:rFonts w:ascii="Calibri" w:hAnsi="Calibri"/>
                <w:b/>
                <w:color w:val="FFFFFF"/>
                <w:sz w:val="18"/>
              </w:rPr>
              <w:t>Mar 2023</w:t>
            </w:r>
          </w:p>
        </w:tc>
        <w:tc>
          <w:tcPr>
            <w:tcW w:type="dxa" w:w="665"/>
            <w:shd w:fill="1F5F8B"/>
          </w:tcPr>
          <w:p>
            <w:pPr>
              <w:spacing w:before="40" w:after="40"/>
            </w:pPr>
            <w:r>
              <w:rPr>
                <w:rFonts w:ascii="Calibri" w:hAnsi="Calibri"/>
                <w:b/>
                <w:color w:val="FFFFFF"/>
                <w:sz w:val="18"/>
              </w:rPr>
              <w:t>Mar 2024</w:t>
            </w:r>
          </w:p>
        </w:tc>
        <w:tc>
          <w:tcPr>
            <w:tcW w:type="dxa" w:w="665"/>
            <w:shd w:fill="1F5F8B"/>
          </w:tcPr>
          <w:p>
            <w:pPr>
              <w:spacing w:before="40" w:after="40"/>
            </w:pPr>
            <w:r>
              <w:rPr>
                <w:rFonts w:ascii="Calibri" w:hAnsi="Calibri"/>
                <w:b/>
                <w:color w:val="FFFFFF"/>
                <w:sz w:val="18"/>
              </w:rPr>
              <w:t>Mar 2025</w:t>
            </w:r>
          </w:p>
        </w:tc>
      </w:tr>
      <w:tr>
        <w:tc>
          <w:tcPr>
            <w:tcW w:type="dxa" w:w="665"/>
          </w:tcPr>
          <w:p>
            <w:pPr>
              <w:spacing w:before="40" w:after="40"/>
            </w:pPr>
            <w:r>
              <w:rPr>
                <w:rFonts w:ascii="Calibri" w:hAnsi="Calibri"/>
                <w:b/>
                <w:sz w:val="18"/>
              </w:rPr>
              <w:t>Cash from Operating Activity+</w:t>
            </w:r>
          </w:p>
        </w:tc>
        <w:tc>
          <w:tcPr>
            <w:tcW w:type="dxa" w:w="665"/>
          </w:tcPr>
          <w:p>
            <w:pPr>
              <w:spacing w:before="40" w:after="40"/>
            </w:pPr>
            <w:r>
              <w:rPr>
                <w:rFonts w:ascii="Calibri" w:hAnsi="Calibri"/>
                <w:sz w:val="18"/>
              </w:rPr>
              <w:t>0</w:t>
            </w:r>
          </w:p>
        </w:tc>
        <w:tc>
          <w:tcPr>
            <w:tcW w:type="dxa" w:w="665"/>
          </w:tcPr>
          <w:p>
            <w:pPr>
              <w:spacing w:before="40" w:after="40"/>
            </w:pPr>
            <w:r>
              <w:rPr>
                <w:rFonts w:ascii="Calibri" w:hAnsi="Calibri"/>
                <w:sz w:val="18"/>
              </w:rPr>
              <w:t>98</w:t>
            </w:r>
          </w:p>
        </w:tc>
        <w:tc>
          <w:tcPr>
            <w:tcW w:type="dxa" w:w="665"/>
          </w:tcPr>
          <w:p>
            <w:pPr>
              <w:spacing w:before="40" w:after="40"/>
            </w:pPr>
            <w:r>
              <w:rPr>
                <w:rFonts w:ascii="Calibri" w:hAnsi="Calibri"/>
                <w:sz w:val="18"/>
              </w:rPr>
              <w:t>79</w:t>
            </w:r>
          </w:p>
        </w:tc>
        <w:tc>
          <w:tcPr>
            <w:tcW w:type="dxa" w:w="665"/>
          </w:tcPr>
          <w:p>
            <w:pPr>
              <w:spacing w:before="40" w:after="40"/>
            </w:pPr>
            <w:r>
              <w:rPr>
                <w:rFonts w:ascii="Calibri" w:hAnsi="Calibri"/>
                <w:sz w:val="18"/>
              </w:rPr>
              <w:t>96</w:t>
            </w:r>
          </w:p>
        </w:tc>
        <w:tc>
          <w:tcPr>
            <w:tcW w:type="dxa" w:w="665"/>
          </w:tcPr>
          <w:p>
            <w:pPr>
              <w:spacing w:before="40" w:after="40"/>
            </w:pPr>
            <w:r>
              <w:rPr>
                <w:rFonts w:ascii="Calibri" w:hAnsi="Calibri"/>
                <w:sz w:val="18"/>
              </w:rPr>
              <w:t>73</w:t>
            </w:r>
          </w:p>
        </w:tc>
        <w:tc>
          <w:tcPr>
            <w:tcW w:type="dxa" w:w="665"/>
          </w:tcPr>
          <w:p>
            <w:pPr>
              <w:spacing w:before="40" w:after="40"/>
            </w:pPr>
            <w:r>
              <w:rPr>
                <w:rFonts w:ascii="Calibri" w:hAnsi="Calibri"/>
                <w:sz w:val="18"/>
              </w:rPr>
              <w:t>-64</w:t>
            </w:r>
          </w:p>
        </w:tc>
        <w:tc>
          <w:tcPr>
            <w:tcW w:type="dxa" w:w="665"/>
          </w:tcPr>
          <w:p>
            <w:pPr>
              <w:spacing w:before="40" w:after="40"/>
            </w:pPr>
            <w:r>
              <w:rPr>
                <w:rFonts w:ascii="Calibri" w:hAnsi="Calibri"/>
                <w:sz w:val="18"/>
              </w:rPr>
              <w:t>125</w:t>
            </w:r>
          </w:p>
        </w:tc>
        <w:tc>
          <w:tcPr>
            <w:tcW w:type="dxa" w:w="665"/>
          </w:tcPr>
          <w:p>
            <w:pPr>
              <w:spacing w:before="40" w:after="40"/>
            </w:pPr>
            <w:r>
              <w:rPr>
                <w:rFonts w:ascii="Calibri" w:hAnsi="Calibri"/>
                <w:sz w:val="18"/>
              </w:rPr>
              <w:t>135</w:t>
            </w:r>
          </w:p>
        </w:tc>
        <w:tc>
          <w:tcPr>
            <w:tcW w:type="dxa" w:w="665"/>
          </w:tcPr>
          <w:p>
            <w:pPr>
              <w:spacing w:before="40" w:after="40"/>
            </w:pPr>
            <w:r>
              <w:rPr>
                <w:rFonts w:ascii="Calibri" w:hAnsi="Calibri"/>
                <w:sz w:val="18"/>
              </w:rPr>
              <w:t>150</w:t>
            </w:r>
          </w:p>
        </w:tc>
        <w:tc>
          <w:tcPr>
            <w:tcW w:type="dxa" w:w="665"/>
          </w:tcPr>
          <w:p>
            <w:pPr>
              <w:spacing w:before="40" w:after="40"/>
            </w:pPr>
            <w:r>
              <w:rPr>
                <w:rFonts w:ascii="Calibri" w:hAnsi="Calibri"/>
                <w:sz w:val="18"/>
              </w:rPr>
              <w:t>195</w:t>
            </w:r>
          </w:p>
        </w:tc>
        <w:tc>
          <w:tcPr>
            <w:tcW w:type="dxa" w:w="665"/>
          </w:tcPr>
          <w:p>
            <w:pPr>
              <w:spacing w:before="40" w:after="40"/>
            </w:pPr>
            <w:r>
              <w:rPr>
                <w:rFonts w:ascii="Calibri" w:hAnsi="Calibri"/>
                <w:sz w:val="18"/>
              </w:rPr>
              <w:t>-187</w:t>
            </w:r>
          </w:p>
        </w:tc>
        <w:tc>
          <w:tcPr>
            <w:tcW w:type="dxa" w:w="665"/>
          </w:tcPr>
          <w:p>
            <w:pPr>
              <w:spacing w:before="40" w:after="40"/>
            </w:pPr>
            <w:r>
              <w:rPr>
                <w:rFonts w:ascii="Calibri" w:hAnsi="Calibri"/>
                <w:sz w:val="18"/>
              </w:rPr>
              <w:t>-25</w:t>
            </w:r>
          </w:p>
        </w:tc>
      </w:tr>
      <w:tr>
        <w:tc>
          <w:tcPr>
            <w:tcW w:type="dxa" w:w="665"/>
            <w:shd w:fill="E8F0FE"/>
          </w:tcPr>
          <w:p>
            <w:pPr>
              <w:spacing w:before="40" w:after="40"/>
            </w:pPr>
            <w:r>
              <w:rPr>
                <w:rFonts w:ascii="Calibri" w:hAnsi="Calibri"/>
                <w:b/>
                <w:sz w:val="18"/>
              </w:rPr>
              <w:t>Cash from Investing Activity+</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-35</w:t>
            </w:r>
          </w:p>
        </w:tc>
        <w:tc>
          <w:tcPr>
            <w:tcW w:type="dxa" w:w="665"/>
            <w:shd w:fill="E8F0FE"/>
          </w:tcPr>
          <w:p>
            <w:pPr>
              <w:spacing w:before="40" w:after="40"/>
            </w:pPr>
            <w:r>
              <w:rPr>
                <w:rFonts w:ascii="Calibri" w:hAnsi="Calibri"/>
                <w:sz w:val="18"/>
              </w:rPr>
              <w:t>-29</w:t>
            </w:r>
          </w:p>
        </w:tc>
        <w:tc>
          <w:tcPr>
            <w:tcW w:type="dxa" w:w="665"/>
            <w:shd w:fill="E8F0FE"/>
          </w:tcPr>
          <w:p>
            <w:pPr>
              <w:spacing w:before="40" w:after="40"/>
            </w:pPr>
            <w:r>
              <w:rPr>
                <w:rFonts w:ascii="Calibri" w:hAnsi="Calibri"/>
                <w:sz w:val="18"/>
              </w:rPr>
              <w:t>-31</w:t>
            </w:r>
          </w:p>
        </w:tc>
        <w:tc>
          <w:tcPr>
            <w:tcW w:type="dxa" w:w="665"/>
            <w:shd w:fill="E8F0FE"/>
          </w:tcPr>
          <w:p>
            <w:pPr>
              <w:spacing w:before="40" w:after="40"/>
            </w:pPr>
            <w:r>
              <w:rPr>
                <w:rFonts w:ascii="Calibri" w:hAnsi="Calibri"/>
                <w:sz w:val="18"/>
              </w:rPr>
              <w:t>-17</w:t>
            </w:r>
          </w:p>
        </w:tc>
        <w:tc>
          <w:tcPr>
            <w:tcW w:type="dxa" w:w="665"/>
            <w:shd w:fill="E8F0FE"/>
          </w:tcPr>
          <w:p>
            <w:pPr>
              <w:spacing w:before="40" w:after="40"/>
            </w:pPr>
            <w:r>
              <w:rPr>
                <w:rFonts w:ascii="Calibri" w:hAnsi="Calibri"/>
                <w:sz w:val="18"/>
              </w:rPr>
              <w:t>-12</w:t>
            </w:r>
          </w:p>
        </w:tc>
        <w:tc>
          <w:tcPr>
            <w:tcW w:type="dxa" w:w="665"/>
            <w:shd w:fill="E8F0FE"/>
          </w:tcPr>
          <w:p>
            <w:pPr>
              <w:spacing w:before="40" w:after="40"/>
            </w:pPr>
            <w:r>
              <w:rPr>
                <w:rFonts w:ascii="Calibri" w:hAnsi="Calibri"/>
                <w:sz w:val="18"/>
              </w:rPr>
              <w:t>-9</w:t>
            </w:r>
          </w:p>
        </w:tc>
        <w:tc>
          <w:tcPr>
            <w:tcW w:type="dxa" w:w="665"/>
            <w:shd w:fill="E8F0FE"/>
          </w:tcPr>
          <w:p>
            <w:pPr>
              <w:spacing w:before="40" w:after="40"/>
            </w:pPr>
            <w:r>
              <w:rPr>
                <w:rFonts w:ascii="Calibri" w:hAnsi="Calibri"/>
                <w:sz w:val="18"/>
              </w:rPr>
              <w:t>-10</w:t>
            </w:r>
          </w:p>
        </w:tc>
        <w:tc>
          <w:tcPr>
            <w:tcW w:type="dxa" w:w="665"/>
            <w:shd w:fill="E8F0FE"/>
          </w:tcPr>
          <w:p>
            <w:pPr>
              <w:spacing w:before="40" w:after="40"/>
            </w:pPr>
            <w:r>
              <w:rPr>
                <w:rFonts w:ascii="Calibri" w:hAnsi="Calibri"/>
                <w:sz w:val="18"/>
              </w:rPr>
              <w:t>5</w:t>
            </w:r>
          </w:p>
        </w:tc>
        <w:tc>
          <w:tcPr>
            <w:tcW w:type="dxa" w:w="665"/>
            <w:shd w:fill="E8F0FE"/>
          </w:tcPr>
          <w:p>
            <w:pPr>
              <w:spacing w:before="40" w:after="40"/>
            </w:pPr>
            <w:r>
              <w:rPr>
                <w:rFonts w:ascii="Calibri" w:hAnsi="Calibri"/>
                <w:sz w:val="18"/>
              </w:rPr>
              <w:t>-13</w:t>
            </w:r>
          </w:p>
        </w:tc>
        <w:tc>
          <w:tcPr>
            <w:tcW w:type="dxa" w:w="665"/>
            <w:shd w:fill="E8F0FE"/>
          </w:tcPr>
          <w:p>
            <w:pPr>
              <w:spacing w:before="40" w:after="40"/>
            </w:pPr>
            <w:r>
              <w:rPr>
                <w:rFonts w:ascii="Calibri" w:hAnsi="Calibri"/>
                <w:sz w:val="18"/>
              </w:rPr>
              <w:t>-28</w:t>
            </w:r>
          </w:p>
        </w:tc>
        <w:tc>
          <w:tcPr>
            <w:tcW w:type="dxa" w:w="665"/>
            <w:shd w:fill="E8F0FE"/>
          </w:tcPr>
          <w:p>
            <w:pPr>
              <w:spacing w:before="40" w:after="40"/>
            </w:pPr>
            <w:r>
              <w:rPr>
                <w:rFonts w:ascii="Calibri" w:hAnsi="Calibri"/>
                <w:sz w:val="18"/>
              </w:rPr>
              <w:t>-110</w:t>
            </w:r>
          </w:p>
        </w:tc>
      </w:tr>
      <w:tr>
        <w:tc>
          <w:tcPr>
            <w:tcW w:type="dxa" w:w="665"/>
          </w:tcPr>
          <w:p>
            <w:pPr>
              <w:spacing w:before="40" w:after="40"/>
            </w:pPr>
            <w:r>
              <w:rPr>
                <w:rFonts w:ascii="Calibri" w:hAnsi="Calibri"/>
                <w:b/>
                <w:sz w:val="18"/>
              </w:rPr>
              <w:t>Cash from Financing Activity+</w:t>
            </w:r>
          </w:p>
        </w:tc>
        <w:tc>
          <w:tcPr>
            <w:tcW w:type="dxa" w:w="665"/>
          </w:tcPr>
          <w:p>
            <w:pPr>
              <w:spacing w:before="40" w:after="40"/>
            </w:pPr>
            <w:r>
              <w:rPr>
                <w:rFonts w:ascii="Calibri" w:hAnsi="Calibri"/>
                <w:sz w:val="18"/>
              </w:rPr>
              <w:t>0</w:t>
            </w:r>
          </w:p>
        </w:tc>
        <w:tc>
          <w:tcPr>
            <w:tcW w:type="dxa" w:w="665"/>
          </w:tcPr>
          <w:p>
            <w:pPr>
              <w:spacing w:before="40" w:after="40"/>
            </w:pPr>
            <w:r>
              <w:rPr>
                <w:rFonts w:ascii="Calibri" w:hAnsi="Calibri"/>
                <w:sz w:val="18"/>
              </w:rPr>
              <w:t>-64</w:t>
            </w:r>
          </w:p>
        </w:tc>
        <w:tc>
          <w:tcPr>
            <w:tcW w:type="dxa" w:w="665"/>
          </w:tcPr>
          <w:p>
            <w:pPr>
              <w:spacing w:before="40" w:after="40"/>
            </w:pPr>
            <w:r>
              <w:rPr>
                <w:rFonts w:ascii="Calibri" w:hAnsi="Calibri"/>
                <w:sz w:val="18"/>
              </w:rPr>
              <w:t>-48</w:t>
            </w:r>
          </w:p>
        </w:tc>
        <w:tc>
          <w:tcPr>
            <w:tcW w:type="dxa" w:w="665"/>
          </w:tcPr>
          <w:p>
            <w:pPr>
              <w:spacing w:before="40" w:after="40"/>
            </w:pPr>
            <w:r>
              <w:rPr>
                <w:rFonts w:ascii="Calibri" w:hAnsi="Calibri"/>
                <w:sz w:val="18"/>
              </w:rPr>
              <w:t>-69</w:t>
            </w:r>
          </w:p>
        </w:tc>
        <w:tc>
          <w:tcPr>
            <w:tcW w:type="dxa" w:w="665"/>
          </w:tcPr>
          <w:p>
            <w:pPr>
              <w:spacing w:before="40" w:after="40"/>
            </w:pPr>
            <w:r>
              <w:rPr>
                <w:rFonts w:ascii="Calibri" w:hAnsi="Calibri"/>
                <w:sz w:val="18"/>
              </w:rPr>
              <w:t>-62</w:t>
            </w:r>
          </w:p>
        </w:tc>
        <w:tc>
          <w:tcPr>
            <w:tcW w:type="dxa" w:w="665"/>
          </w:tcPr>
          <w:p>
            <w:pPr>
              <w:spacing w:before="40" w:after="40"/>
            </w:pPr>
            <w:r>
              <w:rPr>
                <w:rFonts w:ascii="Calibri" w:hAnsi="Calibri"/>
                <w:sz w:val="18"/>
              </w:rPr>
              <w:t>100</w:t>
            </w:r>
          </w:p>
        </w:tc>
        <w:tc>
          <w:tcPr>
            <w:tcW w:type="dxa" w:w="665"/>
          </w:tcPr>
          <w:p>
            <w:pPr>
              <w:spacing w:before="40" w:after="40"/>
            </w:pPr>
            <w:r>
              <w:rPr>
                <w:rFonts w:ascii="Calibri" w:hAnsi="Calibri"/>
                <w:sz w:val="18"/>
              </w:rPr>
              <w:t>-133</w:t>
            </w:r>
          </w:p>
        </w:tc>
        <w:tc>
          <w:tcPr>
            <w:tcW w:type="dxa" w:w="665"/>
          </w:tcPr>
          <w:p>
            <w:pPr>
              <w:spacing w:before="40" w:after="40"/>
            </w:pPr>
            <w:r>
              <w:rPr>
                <w:rFonts w:ascii="Calibri" w:hAnsi="Calibri"/>
                <w:sz w:val="18"/>
              </w:rPr>
              <w:t>-124</w:t>
            </w:r>
          </w:p>
        </w:tc>
        <w:tc>
          <w:tcPr>
            <w:tcW w:type="dxa" w:w="665"/>
          </w:tcPr>
          <w:p>
            <w:pPr>
              <w:spacing w:before="40" w:after="40"/>
            </w:pPr>
            <w:r>
              <w:rPr>
                <w:rFonts w:ascii="Calibri" w:hAnsi="Calibri"/>
                <w:sz w:val="18"/>
              </w:rPr>
              <w:t>-141</w:t>
            </w:r>
          </w:p>
        </w:tc>
        <w:tc>
          <w:tcPr>
            <w:tcW w:type="dxa" w:w="665"/>
          </w:tcPr>
          <w:p>
            <w:pPr>
              <w:spacing w:before="40" w:after="40"/>
            </w:pPr>
            <w:r>
              <w:rPr>
                <w:rFonts w:ascii="Calibri" w:hAnsi="Calibri"/>
                <w:sz w:val="18"/>
              </w:rPr>
              <w:t>-186</w:t>
            </w:r>
          </w:p>
        </w:tc>
        <w:tc>
          <w:tcPr>
            <w:tcW w:type="dxa" w:w="665"/>
          </w:tcPr>
          <w:p>
            <w:pPr>
              <w:spacing w:before="40" w:after="40"/>
            </w:pPr>
            <w:r>
              <w:rPr>
                <w:rFonts w:ascii="Calibri" w:hAnsi="Calibri"/>
                <w:sz w:val="18"/>
              </w:rPr>
              <w:t>657</w:t>
            </w:r>
          </w:p>
        </w:tc>
        <w:tc>
          <w:tcPr>
            <w:tcW w:type="dxa" w:w="665"/>
          </w:tcPr>
          <w:p>
            <w:pPr>
              <w:spacing w:before="40" w:after="40"/>
            </w:pPr>
            <w:r>
              <w:rPr>
                <w:rFonts w:ascii="Calibri" w:hAnsi="Calibri"/>
                <w:sz w:val="18"/>
              </w:rPr>
              <w:t>69</w:t>
            </w:r>
          </w:p>
        </w:tc>
      </w:tr>
      <w:tr>
        <w:tc>
          <w:tcPr>
            <w:tcW w:type="dxa" w:w="665"/>
            <w:shd w:fill="E8F0FE"/>
          </w:tcPr>
          <w:p>
            <w:pPr>
              <w:spacing w:before="40" w:after="40"/>
            </w:pPr>
            <w:r>
              <w:rPr>
                <w:rFonts w:ascii="Calibri" w:hAnsi="Calibri"/>
                <w:b/>
                <w:sz w:val="18"/>
              </w:rPr>
              <w:t>Net Cash Flow</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3</w:t>
            </w:r>
          </w:p>
        </w:tc>
        <w:tc>
          <w:tcPr>
            <w:tcW w:type="dxa" w:w="665"/>
            <w:shd w:fill="E8F0FE"/>
          </w:tcPr>
          <w:p>
            <w:pPr>
              <w:spacing w:before="40" w:after="40"/>
            </w:pPr>
            <w:r>
              <w:rPr>
                <w:rFonts w:ascii="Calibri" w:hAnsi="Calibri"/>
                <w:sz w:val="18"/>
              </w:rPr>
              <w:t>-4</w:t>
            </w:r>
          </w:p>
        </w:tc>
        <w:tc>
          <w:tcPr>
            <w:tcW w:type="dxa" w:w="665"/>
            <w:shd w:fill="E8F0FE"/>
          </w:tcPr>
          <w:p>
            <w:pPr>
              <w:spacing w:before="40" w:after="40"/>
            </w:pPr>
            <w:r>
              <w:rPr>
                <w:rFonts w:ascii="Calibri" w:hAnsi="Calibri"/>
                <w:sz w:val="18"/>
              </w:rPr>
              <w:t>-6</w:t>
            </w:r>
          </w:p>
        </w:tc>
        <w:tc>
          <w:tcPr>
            <w:tcW w:type="dxa" w:w="665"/>
            <w:shd w:fill="E8F0FE"/>
          </w:tcPr>
          <w:p>
            <w:pPr>
              <w:spacing w:before="40" w:after="40"/>
            </w:pPr>
            <w:r>
              <w:rPr>
                <w:rFonts w:ascii="Calibri" w:hAnsi="Calibri"/>
                <w:sz w:val="18"/>
              </w:rPr>
              <w:t>23</w:t>
            </w:r>
          </w:p>
        </w:tc>
        <w:tc>
          <w:tcPr>
            <w:tcW w:type="dxa" w:w="665"/>
            <w:shd w:fill="E8F0FE"/>
          </w:tcPr>
          <w:p>
            <w:pPr>
              <w:spacing w:before="40" w:after="40"/>
            </w:pPr>
            <w:r>
              <w:rPr>
                <w:rFonts w:ascii="Calibri" w:hAnsi="Calibri"/>
                <w:sz w:val="18"/>
              </w:rPr>
              <w:t>-17</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14</w:t>
            </w:r>
          </w:p>
        </w:tc>
        <w:tc>
          <w:tcPr>
            <w:tcW w:type="dxa" w:w="665"/>
            <w:shd w:fill="E8F0FE"/>
          </w:tcPr>
          <w:p>
            <w:pPr>
              <w:spacing w:before="40" w:after="40"/>
            </w:pPr>
            <w:r>
              <w:rPr>
                <w:rFonts w:ascii="Calibri" w:hAnsi="Calibri"/>
                <w:sz w:val="18"/>
              </w:rPr>
              <w:t>-4</w:t>
            </w:r>
          </w:p>
        </w:tc>
        <w:tc>
          <w:tcPr>
            <w:tcW w:type="dxa" w:w="665"/>
            <w:shd w:fill="E8F0FE"/>
          </w:tcPr>
          <w:p>
            <w:pPr>
              <w:spacing w:before="40" w:after="40"/>
            </w:pPr>
            <w:r>
              <w:rPr>
                <w:rFonts w:ascii="Calibri" w:hAnsi="Calibri"/>
                <w:sz w:val="18"/>
              </w:rPr>
              <w:t>443</w:t>
            </w:r>
          </w:p>
        </w:tc>
        <w:tc>
          <w:tcPr>
            <w:tcW w:type="dxa" w:w="665"/>
            <w:shd w:fill="E8F0FE"/>
          </w:tcPr>
          <w:p>
            <w:pPr>
              <w:spacing w:before="40" w:after="40"/>
            </w:pPr>
            <w:r>
              <w:rPr>
                <w:rFonts w:ascii="Calibri" w:hAnsi="Calibri"/>
                <w:sz w:val="18"/>
              </w:rPr>
              <w:t>-66</w:t>
            </w:r>
          </w:p>
        </w:tc>
      </w:tr>
      <w:tr>
        <w:tc>
          <w:tcPr>
            <w:tcW w:type="dxa" w:w="665"/>
          </w:tcPr>
          <w:p>
            <w:pPr>
              <w:spacing w:before="40" w:after="40"/>
            </w:pPr>
            <w:r>
              <w:rPr>
                <w:rFonts w:ascii="Calibri" w:hAnsi="Calibri"/>
                <w:b/>
                <w:sz w:val="18"/>
              </w:rPr>
              <w:t>Free Cash Flow</w:t>
            </w:r>
          </w:p>
        </w:tc>
        <w:tc>
          <w:tcPr>
            <w:tcW w:type="dxa" w:w="665"/>
          </w:tcPr>
          <w:p>
            <w:pPr>
              <w:spacing w:before="40" w:after="40"/>
            </w:pPr>
            <w:r>
              <w:rPr>
                <w:rFonts w:ascii="Calibri" w:hAnsi="Calibri"/>
                <w:sz w:val="18"/>
              </w:rPr>
              <w:t>0</w:t>
            </w:r>
          </w:p>
        </w:tc>
        <w:tc>
          <w:tcPr>
            <w:tcW w:type="dxa" w:w="665"/>
          </w:tcPr>
          <w:p>
            <w:pPr>
              <w:spacing w:before="40" w:after="40"/>
            </w:pPr>
            <w:r>
              <w:rPr>
                <w:rFonts w:ascii="Calibri" w:hAnsi="Calibri"/>
                <w:sz w:val="18"/>
              </w:rPr>
              <w:t>59</w:t>
            </w:r>
          </w:p>
        </w:tc>
        <w:tc>
          <w:tcPr>
            <w:tcW w:type="dxa" w:w="665"/>
          </w:tcPr>
          <w:p>
            <w:pPr>
              <w:spacing w:before="40" w:after="40"/>
            </w:pPr>
            <w:r>
              <w:rPr>
                <w:rFonts w:ascii="Calibri" w:hAnsi="Calibri"/>
                <w:sz w:val="18"/>
              </w:rPr>
              <w:t>49</w:t>
            </w:r>
          </w:p>
        </w:tc>
        <w:tc>
          <w:tcPr>
            <w:tcW w:type="dxa" w:w="665"/>
          </w:tcPr>
          <w:p>
            <w:pPr>
              <w:spacing w:before="40" w:after="40"/>
            </w:pPr>
            <w:r>
              <w:rPr>
                <w:rFonts w:ascii="Calibri" w:hAnsi="Calibri"/>
                <w:sz w:val="18"/>
              </w:rPr>
              <w:t>63</w:t>
            </w:r>
          </w:p>
        </w:tc>
        <w:tc>
          <w:tcPr>
            <w:tcW w:type="dxa" w:w="665"/>
          </w:tcPr>
          <w:p>
            <w:pPr>
              <w:spacing w:before="40" w:after="40"/>
            </w:pPr>
            <w:r>
              <w:rPr>
                <w:rFonts w:ascii="Calibri" w:hAnsi="Calibri"/>
                <w:sz w:val="18"/>
              </w:rPr>
              <w:t>52</w:t>
            </w:r>
          </w:p>
        </w:tc>
        <w:tc>
          <w:tcPr>
            <w:tcW w:type="dxa" w:w="665"/>
          </w:tcPr>
          <w:p>
            <w:pPr>
              <w:spacing w:before="40" w:after="40"/>
            </w:pPr>
            <w:r>
              <w:rPr>
                <w:rFonts w:ascii="Calibri" w:hAnsi="Calibri"/>
                <w:sz w:val="18"/>
              </w:rPr>
              <w:t>-79</w:t>
            </w:r>
          </w:p>
        </w:tc>
        <w:tc>
          <w:tcPr>
            <w:tcW w:type="dxa" w:w="665"/>
          </w:tcPr>
          <w:p>
            <w:pPr>
              <w:spacing w:before="40" w:after="40"/>
            </w:pPr>
            <w:r>
              <w:rPr>
                <w:rFonts w:ascii="Calibri" w:hAnsi="Calibri"/>
                <w:sz w:val="18"/>
              </w:rPr>
              <w:t>114</w:t>
            </w:r>
          </w:p>
        </w:tc>
        <w:tc>
          <w:tcPr>
            <w:tcW w:type="dxa" w:w="665"/>
          </w:tcPr>
          <w:p>
            <w:pPr>
              <w:spacing w:before="40" w:after="40"/>
            </w:pPr>
            <w:r>
              <w:rPr>
                <w:rFonts w:ascii="Calibri" w:hAnsi="Calibri"/>
                <w:sz w:val="18"/>
              </w:rPr>
              <w:t>131</w:t>
            </w:r>
          </w:p>
        </w:tc>
        <w:tc>
          <w:tcPr>
            <w:tcW w:type="dxa" w:w="665"/>
          </w:tcPr>
          <w:p>
            <w:pPr>
              <w:spacing w:before="40" w:after="40"/>
            </w:pPr>
            <w:r>
              <w:rPr>
                <w:rFonts w:ascii="Calibri" w:hAnsi="Calibri"/>
                <w:sz w:val="18"/>
              </w:rPr>
              <w:t>137</w:t>
            </w:r>
          </w:p>
        </w:tc>
        <w:tc>
          <w:tcPr>
            <w:tcW w:type="dxa" w:w="665"/>
          </w:tcPr>
          <w:p>
            <w:pPr>
              <w:spacing w:before="40" w:after="40"/>
            </w:pPr>
            <w:r>
              <w:rPr>
                <w:rFonts w:ascii="Calibri" w:hAnsi="Calibri"/>
                <w:sz w:val="18"/>
              </w:rPr>
              <w:t>182</w:t>
            </w:r>
          </w:p>
        </w:tc>
        <w:tc>
          <w:tcPr>
            <w:tcW w:type="dxa" w:w="665"/>
          </w:tcPr>
          <w:p>
            <w:pPr>
              <w:spacing w:before="40" w:after="40"/>
            </w:pPr>
            <w:r>
              <w:rPr>
                <w:rFonts w:ascii="Calibri" w:hAnsi="Calibri"/>
                <w:sz w:val="18"/>
              </w:rPr>
              <w:t>-250</w:t>
            </w:r>
          </w:p>
        </w:tc>
        <w:tc>
          <w:tcPr>
            <w:tcW w:type="dxa" w:w="665"/>
          </w:tcPr>
          <w:p>
            <w:pPr>
              <w:spacing w:before="40" w:after="40"/>
            </w:pPr>
            <w:r>
              <w:rPr>
                <w:rFonts w:ascii="Calibri" w:hAnsi="Calibri"/>
                <w:sz w:val="18"/>
              </w:rPr>
              <w:t>-51</w:t>
            </w:r>
          </w:p>
        </w:tc>
      </w:tr>
      <w:tr>
        <w:tc>
          <w:tcPr>
            <w:tcW w:type="dxa" w:w="665"/>
            <w:shd w:fill="E8F0FE"/>
          </w:tcPr>
          <w:p>
            <w:pPr>
              <w:spacing w:before="40" w:after="40"/>
            </w:pPr>
            <w:r>
              <w:rPr>
                <w:rFonts w:ascii="Calibri" w:hAnsi="Calibri"/>
                <w:b/>
                <w:sz w:val="18"/>
              </w:rPr>
              <w:t>CFO/OP</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111%</w:t>
            </w:r>
          </w:p>
        </w:tc>
        <w:tc>
          <w:tcPr>
            <w:tcW w:type="dxa" w:w="665"/>
            <w:shd w:fill="E8F0FE"/>
          </w:tcPr>
          <w:p>
            <w:pPr>
              <w:spacing w:before="40" w:after="40"/>
            </w:pPr>
            <w:r>
              <w:rPr>
                <w:rFonts w:ascii="Calibri" w:hAnsi="Calibri"/>
                <w:sz w:val="18"/>
              </w:rPr>
              <w:t>74%</w:t>
            </w:r>
          </w:p>
        </w:tc>
        <w:tc>
          <w:tcPr>
            <w:tcW w:type="dxa" w:w="665"/>
            <w:shd w:fill="E8F0FE"/>
          </w:tcPr>
          <w:p>
            <w:pPr>
              <w:spacing w:before="40" w:after="40"/>
            </w:pPr>
            <w:r>
              <w:rPr>
                <w:rFonts w:ascii="Calibri" w:hAnsi="Calibri"/>
                <w:sz w:val="18"/>
              </w:rPr>
              <w:t>90%</w:t>
            </w:r>
          </w:p>
        </w:tc>
        <w:tc>
          <w:tcPr>
            <w:tcW w:type="dxa" w:w="665"/>
            <w:shd w:fill="E8F0FE"/>
          </w:tcPr>
          <w:p>
            <w:pPr>
              <w:spacing w:before="40" w:after="40"/>
            </w:pPr>
            <w:r>
              <w:rPr>
                <w:rFonts w:ascii="Calibri" w:hAnsi="Calibri"/>
                <w:sz w:val="18"/>
              </w:rPr>
              <w:t>54%</w:t>
            </w:r>
          </w:p>
        </w:tc>
        <w:tc>
          <w:tcPr>
            <w:tcW w:type="dxa" w:w="665"/>
            <w:shd w:fill="E8F0FE"/>
          </w:tcPr>
          <w:p>
            <w:pPr>
              <w:spacing w:before="40" w:after="40"/>
            </w:pPr>
            <w:r>
              <w:rPr>
                <w:rFonts w:ascii="Calibri" w:hAnsi="Calibri"/>
                <w:sz w:val="18"/>
              </w:rPr>
              <w:t>-51%</w:t>
            </w:r>
          </w:p>
        </w:tc>
        <w:tc>
          <w:tcPr>
            <w:tcW w:type="dxa" w:w="665"/>
            <w:shd w:fill="E8F0FE"/>
          </w:tcPr>
          <w:p>
            <w:pPr>
              <w:spacing w:before="40" w:after="40"/>
            </w:pPr>
            <w:r>
              <w:rPr>
                <w:rFonts w:ascii="Calibri" w:hAnsi="Calibri"/>
                <w:sz w:val="18"/>
              </w:rPr>
              <w:t>87%</w:t>
            </w:r>
          </w:p>
        </w:tc>
        <w:tc>
          <w:tcPr>
            <w:tcW w:type="dxa" w:w="665"/>
            <w:shd w:fill="E8F0FE"/>
          </w:tcPr>
          <w:p>
            <w:pPr>
              <w:spacing w:before="40" w:after="40"/>
            </w:pPr>
            <w:r>
              <w:rPr>
                <w:rFonts w:ascii="Calibri" w:hAnsi="Calibri"/>
                <w:sz w:val="18"/>
              </w:rPr>
              <w:t>74%</w:t>
            </w:r>
          </w:p>
        </w:tc>
        <w:tc>
          <w:tcPr>
            <w:tcW w:type="dxa" w:w="665"/>
            <w:shd w:fill="E8F0FE"/>
          </w:tcPr>
          <w:p>
            <w:pPr>
              <w:spacing w:before="40" w:after="40"/>
            </w:pPr>
            <w:r>
              <w:rPr>
                <w:rFonts w:ascii="Calibri" w:hAnsi="Calibri"/>
                <w:sz w:val="18"/>
              </w:rPr>
              <w:t>74%</w:t>
            </w:r>
          </w:p>
        </w:tc>
        <w:tc>
          <w:tcPr>
            <w:tcW w:type="dxa" w:w="665"/>
            <w:shd w:fill="E8F0FE"/>
          </w:tcPr>
          <w:p>
            <w:pPr>
              <w:spacing w:before="40" w:after="40"/>
            </w:pPr>
            <w:r>
              <w:rPr>
                <w:rFonts w:ascii="Calibri" w:hAnsi="Calibri"/>
                <w:sz w:val="18"/>
              </w:rPr>
              <w:t>85%</w:t>
            </w:r>
          </w:p>
        </w:tc>
        <w:tc>
          <w:tcPr>
            <w:tcW w:type="dxa" w:w="665"/>
            <w:shd w:fill="E8F0FE"/>
          </w:tcPr>
          <w:p>
            <w:pPr>
              <w:spacing w:before="40" w:after="40"/>
            </w:pPr>
            <w:r>
              <w:rPr>
                <w:rFonts w:ascii="Calibri" w:hAnsi="Calibri"/>
                <w:sz w:val="18"/>
              </w:rPr>
              <w:t>-61%</w:t>
            </w:r>
          </w:p>
        </w:tc>
        <w:tc>
          <w:tcPr>
            <w:tcW w:type="dxa" w:w="665"/>
            <w:shd w:fill="E8F0FE"/>
          </w:tcPr>
          <w:p>
            <w:pPr>
              <w:spacing w:before="40" w:after="40"/>
            </w:pPr>
            <w:r>
              <w:rPr>
                <w:rFonts w:ascii="Calibri" w:hAnsi="Calibri"/>
                <w:sz w:val="18"/>
              </w:rPr>
              <w:t>131%</w:t>
            </w:r>
          </w:p>
        </w:tc>
      </w:tr>
    </w:tbl>
    <w:p/>
    <w:p>
      <w:pPr>
        <w:pStyle w:val="Heading1"/>
      </w:pPr>
      <w:r>
        <w:rPr>
          <w:rFonts w:ascii="Calibri" w:hAnsi="Calibri"/>
          <w:color w:val="1F5F8B"/>
          <w:sz w:val="32"/>
        </w:rPr>
        <w:t>4. Corporate Governance Assessment</w:t>
      </w:r>
    </w:p>
    <w:p>
      <w:pPr>
        <w:spacing w:before="0" w:after="120"/>
      </w:pPr>
    </w:p>
    <w:p>
      <w:pPr>
        <w:pStyle w:val="Heading2"/>
      </w:pPr>
      <w:r>
        <w:rPr>
          <w:rFonts w:ascii="Calibri" w:hAnsi="Calibri"/>
          <w:color w:val="1F5F8B"/>
          <w:sz w:val="26"/>
        </w:rPr>
        <w:t>4.1 Board Composition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Name</w:t>
            </w:r>
          </w:p>
        </w:tc>
        <w:tc>
          <w:tcPr>
            <w:tcW w:type="dxa" w:w="2880"/>
            <w:shd w:fill="1F5F8B"/>
          </w:tcPr>
          <w:p>
            <w:pPr>
              <w:spacing w:before="40" w:after="40"/>
            </w:pPr>
            <w:r>
              <w:rPr>
                <w:rFonts w:ascii="Calibri" w:hAnsi="Calibri"/>
                <w:b/>
                <w:color w:val="FFFFFF"/>
                <w:sz w:val="18"/>
              </w:rPr>
              <w:t>Designation</w:t>
            </w:r>
          </w:p>
        </w:tc>
        <w:tc>
          <w:tcPr>
            <w:tcW w:type="dxa" w:w="2880"/>
            <w:shd w:fill="1F5F8B"/>
          </w:tcPr>
          <w:p>
            <w:pPr>
              <w:spacing w:before="40" w:after="40"/>
            </w:pPr>
            <w:r>
              <w:rPr>
                <w:rFonts w:ascii="Calibri" w:hAnsi="Calibri"/>
                <w:b/>
                <w:color w:val="FFFFFF"/>
                <w:sz w:val="18"/>
              </w:rPr>
              <w:t>Category</w:t>
            </w:r>
          </w:p>
        </w:tc>
      </w:tr>
      <w:tr>
        <w:tc>
          <w:tcPr>
            <w:tcW w:type="dxa" w:w="2880"/>
          </w:tcPr>
          <w:p>
            <w:pPr>
              <w:spacing w:before="40" w:after="40"/>
            </w:pPr>
            <w:r>
              <w:rPr>
                <w:rFonts w:ascii="Calibri" w:hAnsi="Calibri"/>
                <w:b/>
                <w:sz w:val="18"/>
              </w:rPr>
              <w:t>Mr. Navrattan Munjal</w:t>
            </w:r>
          </w:p>
        </w:tc>
        <w:tc>
          <w:tcPr>
            <w:tcW w:type="dxa" w:w="2880"/>
          </w:tcPr>
          <w:p>
            <w:pPr>
              <w:spacing w:before="40" w:after="40"/>
            </w:pPr>
            <w:r>
              <w:rPr>
                <w:rFonts w:ascii="Calibri" w:hAnsi="Calibri"/>
                <w:sz w:val="18"/>
              </w:rPr>
              <w:t>Chairman &amp; Managing Director</w:t>
            </w:r>
          </w:p>
        </w:tc>
        <w:tc>
          <w:tcPr>
            <w:tcW w:type="dxa" w:w="2880"/>
          </w:tcPr>
          <w:p>
            <w:pPr>
              <w:spacing w:before="40" w:after="40"/>
            </w:pPr>
            <w:r>
              <w:rPr>
                <w:rFonts w:ascii="Calibri" w:hAnsi="Calibri"/>
                <w:sz w:val="18"/>
              </w:rPr>
              <w:t>Promoter Executive Director</w:t>
            </w:r>
          </w:p>
        </w:tc>
      </w:tr>
      <w:tr>
        <w:tc>
          <w:tcPr>
            <w:tcW w:type="dxa" w:w="2880"/>
            <w:shd w:fill="E8F0FE"/>
          </w:tcPr>
          <w:p>
            <w:pPr>
              <w:spacing w:before="40" w:after="40"/>
            </w:pPr>
            <w:r>
              <w:rPr>
                <w:rFonts w:ascii="Calibri" w:hAnsi="Calibri"/>
                <w:b/>
                <w:sz w:val="18"/>
              </w:rPr>
              <w:t>Mr. Himanshu Jain</w:t>
            </w:r>
          </w:p>
        </w:tc>
        <w:tc>
          <w:tcPr>
            <w:tcW w:type="dxa" w:w="2880"/>
            <w:shd w:fill="E8F0FE"/>
          </w:tcPr>
          <w:p>
            <w:pPr>
              <w:spacing w:before="40" w:after="40"/>
            </w:pPr>
            <w:r>
              <w:rPr>
                <w:rFonts w:ascii="Calibri" w:hAnsi="Calibri"/>
                <w:sz w:val="18"/>
              </w:rPr>
              <w:t>Joint Managing Director</w:t>
            </w:r>
          </w:p>
        </w:tc>
        <w:tc>
          <w:tcPr>
            <w:tcW w:type="dxa" w:w="2880"/>
            <w:shd w:fill="E8F0FE"/>
          </w:tcPr>
          <w:p>
            <w:pPr>
              <w:spacing w:before="40" w:after="40"/>
            </w:pPr>
            <w:r>
              <w:rPr>
                <w:rFonts w:ascii="Calibri" w:hAnsi="Calibri"/>
                <w:sz w:val="18"/>
              </w:rPr>
              <w:t>Promoter Executive Director</w:t>
            </w:r>
          </w:p>
        </w:tc>
      </w:tr>
      <w:tr>
        <w:tc>
          <w:tcPr>
            <w:tcW w:type="dxa" w:w="2880"/>
          </w:tcPr>
          <w:p>
            <w:pPr>
              <w:spacing w:before="40" w:after="40"/>
            </w:pPr>
            <w:r>
              <w:rPr>
                <w:rFonts w:ascii="Calibri" w:hAnsi="Calibri"/>
                <w:b/>
                <w:sz w:val="18"/>
              </w:rPr>
              <w:t>Mr. Rishav Mehta</w:t>
            </w:r>
          </w:p>
        </w:tc>
        <w:tc>
          <w:tcPr>
            <w:tcW w:type="dxa" w:w="2880"/>
          </w:tcPr>
          <w:p>
            <w:pPr>
              <w:spacing w:before="40" w:after="40"/>
            </w:pPr>
            <w:r>
              <w:rPr>
                <w:rFonts w:ascii="Calibri" w:hAnsi="Calibri"/>
                <w:sz w:val="18"/>
              </w:rPr>
              <w:t>Executive Director</w:t>
            </w:r>
          </w:p>
        </w:tc>
        <w:tc>
          <w:tcPr>
            <w:tcW w:type="dxa" w:w="2880"/>
          </w:tcPr>
          <w:p>
            <w:pPr>
              <w:spacing w:before="40" w:after="40"/>
            </w:pPr>
            <w:r>
              <w:rPr>
                <w:rFonts w:ascii="Calibri" w:hAnsi="Calibri"/>
                <w:sz w:val="18"/>
              </w:rPr>
              <w:t>Promoter Executive Director</w:t>
            </w:r>
          </w:p>
        </w:tc>
      </w:tr>
      <w:tr>
        <w:tc>
          <w:tcPr>
            <w:tcW w:type="dxa" w:w="2880"/>
            <w:shd w:fill="E8F0FE"/>
          </w:tcPr>
          <w:p>
            <w:pPr>
              <w:spacing w:before="40" w:after="40"/>
            </w:pPr>
            <w:r>
              <w:rPr>
                <w:rFonts w:ascii="Calibri" w:hAnsi="Calibri"/>
                <w:b/>
                <w:sz w:val="18"/>
              </w:rPr>
              <w:t>Mr. Sahil Munjal</w:t>
            </w:r>
          </w:p>
        </w:tc>
        <w:tc>
          <w:tcPr>
            <w:tcW w:type="dxa" w:w="2880"/>
            <w:shd w:fill="E8F0FE"/>
          </w:tcPr>
          <w:p>
            <w:pPr>
              <w:spacing w:before="40" w:after="40"/>
            </w:pPr>
            <w:r>
              <w:rPr>
                <w:rFonts w:ascii="Calibri" w:hAnsi="Calibri"/>
                <w:sz w:val="18"/>
              </w:rPr>
              <w:t>Executive Director</w:t>
            </w:r>
          </w:p>
        </w:tc>
        <w:tc>
          <w:tcPr>
            <w:tcW w:type="dxa" w:w="2880"/>
            <w:shd w:fill="E8F0FE"/>
          </w:tcPr>
          <w:p>
            <w:pPr>
              <w:spacing w:before="40" w:after="40"/>
            </w:pPr>
            <w:r>
              <w:rPr>
                <w:rFonts w:ascii="Calibri" w:hAnsi="Calibri"/>
                <w:sz w:val="18"/>
              </w:rPr>
              <w:t>Promoter Executive Director</w:t>
            </w:r>
          </w:p>
        </w:tc>
      </w:tr>
      <w:tr>
        <w:tc>
          <w:tcPr>
            <w:tcW w:type="dxa" w:w="2880"/>
          </w:tcPr>
          <w:p>
            <w:pPr>
              <w:spacing w:before="40" w:after="40"/>
            </w:pPr>
            <w:r>
              <w:rPr>
                <w:rFonts w:ascii="Calibri" w:hAnsi="Calibri"/>
                <w:b/>
                <w:sz w:val="18"/>
              </w:rPr>
              <w:t>Ms. Neerja Chathley</w:t>
            </w:r>
          </w:p>
        </w:tc>
        <w:tc>
          <w:tcPr>
            <w:tcW w:type="dxa" w:w="2880"/>
          </w:tcPr>
          <w:p>
            <w:pPr>
              <w:spacing w:before="40" w:after="40"/>
            </w:pPr>
            <w:r>
              <w:rPr>
                <w:rFonts w:ascii="Calibri" w:hAnsi="Calibri"/>
                <w:sz w:val="18"/>
              </w:rPr>
              <w:t>Independent Woman Director</w:t>
            </w:r>
          </w:p>
        </w:tc>
        <w:tc>
          <w:tcPr>
            <w:tcW w:type="dxa" w:w="2880"/>
          </w:tcPr>
          <w:p>
            <w:pPr>
              <w:spacing w:before="40" w:after="40"/>
            </w:pPr>
            <w:r>
              <w:rPr>
                <w:rFonts w:ascii="Calibri" w:hAnsi="Calibri"/>
                <w:sz w:val="18"/>
              </w:rPr>
              <w:t>Independent Non-Executive Director</w:t>
            </w:r>
          </w:p>
        </w:tc>
      </w:tr>
      <w:tr>
        <w:tc>
          <w:tcPr>
            <w:tcW w:type="dxa" w:w="2880"/>
            <w:shd w:fill="E8F0FE"/>
          </w:tcPr>
          <w:p>
            <w:pPr>
              <w:spacing w:before="40" w:after="40"/>
            </w:pPr>
            <w:r>
              <w:rPr>
                <w:rFonts w:ascii="Calibri" w:hAnsi="Calibri"/>
                <w:b/>
                <w:sz w:val="18"/>
              </w:rPr>
              <w:t>Mr. Rajinder Kumar Gupta</w:t>
            </w:r>
          </w:p>
        </w:tc>
        <w:tc>
          <w:tcPr>
            <w:tcW w:type="dxa" w:w="2880"/>
            <w:shd w:fill="E8F0FE"/>
          </w:tcPr>
          <w:p>
            <w:pPr>
              <w:spacing w:before="40" w:after="40"/>
            </w:pPr>
            <w:r>
              <w:rPr>
                <w:rFonts w:ascii="Calibri" w:hAnsi="Calibri"/>
                <w:sz w:val="18"/>
              </w:rPr>
              <w:t>Independent Director</w:t>
            </w:r>
          </w:p>
        </w:tc>
        <w:tc>
          <w:tcPr>
            <w:tcW w:type="dxa" w:w="2880"/>
            <w:shd w:fill="E8F0FE"/>
          </w:tcPr>
          <w:p>
            <w:pPr>
              <w:spacing w:before="40" w:after="40"/>
            </w:pPr>
            <w:r>
              <w:rPr>
                <w:rFonts w:ascii="Calibri" w:hAnsi="Calibri"/>
                <w:sz w:val="18"/>
              </w:rPr>
              <w:t>Independent Non-Executive Director</w:t>
            </w:r>
          </w:p>
        </w:tc>
      </w:tr>
      <w:tr>
        <w:tc>
          <w:tcPr>
            <w:tcW w:type="dxa" w:w="2880"/>
          </w:tcPr>
          <w:p>
            <w:pPr>
              <w:spacing w:before="40" w:after="40"/>
            </w:pPr>
            <w:r>
              <w:rPr>
                <w:rFonts w:ascii="Calibri" w:hAnsi="Calibri"/>
                <w:b/>
                <w:sz w:val="18"/>
              </w:rPr>
              <w:t>Mr. Prabhat Khurana</w:t>
            </w:r>
          </w:p>
        </w:tc>
        <w:tc>
          <w:tcPr>
            <w:tcW w:type="dxa" w:w="2880"/>
          </w:tcPr>
          <w:p>
            <w:pPr>
              <w:spacing w:before="40" w:after="40"/>
            </w:pPr>
            <w:r>
              <w:rPr>
                <w:rFonts w:ascii="Calibri" w:hAnsi="Calibri"/>
                <w:sz w:val="18"/>
              </w:rPr>
              <w:t>Independent Director</w:t>
            </w:r>
          </w:p>
        </w:tc>
        <w:tc>
          <w:tcPr>
            <w:tcW w:type="dxa" w:w="2880"/>
          </w:tcPr>
          <w:p>
            <w:pPr>
              <w:spacing w:before="40" w:after="40"/>
            </w:pPr>
            <w:r>
              <w:rPr>
                <w:rFonts w:ascii="Calibri" w:hAnsi="Calibri"/>
                <w:sz w:val="18"/>
              </w:rPr>
              <w:t>Independent Non-Executive Director</w:t>
            </w:r>
          </w:p>
        </w:tc>
      </w:tr>
      <w:tr>
        <w:tc>
          <w:tcPr>
            <w:tcW w:type="dxa" w:w="2880"/>
            <w:shd w:fill="E8F0FE"/>
          </w:tcPr>
          <w:p>
            <w:pPr>
              <w:spacing w:before="40" w:after="40"/>
            </w:pPr>
            <w:r>
              <w:rPr>
                <w:rFonts w:ascii="Calibri" w:hAnsi="Calibri"/>
                <w:b/>
                <w:sz w:val="18"/>
              </w:rPr>
              <w:t>Mr. Subodh Gupta</w:t>
            </w:r>
          </w:p>
        </w:tc>
        <w:tc>
          <w:tcPr>
            <w:tcW w:type="dxa" w:w="2880"/>
            <w:shd w:fill="E8F0FE"/>
          </w:tcPr>
          <w:p>
            <w:pPr>
              <w:spacing w:before="40" w:after="40"/>
            </w:pPr>
            <w:r>
              <w:rPr>
                <w:rFonts w:ascii="Calibri" w:hAnsi="Calibri"/>
                <w:sz w:val="18"/>
              </w:rPr>
              <w:t>Independent Director</w:t>
            </w:r>
          </w:p>
        </w:tc>
        <w:tc>
          <w:tcPr>
            <w:tcW w:type="dxa" w:w="2880"/>
            <w:shd w:fill="E8F0FE"/>
          </w:tcPr>
          <w:p>
            <w:pPr>
              <w:spacing w:before="40" w:after="40"/>
            </w:pPr>
            <w:r>
              <w:rPr>
                <w:rFonts w:ascii="Calibri" w:hAnsi="Calibri"/>
                <w:sz w:val="18"/>
              </w:rPr>
              <w:t>Independent Non-Executive Director</w:t>
            </w:r>
          </w:p>
        </w:tc>
      </w:tr>
    </w:tbl>
    <w:p/>
    <w:p>
      <w:pPr>
        <w:pStyle w:val="Heading2"/>
      </w:pPr>
      <w:r>
        <w:rPr>
          <w:rFonts w:ascii="Calibri" w:hAnsi="Calibri"/>
          <w:color w:val="1F5F8B"/>
          <w:sz w:val="26"/>
        </w:rPr>
        <w:t>4.2 Governance Strengths</w:t>
      </w:r>
    </w:p>
    <w:p>
      <w:pPr>
        <w:spacing w:after="80"/>
      </w:pPr>
      <w:r>
        <w:rPr>
          <w:rFonts w:ascii="Calibri" w:hAnsi="Calibri"/>
          <w:color w:val="333333"/>
          <w:sz w:val="20"/>
        </w:rPr>
        <w:t>Ind-Swift Laboratories demonstrates several governance strengths, including an unmodified audit opinion from statutory auditors Rattan Kaur &amp; Associates for FY25, indicating robust financial reporting. The company has a well-defined internal control framework, regularly assessed by independent internal auditors, with the Audit Committee and Board actively overseeing its adequacy. A Whistle Blower Policy is in place, providing a secure channel for reporting unethical practices. The company adheres to SEBI Listing Regulations concerning corporate governance, with codes of conduct for directors and senior management readily available on its website. The board composition meets regulatory requirements, including the presence of independent directors and a woman independent director. The company also has a clear policy on determining material subsidiaries and maintains a robust management information system.</w:t>
      </w:r>
    </w:p>
    <w:p>
      <w:pPr>
        <w:pStyle w:val="Heading2"/>
      </w:pPr>
      <w:r>
        <w:rPr>
          <w:rFonts w:ascii="Calibri" w:hAnsi="Calibri"/>
          <w:color w:val="1F5F8B"/>
          <w:sz w:val="26"/>
        </w:rPr>
        <w:t>4.3 Governance Concerns / Watchpoints</w:t>
      </w:r>
    </w:p>
    <w:p>
      <w:pPr>
        <w:spacing w:after="80"/>
      </w:pPr>
      <w:r>
        <w:rPr>
          <w:rFonts w:ascii="Calibri" w:hAnsi="Calibri"/>
          <w:color w:val="333333"/>
          <w:sz w:val="20"/>
        </w:rPr>
        <w:t>While the company has made significant strides in governance post-restructuring, certain aspects warrant attention. The promoter group holds a substantial stake, and the family's significant presence in key management and board positions could lead to potential conflicts of interest, although related party transactions are disclosed and approved by the Audit Committee. The company has not declared any dividends, which, while understandable given its growth phase and reinvestment strategy, might be a concern for income-focused investors. The company has also faced minor penalties from stock exchanges for delays in regulatory filings, indicating a need for continued diligence in compliance processes. Furthermore, the annual report notes that certain immovable properties are not yet held in the company's name due to pending legal formalities, which requires ongoing monitoring.</w:t>
      </w:r>
    </w:p>
    <w:p>
      <w:pPr>
        <w:pStyle w:val="Heading2"/>
      </w:pPr>
      <w:r>
        <w:rPr>
          <w:rFonts w:ascii="Calibri" w:hAnsi="Calibri"/>
          <w:color w:val="1F5F8B"/>
          <w:sz w:val="26"/>
        </w:rPr>
        <w:t>4.4 Shareholding Pattern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Category</w:t>
            </w:r>
          </w:p>
        </w:tc>
        <w:tc>
          <w:tcPr>
            <w:tcW w:type="dxa" w:w="2880"/>
            <w:shd w:fill="1F5F8B"/>
          </w:tcPr>
          <w:p>
            <w:pPr>
              <w:spacing w:before="40" w:after="40"/>
            </w:pPr>
            <w:r>
              <w:rPr>
                <w:rFonts w:ascii="Calibri" w:hAnsi="Calibri"/>
                <w:b/>
                <w:color w:val="FFFFFF"/>
                <w:sz w:val="18"/>
              </w:rPr>
              <w:t>No. of Shares</w:t>
            </w:r>
          </w:p>
        </w:tc>
        <w:tc>
          <w:tcPr>
            <w:tcW w:type="dxa" w:w="2880"/>
            <w:shd w:fill="1F5F8B"/>
          </w:tcPr>
          <w:p>
            <w:pPr>
              <w:spacing w:before="40" w:after="40"/>
            </w:pPr>
            <w:r>
              <w:rPr>
                <w:rFonts w:ascii="Calibri" w:hAnsi="Calibri"/>
                <w:b/>
                <w:color w:val="FFFFFF"/>
                <w:sz w:val="18"/>
              </w:rPr>
              <w:t>% Holding</w:t>
            </w:r>
          </w:p>
        </w:tc>
      </w:tr>
      <w:tr>
        <w:tc>
          <w:tcPr>
            <w:tcW w:type="dxa" w:w="2880"/>
          </w:tcPr>
          <w:p>
            <w:pPr>
              <w:spacing w:before="40" w:after="40"/>
            </w:pPr>
            <w:r>
              <w:rPr>
                <w:rFonts w:ascii="Calibri" w:hAnsi="Calibri"/>
                <w:b/>
                <w:sz w:val="18"/>
              </w:rPr>
              <w:t>Promoters &amp; PAIC</w:t>
            </w:r>
          </w:p>
        </w:tc>
        <w:tc>
          <w:tcPr>
            <w:tcW w:type="dxa" w:w="2880"/>
          </w:tcPr>
          <w:p>
            <w:pPr>
              <w:spacing w:before="40" w:after="40"/>
            </w:pPr>
            <w:r>
              <w:rPr>
                <w:rFonts w:ascii="Calibri" w:hAnsi="Calibri"/>
                <w:sz w:val="18"/>
              </w:rPr>
              <w:t>2,48,18,783</w:t>
            </w:r>
          </w:p>
        </w:tc>
        <w:tc>
          <w:tcPr>
            <w:tcW w:type="dxa" w:w="2880"/>
          </w:tcPr>
          <w:p>
            <w:pPr>
              <w:spacing w:before="40" w:after="40"/>
            </w:pPr>
            <w:r>
              <w:rPr>
                <w:rFonts w:ascii="Calibri" w:hAnsi="Calibri"/>
                <w:sz w:val="18"/>
              </w:rPr>
              <w:t>40.94%</w:t>
            </w:r>
          </w:p>
        </w:tc>
      </w:tr>
      <w:tr>
        <w:tc>
          <w:tcPr>
            <w:tcW w:type="dxa" w:w="2880"/>
            <w:shd w:fill="E8F0FE"/>
          </w:tcPr>
          <w:p>
            <w:pPr>
              <w:spacing w:before="40" w:after="40"/>
            </w:pPr>
            <w:r>
              <w:rPr>
                <w:rFonts w:ascii="Calibri" w:hAnsi="Calibri"/>
                <w:b/>
                <w:sz w:val="18"/>
              </w:rPr>
              <w:t>Banks, FIs, Mutual Funds</w:t>
            </w:r>
          </w:p>
        </w:tc>
        <w:tc>
          <w:tcPr>
            <w:tcW w:type="dxa" w:w="2880"/>
            <w:shd w:fill="E8F0FE"/>
          </w:tcPr>
          <w:p>
            <w:pPr>
              <w:spacing w:before="40" w:after="40"/>
            </w:pPr>
            <w:r>
              <w:rPr>
                <w:rFonts w:ascii="Calibri" w:hAnsi="Calibri"/>
                <w:sz w:val="18"/>
              </w:rPr>
              <w:t>5,54,040</w:t>
            </w:r>
          </w:p>
        </w:tc>
        <w:tc>
          <w:tcPr>
            <w:tcW w:type="dxa" w:w="2880"/>
            <w:shd w:fill="E8F0FE"/>
          </w:tcPr>
          <w:p>
            <w:pPr>
              <w:spacing w:before="40" w:after="40"/>
            </w:pPr>
            <w:r>
              <w:rPr>
                <w:rFonts w:ascii="Calibri" w:hAnsi="Calibri"/>
                <w:sz w:val="18"/>
              </w:rPr>
              <w:t>0.91%</w:t>
            </w:r>
          </w:p>
        </w:tc>
      </w:tr>
      <w:tr>
        <w:tc>
          <w:tcPr>
            <w:tcW w:type="dxa" w:w="2880"/>
          </w:tcPr>
          <w:p>
            <w:pPr>
              <w:spacing w:before="40" w:after="40"/>
            </w:pPr>
            <w:r>
              <w:rPr>
                <w:rFonts w:ascii="Calibri" w:hAnsi="Calibri"/>
                <w:b/>
                <w:sz w:val="18"/>
              </w:rPr>
              <w:t>FIIs, NRIs &amp; FPI</w:t>
            </w:r>
          </w:p>
        </w:tc>
        <w:tc>
          <w:tcPr>
            <w:tcW w:type="dxa" w:w="2880"/>
          </w:tcPr>
          <w:p>
            <w:pPr>
              <w:spacing w:before="40" w:after="40"/>
            </w:pPr>
            <w:r>
              <w:rPr>
                <w:rFonts w:ascii="Calibri" w:hAnsi="Calibri"/>
                <w:sz w:val="18"/>
              </w:rPr>
              <w:t>24,19,120</w:t>
            </w:r>
          </w:p>
        </w:tc>
        <w:tc>
          <w:tcPr>
            <w:tcW w:type="dxa" w:w="2880"/>
          </w:tcPr>
          <w:p>
            <w:pPr>
              <w:spacing w:before="40" w:after="40"/>
            </w:pPr>
            <w:r>
              <w:rPr>
                <w:rFonts w:ascii="Calibri" w:hAnsi="Calibri"/>
                <w:sz w:val="18"/>
              </w:rPr>
              <w:t>3.99%</w:t>
            </w:r>
          </w:p>
        </w:tc>
      </w:tr>
      <w:tr>
        <w:tc>
          <w:tcPr>
            <w:tcW w:type="dxa" w:w="2880"/>
            <w:shd w:fill="E8F0FE"/>
          </w:tcPr>
          <w:p>
            <w:pPr>
              <w:spacing w:before="40" w:after="40"/>
            </w:pPr>
            <w:r>
              <w:rPr>
                <w:rFonts w:ascii="Calibri" w:hAnsi="Calibri"/>
                <w:b/>
                <w:sz w:val="18"/>
              </w:rPr>
              <w:t>Private Corporate Bodies</w:t>
            </w:r>
          </w:p>
        </w:tc>
        <w:tc>
          <w:tcPr>
            <w:tcW w:type="dxa" w:w="2880"/>
            <w:shd w:fill="E8F0FE"/>
          </w:tcPr>
          <w:p>
            <w:pPr>
              <w:spacing w:before="40" w:after="40"/>
            </w:pPr>
            <w:r>
              <w:rPr>
                <w:rFonts w:ascii="Calibri" w:hAnsi="Calibri"/>
                <w:sz w:val="18"/>
              </w:rPr>
              <w:t>84,79,631</w:t>
            </w:r>
          </w:p>
        </w:tc>
        <w:tc>
          <w:tcPr>
            <w:tcW w:type="dxa" w:w="2880"/>
            <w:shd w:fill="E8F0FE"/>
          </w:tcPr>
          <w:p>
            <w:pPr>
              <w:spacing w:before="40" w:after="40"/>
            </w:pPr>
            <w:r>
              <w:rPr>
                <w:rFonts w:ascii="Calibri" w:hAnsi="Calibri"/>
                <w:sz w:val="18"/>
              </w:rPr>
              <w:t>13.99%</w:t>
            </w:r>
          </w:p>
        </w:tc>
      </w:tr>
      <w:tr>
        <w:tc>
          <w:tcPr>
            <w:tcW w:type="dxa" w:w="2880"/>
          </w:tcPr>
          <w:p>
            <w:pPr>
              <w:spacing w:before="40" w:after="40"/>
            </w:pPr>
            <w:r>
              <w:rPr>
                <w:rFonts w:ascii="Calibri" w:hAnsi="Calibri"/>
                <w:b/>
                <w:sz w:val="18"/>
              </w:rPr>
              <w:t>Indian Public &amp; Others</w:t>
            </w:r>
          </w:p>
        </w:tc>
        <w:tc>
          <w:tcPr>
            <w:tcW w:type="dxa" w:w="2880"/>
          </w:tcPr>
          <w:p>
            <w:pPr>
              <w:spacing w:before="40" w:after="40"/>
            </w:pPr>
            <w:r>
              <w:rPr>
                <w:rFonts w:ascii="Calibri" w:hAnsi="Calibri"/>
                <w:sz w:val="18"/>
              </w:rPr>
              <w:t>2,43,47,286</w:t>
            </w:r>
          </w:p>
        </w:tc>
        <w:tc>
          <w:tcPr>
            <w:tcW w:type="dxa" w:w="2880"/>
          </w:tcPr>
          <w:p>
            <w:pPr>
              <w:spacing w:before="40" w:after="40"/>
            </w:pPr>
            <w:r>
              <w:rPr>
                <w:rFonts w:ascii="Calibri" w:hAnsi="Calibri"/>
                <w:sz w:val="18"/>
              </w:rPr>
              <w:t>40.16%</w:t>
            </w:r>
          </w:p>
        </w:tc>
      </w:tr>
      <w:tr>
        <w:tc>
          <w:tcPr>
            <w:tcW w:type="dxa" w:w="2880"/>
            <w:shd w:fill="E8F0FE"/>
          </w:tcPr>
          <w:p>
            <w:pPr>
              <w:spacing w:before="40" w:after="40"/>
            </w:pPr>
            <w:r>
              <w:rPr>
                <w:rFonts w:ascii="Calibri" w:hAnsi="Calibri"/>
                <w:b/>
                <w:sz w:val="18"/>
              </w:rPr>
              <w:t>Total</w:t>
            </w:r>
          </w:p>
        </w:tc>
        <w:tc>
          <w:tcPr>
            <w:tcW w:type="dxa" w:w="2880"/>
            <w:shd w:fill="E8F0FE"/>
          </w:tcPr>
          <w:p>
            <w:pPr>
              <w:spacing w:before="40" w:after="40"/>
            </w:pPr>
            <w:r>
              <w:rPr>
                <w:rFonts w:ascii="Calibri" w:hAnsi="Calibri"/>
                <w:sz w:val="18"/>
              </w:rPr>
              <w:t>6,06,18,860</w:t>
            </w:r>
          </w:p>
        </w:tc>
        <w:tc>
          <w:tcPr>
            <w:tcW w:type="dxa" w:w="2880"/>
            <w:shd w:fill="E8F0FE"/>
          </w:tcPr>
          <w:p>
            <w:pPr>
              <w:spacing w:before="40" w:after="40"/>
            </w:pPr>
            <w:r>
              <w:rPr>
                <w:rFonts w:ascii="Calibri" w:hAnsi="Calibri"/>
                <w:sz w:val="18"/>
              </w:rPr>
              <w:t>100.00%</w:t>
            </w:r>
          </w:p>
        </w:tc>
      </w:tr>
    </w:tbl>
    <w:p/>
    <w:p>
      <w:r>
        <w:rPr>
          <w:rFonts w:ascii="Calibri" w:hAnsi="Calibri"/>
          <w:i/>
          <w:color w:val="666666"/>
          <w:sz w:val="18"/>
        </w:rPr>
        <w:t>Note: Promoter holding includes shares held by Essix Biosciences Limited (36.83%) and other promoter group entities.</w:t>
      </w:r>
    </w:p>
    <w:p>
      <w:pPr>
        <w:pStyle w:val="Heading2"/>
      </w:pPr>
      <w:r>
        <w:rPr>
          <w:rFonts w:ascii="Calibri" w:hAnsi="Calibri"/>
          <w:color w:val="1F5F8B"/>
          <w:sz w:val="26"/>
        </w:rPr>
        <w:t>4.5 Insider Trading Activity (Last 3 Years)</w:t>
      </w:r>
    </w:p>
    <w:p>
      <w:pPr>
        <w:spacing w:after="80"/>
      </w:pPr>
      <w:r>
        <w:rPr>
          <w:rFonts w:ascii="Calibri" w:hAnsi="Calibri"/>
          <w:color w:val="333333"/>
          <w:sz w:val="20"/>
        </w:rPr>
        <w:t>Based on the provided SAST disclosures, the following market purchases and sales by insiders have been identified:</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Transaction Type</w:t>
            </w:r>
          </w:p>
        </w:tc>
        <w:tc>
          <w:tcPr>
            <w:tcW w:type="dxa" w:w="2880"/>
            <w:shd w:fill="1F5F8B"/>
          </w:tcPr>
          <w:p>
            <w:pPr>
              <w:spacing w:before="40" w:after="40"/>
            </w:pPr>
            <w:r>
              <w:rPr>
                <w:rFonts w:ascii="Calibri" w:hAnsi="Calibri"/>
                <w:b/>
                <w:color w:val="FFFFFF"/>
                <w:sz w:val="18"/>
              </w:rPr>
              <w:t>Total Shares</w:t>
            </w:r>
          </w:p>
        </w:tc>
        <w:tc>
          <w:tcPr>
            <w:tcW w:type="dxa" w:w="2880"/>
            <w:shd w:fill="1F5F8B"/>
          </w:tcPr>
          <w:p>
            <w:pPr>
              <w:spacing w:before="40" w:after="40"/>
            </w:pPr>
            <w:r>
              <w:rPr>
                <w:rFonts w:ascii="Calibri" w:hAnsi="Calibri"/>
                <w:b/>
                <w:color w:val="FFFFFF"/>
                <w:sz w:val="18"/>
              </w:rPr>
              <w:t>Total Value (Rs.)</w:t>
            </w:r>
          </w:p>
        </w:tc>
      </w:tr>
      <w:tr>
        <w:tc>
          <w:tcPr>
            <w:tcW w:type="dxa" w:w="2880"/>
          </w:tcPr>
          <w:p>
            <w:pPr>
              <w:spacing w:before="40" w:after="40"/>
            </w:pPr>
            <w:r>
              <w:rPr>
                <w:rFonts w:ascii="Calibri" w:hAnsi="Calibri"/>
                <w:b/>
                <w:sz w:val="18"/>
              </w:rPr>
              <w:t>Market Purchases</w:t>
            </w:r>
          </w:p>
        </w:tc>
        <w:tc>
          <w:tcPr>
            <w:tcW w:type="dxa" w:w="2880"/>
          </w:tcPr>
          <w:p>
            <w:pPr>
              <w:spacing w:before="40" w:after="40"/>
            </w:pPr>
            <w:r>
              <w:rPr>
                <w:rFonts w:ascii="Calibri" w:hAnsi="Calibri"/>
                <w:sz w:val="18"/>
              </w:rPr>
              <w:t>0</w:t>
            </w:r>
          </w:p>
        </w:tc>
        <w:tc>
          <w:tcPr>
            <w:tcW w:type="dxa" w:w="2880"/>
          </w:tcPr>
          <w:p>
            <w:pPr>
              <w:spacing w:before="40" w:after="40"/>
            </w:pPr>
            <w:r>
              <w:rPr>
                <w:rFonts w:ascii="Calibri" w:hAnsi="Calibri"/>
                <w:sz w:val="18"/>
              </w:rPr>
              <w:t>0</w:t>
            </w:r>
          </w:p>
        </w:tc>
      </w:tr>
      <w:tr>
        <w:tc>
          <w:tcPr>
            <w:tcW w:type="dxa" w:w="2880"/>
            <w:shd w:fill="E8F0FE"/>
          </w:tcPr>
          <w:p>
            <w:pPr>
              <w:spacing w:before="40" w:after="40"/>
            </w:pPr>
            <w:r>
              <w:rPr>
                <w:rFonts w:ascii="Calibri" w:hAnsi="Calibri"/>
                <w:b/>
                <w:sz w:val="18"/>
              </w:rPr>
              <w:t>Market Sales</w:t>
            </w:r>
          </w:p>
        </w:tc>
        <w:tc>
          <w:tcPr>
            <w:tcW w:type="dxa" w:w="2880"/>
            <w:shd w:fill="E8F0FE"/>
          </w:tcPr>
          <w:p>
            <w:pPr>
              <w:spacing w:before="40" w:after="40"/>
            </w:pPr>
            <w:r>
              <w:rPr>
                <w:rFonts w:ascii="Calibri" w:hAnsi="Calibri"/>
                <w:sz w:val="18"/>
              </w:rPr>
              <w:t>0</w:t>
            </w:r>
          </w:p>
        </w:tc>
        <w:tc>
          <w:tcPr>
            <w:tcW w:type="dxa" w:w="2880"/>
            <w:shd w:fill="E8F0FE"/>
          </w:tcPr>
          <w:p>
            <w:pPr>
              <w:spacing w:before="40" w:after="40"/>
            </w:pPr>
            <w:r>
              <w:rPr>
                <w:rFonts w:ascii="Calibri" w:hAnsi="Calibri"/>
                <w:sz w:val="18"/>
              </w:rPr>
              <w:t>0</w:t>
            </w:r>
          </w:p>
        </w:tc>
      </w:tr>
      <w:tr>
        <w:tc>
          <w:tcPr>
            <w:tcW w:type="dxa" w:w="2880"/>
          </w:tcPr>
          <w:p>
            <w:pPr>
              <w:spacing w:before="40" w:after="40"/>
            </w:pPr>
            <w:r>
              <w:rPr>
                <w:rFonts w:ascii="Calibri" w:hAnsi="Calibri"/>
                <w:b/>
                <w:sz w:val="18"/>
              </w:rPr>
              <w:t>**Net Position**</w:t>
            </w:r>
          </w:p>
        </w:tc>
        <w:tc>
          <w:tcPr>
            <w:tcW w:type="dxa" w:w="2880"/>
          </w:tcPr>
          <w:p>
            <w:pPr>
              <w:spacing w:before="40" w:after="40"/>
            </w:pPr>
            <w:r>
              <w:rPr>
                <w:rFonts w:ascii="Calibri" w:hAnsi="Calibri"/>
                <w:sz w:val="18"/>
              </w:rPr>
              <w:t>**0**</w:t>
            </w:r>
          </w:p>
        </w:tc>
        <w:tc>
          <w:tcPr>
            <w:tcW w:type="dxa" w:w="2880"/>
          </w:tcPr>
          <w:p>
            <w:pPr>
              <w:spacing w:before="40" w:after="40"/>
            </w:pPr>
            <w:r>
              <w:rPr>
                <w:rFonts w:ascii="Calibri" w:hAnsi="Calibri"/>
                <w:sz w:val="18"/>
              </w:rPr>
              <w:t>**0**</w:t>
            </w:r>
          </w:p>
        </w:tc>
      </w:tr>
    </w:tbl>
    <w:p/>
    <w:p>
      <w:r>
        <w:rPr>
          <w:rFonts w:ascii="Calibri" w:hAnsi="Calibri"/>
          <w:i/>
          <w:color w:val="666666"/>
          <w:sz w:val="18"/>
        </w:rPr>
        <w:t>Note: The SAST disclosures primarily relate to share allocations pursuant to the amalgamation and preferential allotment of warrants, rather than open market transactions by insiders. Therefore, no net market purchase or sale activity by insiders is evident from the provided data.</w:t>
      </w:r>
    </w:p>
    <w:p>
      <w:pPr>
        <w:pStyle w:val="Heading1"/>
      </w:pPr>
      <w:r>
        <w:rPr>
          <w:rFonts w:ascii="Calibri" w:hAnsi="Calibri"/>
          <w:color w:val="1F5F8B"/>
          <w:sz w:val="32"/>
        </w:rPr>
        <w:t>5. Company &amp; Business Quality Assessment</w:t>
      </w:r>
    </w:p>
    <w:p>
      <w:pPr>
        <w:spacing w:before="0" w:after="120"/>
      </w:pPr>
    </w:p>
    <w:p>
      <w:pPr>
        <w:pStyle w:val="Heading2"/>
      </w:pPr>
      <w:r>
        <w:rPr>
          <w:rFonts w:ascii="Calibri" w:hAnsi="Calibri"/>
          <w:color w:val="1F5F8B"/>
          <w:sz w:val="26"/>
        </w:rPr>
        <w:t>5.1 Business Model</w:t>
      </w:r>
    </w:p>
    <w:p>
      <w:pPr>
        <w:spacing w:after="80"/>
      </w:pPr>
      <w:r>
        <w:rPr>
          <w:rFonts w:ascii="Calibri" w:hAnsi="Calibri"/>
          <w:color w:val="333333"/>
          <w:sz w:val="20"/>
        </w:rPr>
        <w:t>Ind-Swift Laboratories operates a diversified business model centered around finished dosage formulations (FDFs), catering to both domestic and international markets. The company's strategy is built around several key growth avenues:</w:t>
      </w:r>
    </w:p>
    <w:p>
      <w:pPr>
        <w:pStyle w:val="ListBullet"/>
        <w:spacing w:after="80"/>
      </w:pPr>
      <w:r>
        <w:rPr>
          <w:rFonts w:ascii="Calibri" w:hAnsi="Calibri"/>
          <w:color w:val="333333"/>
          <w:sz w:val="20"/>
        </w:rPr>
        <w:t xml:space="preserve">  </w:t>
      </w:r>
      <w:r>
        <w:rPr>
          <w:rFonts w:ascii="Calibri" w:hAnsi="Calibri"/>
          <w:b/>
          <w:color w:val="333333"/>
          <w:sz w:val="20"/>
        </w:rPr>
        <w:t>Global Business Unit (GBU):</w:t>
      </w:r>
      <w:r>
        <w:rPr>
          <w:rFonts w:ascii="Calibri" w:hAnsi="Calibri"/>
          <w:color w:val="333333"/>
          <w:sz w:val="20"/>
        </w:rPr>
        <w:t xml:space="preserve"> This 100% export-oriented unit, located in Derabassi, Punjab, is the primary engine for international expansion. It specializes in oral solid dosage forms (tablets, capsules, sachets, stick packs) and holds approvals from UK MHRA, TGA (Australia), Health Canada, EU-GMP, and WHO-GMP. The GBU focuses on Contract Manufacturing (CMO) for global generic majors like Viatris, Chanelle, Wockhardt, and Teva, alongside proprietary product sales and dossier out-licensing. Its annual capacity includes 9,600 million tablets, 186 million capsules, and 117.80 million sachets/stick packs. The GBU contributes significantly to the company's export revenue, which accounted for approximately 75% of total revenues in FY25.</w:t>
      </w:r>
    </w:p>
    <w:p>
      <w:pPr>
        <w:pStyle w:val="ListBullet"/>
        <w:spacing w:after="80"/>
      </w:pPr>
      <w:r>
        <w:rPr>
          <w:rFonts w:ascii="Calibri" w:hAnsi="Calibri"/>
          <w:color w:val="333333"/>
          <w:sz w:val="20"/>
        </w:rPr>
        <w:t xml:space="preserve">  </w:t>
      </w:r>
      <w:r>
        <w:rPr>
          <w:rFonts w:ascii="Calibri" w:hAnsi="Calibri"/>
          <w:b/>
          <w:color w:val="333333"/>
          <w:sz w:val="20"/>
        </w:rPr>
        <w:t>Domestic Business:</w:t>
      </w:r>
      <w:r>
        <w:rPr>
          <w:rFonts w:ascii="Calibri" w:hAnsi="Calibri"/>
          <w:color w:val="333333"/>
          <w:sz w:val="20"/>
        </w:rPr>
        <w:t xml:space="preserve"> The domestic operations are structured to provide stability and consistent cash flow. This segment includes:</w:t>
      </w:r>
    </w:p>
    <w:p>
      <w:pPr>
        <w:pStyle w:val="ListBullet"/>
        <w:spacing w:after="80"/>
      </w:pPr>
      <w:r>
        <w:rPr>
          <w:rFonts w:ascii="Calibri" w:hAnsi="Calibri"/>
          <w:color w:val="333333"/>
          <w:sz w:val="20"/>
        </w:rPr>
        <w:t xml:space="preserve">  </w:t>
      </w:r>
      <w:r>
        <w:rPr>
          <w:rFonts w:ascii="Calibri" w:hAnsi="Calibri"/>
          <w:b/>
          <w:color w:val="333333"/>
          <w:sz w:val="20"/>
        </w:rPr>
        <w:t>Ethical Division:</w:t>
      </w:r>
      <w:r>
        <w:rPr>
          <w:rFonts w:ascii="Calibri" w:hAnsi="Calibri"/>
          <w:color w:val="333333"/>
          <w:sz w:val="20"/>
        </w:rPr>
        <w:t xml:space="preserve"> Focuses on branded formulations marketed directly to doctors, with a strong presence in gynaecology and paediatrics. It reported 15% revenue growth in FY25, driven by flagship brands and new product launches like Matravi. The division aims to expand into cardiovascular, diabetology, and anti-infectives.</w:t>
      </w:r>
    </w:p>
    <w:p>
      <w:pPr>
        <w:pStyle w:val="ListBullet"/>
        <w:spacing w:after="80"/>
      </w:pPr>
      <w:r>
        <w:rPr>
          <w:rFonts w:ascii="Calibri" w:hAnsi="Calibri"/>
          <w:color w:val="333333"/>
          <w:sz w:val="20"/>
        </w:rPr>
        <w:t xml:space="preserve">  </w:t>
      </w:r>
      <w:r>
        <w:rPr>
          <w:rFonts w:ascii="Calibri" w:hAnsi="Calibri"/>
          <w:b/>
          <w:color w:val="333333"/>
          <w:sz w:val="20"/>
        </w:rPr>
        <w:t>Generics Division:</w:t>
      </w:r>
      <w:r>
        <w:rPr>
          <w:rFonts w:ascii="Calibri" w:hAnsi="Calibri"/>
          <w:color w:val="333333"/>
          <w:sz w:val="20"/>
        </w:rPr>
        <w:t xml:space="preserve"> A long-standing business with a portfolio of over 700 products. The company has restructured this division with a Direct-to-Stockist (DTS) approach and launched the Agile Division with a specialty-focused portfolio.</w:t>
      </w:r>
    </w:p>
    <w:p>
      <w:pPr>
        <w:pStyle w:val="ListBullet"/>
        <w:spacing w:after="80"/>
      </w:pPr>
      <w:r>
        <w:rPr>
          <w:rFonts w:ascii="Calibri" w:hAnsi="Calibri"/>
          <w:color w:val="333333"/>
          <w:sz w:val="20"/>
        </w:rPr>
        <w:t xml:space="preserve">  </w:t>
      </w:r>
      <w:r>
        <w:rPr>
          <w:rFonts w:ascii="Calibri" w:hAnsi="Calibri"/>
          <w:b/>
          <w:color w:val="333333"/>
          <w:sz w:val="20"/>
        </w:rPr>
        <w:t>Nova Division:</w:t>
      </w:r>
      <w:r>
        <w:rPr>
          <w:rFonts w:ascii="Calibri" w:hAnsi="Calibri"/>
          <w:color w:val="333333"/>
          <w:sz w:val="20"/>
        </w:rPr>
        <w:t xml:space="preserve"> Offers multi-specialty pharmaceutical products manufactured on customer requirements with advance payment terms, ensuring robust cash flow.</w:t>
      </w:r>
    </w:p>
    <w:p>
      <w:pPr>
        <w:pStyle w:val="ListBullet"/>
        <w:spacing w:after="80"/>
      </w:pPr>
      <w:r>
        <w:rPr>
          <w:rFonts w:ascii="Calibri" w:hAnsi="Calibri"/>
          <w:color w:val="333333"/>
          <w:sz w:val="20"/>
        </w:rPr>
        <w:t xml:space="preserve">  </w:t>
      </w:r>
      <w:r>
        <w:rPr>
          <w:rFonts w:ascii="Calibri" w:hAnsi="Calibri"/>
          <w:b/>
          <w:color w:val="333333"/>
          <w:sz w:val="20"/>
        </w:rPr>
        <w:t>P2P (Peer-to-Peer / Contract Manufacturing):</w:t>
      </w:r>
      <w:r>
        <w:rPr>
          <w:rFonts w:ascii="Calibri" w:hAnsi="Calibri"/>
          <w:color w:val="333333"/>
          <w:sz w:val="20"/>
        </w:rPr>
        <w:t xml:space="preserve"> Engaged in loan licensing and contract manufacturing for leading Indian pharma companies like Dr. Reddy's, Sun Pharma, Lupin, and Cipla, leveraging its manufacturing capabilities.</w:t>
      </w:r>
    </w:p>
    <w:p>
      <w:pPr>
        <w:spacing w:after="80"/>
      </w:pPr>
      <w:r>
        <w:rPr>
          <w:rFonts w:ascii="Calibri" w:hAnsi="Calibri"/>
          <w:color w:val="333333"/>
          <w:sz w:val="20"/>
        </w:rPr>
        <w:t>The company's overall strategy emphasizes a balanced growth equation between exports and domestic sales, with a clear focus on expanding its presence in regulated markets while accelerating growth in high-potential emerging economies.</w:t>
      </w:r>
    </w:p>
    <w:p>
      <w:pPr>
        <w:pStyle w:val="Heading2"/>
      </w:pPr>
      <w:r>
        <w:rPr>
          <w:rFonts w:ascii="Calibri" w:hAnsi="Calibri"/>
          <w:color w:val="1F5F8B"/>
          <w:sz w:val="26"/>
        </w:rPr>
        <w:t>5.2 Competitive Advantages (Moats)</w:t>
      </w:r>
    </w:p>
    <w:p>
      <w:pPr>
        <w:pStyle w:val="ListBullet"/>
        <w:spacing w:after="80"/>
      </w:pPr>
      <w:r>
        <w:rPr>
          <w:rFonts w:ascii="Calibri" w:hAnsi="Calibri"/>
          <w:color w:val="333333"/>
          <w:sz w:val="20"/>
        </w:rPr>
        <w:t xml:space="preserve">  </w:t>
      </w:r>
      <w:r>
        <w:rPr>
          <w:rFonts w:ascii="Calibri" w:hAnsi="Calibri"/>
          <w:b/>
          <w:color w:val="333333"/>
          <w:sz w:val="20"/>
        </w:rPr>
        <w:t>Strategic Transformation &amp; Debt-Free Status:</w:t>
      </w:r>
      <w:r>
        <w:rPr>
          <w:rFonts w:ascii="Calibri" w:hAnsi="Calibri"/>
          <w:color w:val="333333"/>
          <w:sz w:val="20"/>
        </w:rPr>
        <w:t xml:space="preserve"> The successful divestment of API business and merger has resulted in a debt-free balance sheet, providing significant financial flexibility for growth initiatives and reducing financial risk.</w:t>
      </w:r>
    </w:p>
    <w:p>
      <w:pPr>
        <w:pStyle w:val="ListBullet"/>
        <w:spacing w:after="80"/>
      </w:pPr>
      <w:r>
        <w:rPr>
          <w:rFonts w:ascii="Calibri" w:hAnsi="Calibri"/>
          <w:color w:val="333333"/>
          <w:sz w:val="20"/>
        </w:rPr>
        <w:t xml:space="preserve">  </w:t>
      </w:r>
      <w:r>
        <w:rPr>
          <w:rFonts w:ascii="Calibri" w:hAnsi="Calibri"/>
          <w:b/>
          <w:color w:val="333333"/>
          <w:sz w:val="20"/>
        </w:rPr>
        <w:t>Pure-Play Formulation Focus:</w:t>
      </w:r>
      <w:r>
        <w:rPr>
          <w:rFonts w:ascii="Calibri" w:hAnsi="Calibri"/>
          <w:color w:val="333333"/>
          <w:sz w:val="20"/>
        </w:rPr>
        <w:t xml:space="preserve"> The company's exclusive concentration on the high-margin FDF segment allows for sharper capital allocation and operational focus, aligning with strong market growth trends.</w:t>
      </w:r>
    </w:p>
    <w:p>
      <w:pPr>
        <w:pStyle w:val="ListBullet"/>
        <w:spacing w:after="80"/>
      </w:pPr>
      <w:r>
        <w:rPr>
          <w:rFonts w:ascii="Calibri" w:hAnsi="Calibri"/>
          <w:color w:val="333333"/>
          <w:sz w:val="20"/>
        </w:rPr>
        <w:t xml:space="preserve">  </w:t>
      </w:r>
      <w:r>
        <w:rPr>
          <w:rFonts w:ascii="Calibri" w:hAnsi="Calibri"/>
          <w:b/>
          <w:color w:val="333333"/>
          <w:sz w:val="20"/>
        </w:rPr>
        <w:t>Global Regulatory Approvals:</w:t>
      </w:r>
      <w:r>
        <w:rPr>
          <w:rFonts w:ascii="Calibri" w:hAnsi="Calibri"/>
          <w:color w:val="333333"/>
          <w:sz w:val="20"/>
        </w:rPr>
        <w:t xml:space="preserve"> Facilities are accredited by leading international regulatory bodies including UK MHRA, TGA, Health Canada, and EU-GMP, enabling access to highly regulated and lucrative markets.</w:t>
      </w:r>
    </w:p>
    <w:p>
      <w:pPr>
        <w:pStyle w:val="ListBullet"/>
        <w:spacing w:after="80"/>
      </w:pPr>
      <w:r>
        <w:rPr>
          <w:rFonts w:ascii="Calibri" w:hAnsi="Calibri"/>
          <w:color w:val="333333"/>
          <w:sz w:val="20"/>
        </w:rPr>
        <w:t xml:space="preserve">  </w:t>
      </w:r>
      <w:r>
        <w:rPr>
          <w:rFonts w:ascii="Calibri" w:hAnsi="Calibri"/>
          <w:b/>
          <w:color w:val="333333"/>
          <w:sz w:val="20"/>
        </w:rPr>
        <w:t>Robust R&amp;D Capabilities:</w:t>
      </w:r>
      <w:r>
        <w:rPr>
          <w:rFonts w:ascii="Calibri" w:hAnsi="Calibri"/>
          <w:color w:val="333333"/>
          <w:sz w:val="20"/>
        </w:rPr>
        <w:t xml:space="preserve"> A dedicated R&amp;D center with over 50 scientists focuses on differentiated formulations, novel drug delivery systems, and complex generics, with a pipeline of over 30 products for regulated markets and two patents filed in FY25.</w:t>
      </w:r>
    </w:p>
    <w:p>
      <w:pPr>
        <w:pStyle w:val="ListBullet"/>
        <w:spacing w:after="80"/>
      </w:pPr>
      <w:r>
        <w:rPr>
          <w:rFonts w:ascii="Calibri" w:hAnsi="Calibri"/>
          <w:color w:val="333333"/>
          <w:sz w:val="20"/>
        </w:rPr>
        <w:t xml:space="preserve">  </w:t>
      </w:r>
      <w:r>
        <w:rPr>
          <w:rFonts w:ascii="Calibri" w:hAnsi="Calibri"/>
          <w:b/>
          <w:color w:val="333333"/>
          <w:sz w:val="20"/>
        </w:rPr>
        <w:t>Strong CDMO Partnerships:</w:t>
      </w:r>
      <w:r>
        <w:rPr>
          <w:rFonts w:ascii="Calibri" w:hAnsi="Calibri"/>
          <w:color w:val="333333"/>
          <w:sz w:val="20"/>
        </w:rPr>
        <w:t xml:space="preserve"> Long-standing relationships with global pharmaceutical majors like Viatris, Chanelle, Wockhardt, and Teva provide consistent revenue streams and visibility through contract manufacturing and co-development projects.</w:t>
      </w:r>
    </w:p>
    <w:p>
      <w:pPr>
        <w:pStyle w:val="ListBullet"/>
        <w:spacing w:after="80"/>
      </w:pPr>
      <w:r>
        <w:rPr>
          <w:rFonts w:ascii="Calibri" w:hAnsi="Calibri"/>
          <w:color w:val="333333"/>
          <w:sz w:val="20"/>
        </w:rPr>
        <w:t xml:space="preserve">  </w:t>
      </w:r>
      <w:r>
        <w:rPr>
          <w:rFonts w:ascii="Calibri" w:hAnsi="Calibri"/>
          <w:b/>
          <w:color w:val="333333"/>
          <w:sz w:val="20"/>
        </w:rPr>
        <w:t>Extensive Market Reach:</w:t>
      </w:r>
      <w:r>
        <w:rPr>
          <w:rFonts w:ascii="Calibri" w:hAnsi="Calibri"/>
          <w:color w:val="333333"/>
          <w:sz w:val="20"/>
        </w:rPr>
        <w:t xml:space="preserve"> Presence in over 85 countries, with a strong focus on Europe, Africa, and Southeast Asia, supported by a network of marketing teams and over 750 product registrations.</w:t>
      </w:r>
    </w:p>
    <w:p>
      <w:pPr>
        <w:pStyle w:val="ListBullet"/>
        <w:spacing w:after="80"/>
      </w:pPr>
      <w:r>
        <w:rPr>
          <w:rFonts w:ascii="Calibri" w:hAnsi="Calibri"/>
          <w:color w:val="333333"/>
          <w:sz w:val="20"/>
        </w:rPr>
        <w:t xml:space="preserve">  </w:t>
      </w:r>
      <w:r>
        <w:rPr>
          <w:rFonts w:ascii="Calibri" w:hAnsi="Calibri"/>
          <w:b/>
          <w:color w:val="333333"/>
          <w:sz w:val="20"/>
        </w:rPr>
        <w:t>Operational Excellence:</w:t>
      </w:r>
      <w:r>
        <w:rPr>
          <w:rFonts w:ascii="Calibri" w:hAnsi="Calibri"/>
          <w:color w:val="333333"/>
          <w:sz w:val="20"/>
        </w:rPr>
        <w:t xml:space="preserve"> High Delivered in Full, On Time (DIFOT) performance of 97% ensures reliability and customer satisfaction, reinforcing its position as a trusted global supplier.</w:t>
      </w:r>
    </w:p>
    <w:p>
      <w:pPr>
        <w:pStyle w:val="ListBullet"/>
        <w:spacing w:after="80"/>
      </w:pPr>
      <w:r>
        <w:rPr>
          <w:rFonts w:ascii="Calibri" w:hAnsi="Calibri"/>
          <w:color w:val="333333"/>
          <w:sz w:val="20"/>
        </w:rPr>
        <w:t xml:space="preserve">  </w:t>
      </w:r>
      <w:r>
        <w:rPr>
          <w:rFonts w:ascii="Calibri" w:hAnsi="Calibri"/>
          <w:b/>
          <w:color w:val="333333"/>
          <w:sz w:val="20"/>
        </w:rPr>
        <w:t>Integrated Manufacturing Facilities:</w:t>
      </w:r>
      <w:r>
        <w:rPr>
          <w:rFonts w:ascii="Calibri" w:hAnsi="Calibri"/>
          <w:color w:val="333333"/>
          <w:sz w:val="20"/>
        </w:rPr>
        <w:t xml:space="preserve"> State-of-the-art manufacturing infrastructure with significant capacities for tablets, capsules, and sachets, designed for scalability and regulatory compliance.</w:t>
      </w:r>
    </w:p>
    <w:p>
      <w:pPr>
        <w:pStyle w:val="Heading2"/>
      </w:pPr>
      <w:r>
        <w:rPr>
          <w:rFonts w:ascii="Calibri" w:hAnsi="Calibri"/>
          <w:color w:val="1F5F8B"/>
          <w:sz w:val="26"/>
        </w:rPr>
        <w:t>5.3 Risks &amp; Weaknesses</w:t>
      </w:r>
    </w:p>
    <w:p>
      <w:pPr>
        <w:pStyle w:val="ListBullet"/>
        <w:spacing w:after="80"/>
      </w:pPr>
      <w:r>
        <w:rPr>
          <w:rFonts w:ascii="Calibri" w:hAnsi="Calibri"/>
          <w:color w:val="333333"/>
          <w:sz w:val="20"/>
        </w:rPr>
        <w:t xml:space="preserve">  </w:t>
      </w:r>
      <w:r>
        <w:rPr>
          <w:rFonts w:ascii="Calibri" w:hAnsi="Calibri"/>
          <w:b/>
          <w:color w:val="333333"/>
          <w:sz w:val="20"/>
        </w:rPr>
        <w:t>Execution Risk:</w:t>
      </w:r>
      <w:r>
        <w:rPr>
          <w:rFonts w:ascii="Calibri" w:hAnsi="Calibri"/>
          <w:color w:val="333333"/>
          <w:sz w:val="20"/>
        </w:rPr>
        <w:t xml:space="preserve"> The company's ambitious growth targets, including doubling revenue by FY29 and expanding into new geographies and therapeutic areas, carry execution risk. Successful scaling of operations, market penetration, and new product launches are critical.</w:t>
      </w:r>
    </w:p>
    <w:p>
      <w:pPr>
        <w:pStyle w:val="ListBullet"/>
        <w:spacing w:after="80"/>
      </w:pPr>
      <w:r>
        <w:rPr>
          <w:rFonts w:ascii="Calibri" w:hAnsi="Calibri"/>
          <w:color w:val="333333"/>
          <w:sz w:val="20"/>
        </w:rPr>
        <w:t xml:space="preserve">  </w:t>
      </w:r>
      <w:r>
        <w:rPr>
          <w:rFonts w:ascii="Calibri" w:hAnsi="Calibri"/>
          <w:b/>
          <w:color w:val="333333"/>
          <w:sz w:val="20"/>
        </w:rPr>
        <w:t>Customer Concentration:</w:t>
      </w:r>
      <w:r>
        <w:rPr>
          <w:rFonts w:ascii="Calibri" w:hAnsi="Calibri"/>
          <w:color w:val="333333"/>
          <w:sz w:val="20"/>
        </w:rPr>
        <w:t xml:space="preserve"> While diversified, the company relies on long-term contracts with global generic majors. Any disruption in these relationships or significant changes in their sourcing strategies could impact revenue.</w:t>
      </w:r>
    </w:p>
    <w:p>
      <w:pPr>
        <w:pStyle w:val="ListBullet"/>
        <w:spacing w:after="80"/>
      </w:pPr>
      <w:r>
        <w:rPr>
          <w:rFonts w:ascii="Calibri" w:hAnsi="Calibri"/>
          <w:color w:val="333333"/>
          <w:sz w:val="20"/>
        </w:rPr>
        <w:t xml:space="preserve">  </w:t>
      </w:r>
      <w:r>
        <w:rPr>
          <w:rFonts w:ascii="Calibri" w:hAnsi="Calibri"/>
          <w:b/>
          <w:color w:val="333333"/>
          <w:sz w:val="20"/>
        </w:rPr>
        <w:t>Margin Pressure:</w:t>
      </w:r>
      <w:r>
        <w:rPr>
          <w:rFonts w:ascii="Calibri" w:hAnsi="Calibri"/>
          <w:color w:val="333333"/>
          <w:sz w:val="20"/>
        </w:rPr>
        <w:t xml:space="preserve"> The pharmaceutical industry, particularly in generics, is subject to pricing pressures and intense competition, which could impact gross margins despite the shift towards higher-margin segments.</w:t>
      </w:r>
    </w:p>
    <w:p>
      <w:pPr>
        <w:pStyle w:val="ListBullet"/>
        <w:spacing w:after="80"/>
      </w:pPr>
      <w:r>
        <w:rPr>
          <w:rFonts w:ascii="Calibri" w:hAnsi="Calibri"/>
          <w:color w:val="333333"/>
          <w:sz w:val="20"/>
        </w:rPr>
        <w:t xml:space="preserve">  </w:t>
      </w:r>
      <w:r>
        <w:rPr>
          <w:rFonts w:ascii="Calibri" w:hAnsi="Calibri"/>
          <w:b/>
          <w:color w:val="333333"/>
          <w:sz w:val="20"/>
        </w:rPr>
        <w:t>Working Capital Intensity:</w:t>
      </w:r>
      <w:r>
        <w:rPr>
          <w:rFonts w:ascii="Calibri" w:hAnsi="Calibri"/>
          <w:color w:val="333333"/>
          <w:sz w:val="20"/>
        </w:rPr>
        <w:t xml:space="preserve"> The nature of the pharmaceutical business, with extended credit periods and inventory management, can lead to working capital intensity, although the company's focus on advance payments for certain segments mitigates this.</w:t>
      </w:r>
    </w:p>
    <w:p>
      <w:pPr>
        <w:pStyle w:val="ListBullet"/>
        <w:spacing w:after="80"/>
      </w:pPr>
      <w:r>
        <w:rPr>
          <w:rFonts w:ascii="Calibri" w:hAnsi="Calibri"/>
          <w:color w:val="333333"/>
          <w:sz w:val="20"/>
        </w:rPr>
        <w:t xml:space="preserve">  </w:t>
      </w:r>
      <w:r>
        <w:rPr>
          <w:rFonts w:ascii="Calibri" w:hAnsi="Calibri"/>
          <w:b/>
          <w:color w:val="333333"/>
          <w:sz w:val="20"/>
        </w:rPr>
        <w:t>Governance Concerns:</w:t>
      </w:r>
      <w:r>
        <w:rPr>
          <w:rFonts w:ascii="Calibri" w:hAnsi="Calibri"/>
          <w:color w:val="333333"/>
          <w:sz w:val="20"/>
        </w:rPr>
        <w:t xml:space="preserve"> While improving, the significant promoter family involvement in management and board positions, coupled with past regulatory penalties (though minor and resolved), warrants continued monitoring for potential conflicts of interest and adherence to best practices.</w:t>
      </w:r>
    </w:p>
    <w:p>
      <w:pPr>
        <w:pStyle w:val="ListBullet"/>
        <w:spacing w:after="80"/>
      </w:pPr>
      <w:r>
        <w:rPr>
          <w:rFonts w:ascii="Calibri" w:hAnsi="Calibri"/>
          <w:color w:val="333333"/>
          <w:sz w:val="20"/>
        </w:rPr>
        <w:t xml:space="preserve">  </w:t>
      </w:r>
      <w:r>
        <w:rPr>
          <w:rFonts w:ascii="Calibri" w:hAnsi="Calibri"/>
          <w:b/>
          <w:color w:val="333333"/>
          <w:sz w:val="20"/>
        </w:rPr>
        <w:t>Regulatory Compliance:</w:t>
      </w:r>
      <w:r>
        <w:rPr>
          <w:rFonts w:ascii="Calibri" w:hAnsi="Calibri"/>
          <w:color w:val="333333"/>
          <w:sz w:val="20"/>
        </w:rPr>
        <w:t xml:space="preserve"> While the company holds key regulatory approvals, maintaining compliance with evolving global regulatory standards and navigating diverse market-specific requirements remains a continuous challenge.</w:t>
      </w:r>
    </w:p>
    <w:p>
      <w:pPr>
        <w:pStyle w:val="ListBullet"/>
        <w:spacing w:after="80"/>
      </w:pPr>
      <w:r>
        <w:rPr>
          <w:rFonts w:ascii="Calibri" w:hAnsi="Calibri"/>
          <w:color w:val="333333"/>
          <w:sz w:val="20"/>
        </w:rPr>
        <w:t xml:space="preserve">  </w:t>
      </w:r>
      <w:r>
        <w:rPr>
          <w:rFonts w:ascii="Calibri" w:hAnsi="Calibri"/>
          <w:b/>
          <w:color w:val="333333"/>
          <w:sz w:val="20"/>
        </w:rPr>
        <w:t>Legacy Issues:</w:t>
      </w:r>
      <w:r>
        <w:rPr>
          <w:rFonts w:ascii="Calibri" w:hAnsi="Calibri"/>
          <w:color w:val="333333"/>
          <w:sz w:val="20"/>
        </w:rPr>
        <w:t xml:space="preserve"> The company's annual report mentions pending legal issues related to sales tax demands for the erstwhile Ind-Swift Limited, which, although historical, require ongoing monitoring for any material impact.</w:t>
      </w:r>
    </w:p>
    <w:p>
      <w:pPr>
        <w:pStyle w:val="Heading1"/>
      </w:pPr>
      <w:r>
        <w:rPr>
          <w:rFonts w:ascii="Calibri" w:hAnsi="Calibri"/>
          <w:color w:val="1F5F8B"/>
          <w:sz w:val="32"/>
        </w:rPr>
        <w:t>6. Growth Outlook &amp; Strategy</w:t>
      </w:r>
    </w:p>
    <w:p>
      <w:pPr>
        <w:spacing w:before="0" w:after="120"/>
      </w:pPr>
    </w:p>
    <w:p>
      <w:pPr>
        <w:pStyle w:val="Heading2"/>
      </w:pPr>
      <w:r>
        <w:rPr>
          <w:rFonts w:ascii="Calibri" w:hAnsi="Calibri"/>
          <w:color w:val="1F5F8B"/>
          <w:sz w:val="26"/>
        </w:rPr>
        <w:t>6.1 Management's Revenue Roadmap</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F5F8B"/>
          </w:tcPr>
          <w:p>
            <w:pPr>
              <w:spacing w:before="40" w:after="40"/>
            </w:pPr>
            <w:r>
              <w:rPr>
                <w:rFonts w:ascii="Calibri" w:hAnsi="Calibri"/>
                <w:b/>
                <w:color w:val="FFFFFF"/>
                <w:sz w:val="18"/>
              </w:rPr>
              <w:t>Growth Driver</w:t>
            </w:r>
          </w:p>
        </w:tc>
        <w:tc>
          <w:tcPr>
            <w:tcW w:type="dxa" w:w="2160"/>
            <w:shd w:fill="1F5F8B"/>
          </w:tcPr>
          <w:p>
            <w:pPr>
              <w:spacing w:before="40" w:after="40"/>
            </w:pPr>
            <w:r>
              <w:rPr>
                <w:rFonts w:ascii="Calibri" w:hAnsi="Calibri"/>
                <w:b/>
                <w:color w:val="FFFFFF"/>
                <w:sz w:val="18"/>
              </w:rPr>
              <w:t>Current (FY25/26)</w:t>
            </w:r>
          </w:p>
        </w:tc>
        <w:tc>
          <w:tcPr>
            <w:tcW w:type="dxa" w:w="2160"/>
            <w:shd w:fill="1F5F8B"/>
          </w:tcPr>
          <w:p>
            <w:pPr>
              <w:spacing w:before="40" w:after="40"/>
            </w:pPr>
            <w:r>
              <w:rPr>
                <w:rFonts w:ascii="Calibri" w:hAnsi="Calibri"/>
                <w:b/>
                <w:color w:val="FFFFFF"/>
                <w:sz w:val="18"/>
              </w:rPr>
              <w:t>Target (FY28-29E)</w:t>
            </w:r>
          </w:p>
        </w:tc>
        <w:tc>
          <w:tcPr>
            <w:tcW w:type="dxa" w:w="2160"/>
            <w:shd w:fill="1F5F8B"/>
          </w:tcPr>
          <w:p>
            <w:pPr>
              <w:spacing w:before="40" w:after="40"/>
            </w:pPr>
            <w:r>
              <w:rPr>
                <w:rFonts w:ascii="Calibri" w:hAnsi="Calibri"/>
                <w:b/>
                <w:color w:val="FFFFFF"/>
                <w:sz w:val="18"/>
              </w:rPr>
              <w:t>CAGR</w:t>
            </w:r>
          </w:p>
        </w:tc>
      </w:tr>
      <w:tr>
        <w:tc>
          <w:tcPr>
            <w:tcW w:type="dxa" w:w="2160"/>
          </w:tcPr>
          <w:p>
            <w:pPr>
              <w:spacing w:before="40" w:after="40"/>
            </w:pPr>
            <w:r>
              <w:rPr>
                <w:rFonts w:ascii="Calibri" w:hAnsi="Calibri"/>
                <w:b/>
                <w:sz w:val="18"/>
              </w:rPr>
              <w:t>Total Revenue</w:t>
            </w:r>
          </w:p>
        </w:tc>
        <w:tc>
          <w:tcPr>
            <w:tcW w:type="dxa" w:w="2160"/>
          </w:tcPr>
          <w:p>
            <w:pPr>
              <w:spacing w:before="40" w:after="40"/>
            </w:pPr>
            <w:r>
              <w:rPr>
                <w:rFonts w:ascii="Calibri" w:hAnsi="Calibri"/>
                <w:sz w:val="18"/>
              </w:rPr>
              <w:t>~₹550 Cr (FY25)</w:t>
            </w:r>
          </w:p>
        </w:tc>
        <w:tc>
          <w:tcPr>
            <w:tcW w:type="dxa" w:w="2160"/>
          </w:tcPr>
          <w:p>
            <w:pPr>
              <w:spacing w:before="40" w:after="40"/>
            </w:pPr>
            <w:r>
              <w:rPr>
                <w:rFonts w:ascii="Calibri" w:hAnsi="Calibri"/>
                <w:sz w:val="18"/>
              </w:rPr>
              <w:t>₹1,200+ Cr</w:t>
            </w:r>
          </w:p>
        </w:tc>
        <w:tc>
          <w:tcPr>
            <w:tcW w:type="dxa" w:w="2160"/>
          </w:tcPr>
          <w:p>
            <w:pPr>
              <w:spacing w:before="40" w:after="40"/>
            </w:pPr>
            <w:r>
              <w:rPr>
                <w:rFonts w:ascii="Calibri" w:hAnsi="Calibri"/>
                <w:sz w:val="18"/>
              </w:rPr>
              <w:t>20-25%</w:t>
            </w:r>
          </w:p>
        </w:tc>
      </w:tr>
      <w:tr>
        <w:tc>
          <w:tcPr>
            <w:tcW w:type="dxa" w:w="2160"/>
            <w:shd w:fill="E8F0FE"/>
          </w:tcPr>
          <w:p>
            <w:pPr>
              <w:spacing w:before="40" w:after="40"/>
            </w:pPr>
            <w:r>
              <w:rPr>
                <w:rFonts w:ascii="Calibri" w:hAnsi="Calibri"/>
                <w:b/>
                <w:sz w:val="18"/>
              </w:rPr>
              <w:t>CDMO Business</w:t>
            </w:r>
          </w:p>
        </w:tc>
        <w:tc>
          <w:tcPr>
            <w:tcW w:type="dxa" w:w="2160"/>
            <w:shd w:fill="E8F0FE"/>
          </w:tcPr>
          <w:p>
            <w:pPr>
              <w:spacing w:before="40" w:after="40"/>
            </w:pPr>
            <w:r>
              <w:rPr>
                <w:rFonts w:ascii="Calibri" w:hAnsi="Calibri"/>
                <w:sz w:val="18"/>
              </w:rPr>
              <w:t>~₹180 Cr</w:t>
            </w:r>
          </w:p>
        </w:tc>
        <w:tc>
          <w:tcPr>
            <w:tcW w:type="dxa" w:w="2160"/>
            <w:shd w:fill="E8F0FE"/>
          </w:tcPr>
          <w:p>
            <w:pPr>
              <w:spacing w:before="40" w:after="40"/>
            </w:pPr>
            <w:r>
              <w:rPr>
                <w:rFonts w:ascii="Calibri" w:hAnsi="Calibri"/>
                <w:sz w:val="18"/>
              </w:rPr>
              <w:t>₹550-600 Cr</w:t>
            </w:r>
          </w:p>
        </w:tc>
        <w:tc>
          <w:tcPr>
            <w:tcW w:type="dxa" w:w="2160"/>
            <w:shd w:fill="E8F0FE"/>
          </w:tcPr>
          <w:p>
            <w:pPr>
              <w:spacing w:before="40" w:after="40"/>
            </w:pPr>
            <w:r>
              <w:rPr>
                <w:rFonts w:ascii="Calibri" w:hAnsi="Calibri"/>
                <w:sz w:val="18"/>
              </w:rPr>
              <w:t>~25-30%</w:t>
            </w:r>
          </w:p>
        </w:tc>
      </w:tr>
      <w:tr>
        <w:tc>
          <w:tcPr>
            <w:tcW w:type="dxa" w:w="2160"/>
          </w:tcPr>
          <w:p>
            <w:pPr>
              <w:spacing w:before="40" w:after="40"/>
            </w:pPr>
            <w:r>
              <w:rPr>
                <w:rFonts w:ascii="Calibri" w:hAnsi="Calibri"/>
                <w:b/>
                <w:sz w:val="18"/>
              </w:rPr>
              <w:t>Domestic Business</w:t>
            </w:r>
          </w:p>
        </w:tc>
        <w:tc>
          <w:tcPr>
            <w:tcW w:type="dxa" w:w="2160"/>
          </w:tcPr>
          <w:p>
            <w:pPr>
              <w:spacing w:before="40" w:after="40"/>
            </w:pPr>
            <w:r>
              <w:rPr>
                <w:rFonts w:ascii="Calibri" w:hAnsi="Calibri"/>
                <w:sz w:val="18"/>
              </w:rPr>
              <w:t>~₹150 Cr</w:t>
            </w:r>
          </w:p>
        </w:tc>
        <w:tc>
          <w:tcPr>
            <w:tcW w:type="dxa" w:w="2160"/>
          </w:tcPr>
          <w:p>
            <w:pPr>
              <w:spacing w:before="40" w:after="40"/>
            </w:pPr>
            <w:r>
              <w:rPr>
                <w:rFonts w:ascii="Calibri" w:hAnsi="Calibri"/>
                <w:sz w:val="18"/>
              </w:rPr>
              <w:t>~₹300-350 Cr</w:t>
            </w:r>
          </w:p>
        </w:tc>
        <w:tc>
          <w:tcPr>
            <w:tcW w:type="dxa" w:w="2160"/>
          </w:tcPr>
          <w:p>
            <w:pPr>
              <w:spacing w:before="40" w:after="40"/>
            </w:pPr>
            <w:r>
              <w:rPr>
                <w:rFonts w:ascii="Calibri" w:hAnsi="Calibri"/>
                <w:sz w:val="18"/>
              </w:rPr>
              <w:t>15-20%</w:t>
            </w:r>
          </w:p>
        </w:tc>
      </w:tr>
      <w:tr>
        <w:tc>
          <w:tcPr>
            <w:tcW w:type="dxa" w:w="2160"/>
            <w:shd w:fill="E8F0FE"/>
          </w:tcPr>
          <w:p>
            <w:pPr>
              <w:spacing w:before="40" w:after="40"/>
            </w:pPr>
            <w:r>
              <w:rPr>
                <w:rFonts w:ascii="Calibri" w:hAnsi="Calibri"/>
                <w:b/>
                <w:sz w:val="18"/>
              </w:rPr>
              <w:t>Export Own Brands</w:t>
            </w:r>
          </w:p>
        </w:tc>
        <w:tc>
          <w:tcPr>
            <w:tcW w:type="dxa" w:w="2160"/>
            <w:shd w:fill="E8F0FE"/>
          </w:tcPr>
          <w:p>
            <w:pPr>
              <w:spacing w:before="40" w:after="40"/>
            </w:pPr>
            <w:r>
              <w:rPr>
                <w:rFonts w:ascii="Calibri" w:hAnsi="Calibri"/>
                <w:sz w:val="18"/>
              </w:rPr>
              <w:t>Growing</w:t>
            </w:r>
          </w:p>
        </w:tc>
        <w:tc>
          <w:tcPr>
            <w:tcW w:type="dxa" w:w="2160"/>
            <w:shd w:fill="E8F0FE"/>
          </w:tcPr>
          <w:p>
            <w:pPr>
              <w:spacing w:before="40" w:after="40"/>
            </w:pPr>
            <w:r>
              <w:rPr>
                <w:rFonts w:ascii="Calibri" w:hAnsi="Calibri"/>
                <w:sz w:val="18"/>
              </w:rPr>
              <w:t>Significant expansion</w:t>
            </w:r>
          </w:p>
        </w:tc>
        <w:tc>
          <w:tcPr>
            <w:tcW w:type="dxa" w:w="2160"/>
            <w:shd w:fill="E8F0FE"/>
          </w:tcPr>
          <w:p>
            <w:pPr>
              <w:spacing w:before="40" w:after="40"/>
            </w:pPr>
            <w:r>
              <w:rPr>
                <w:rFonts w:ascii="Calibri" w:hAnsi="Calibri"/>
                <w:sz w:val="18"/>
              </w:rPr>
              <w:t>N.A.</w:t>
            </w:r>
          </w:p>
        </w:tc>
      </w:tr>
      <w:tr>
        <w:tc>
          <w:tcPr>
            <w:tcW w:type="dxa" w:w="2160"/>
          </w:tcPr>
          <w:p>
            <w:pPr>
              <w:spacing w:before="40" w:after="40"/>
            </w:pPr>
            <w:r>
              <w:rPr>
                <w:rFonts w:ascii="Calibri" w:hAnsi="Calibri"/>
                <w:b/>
                <w:sz w:val="18"/>
              </w:rPr>
              <w:t>Export CMO</w:t>
            </w:r>
          </w:p>
        </w:tc>
        <w:tc>
          <w:tcPr>
            <w:tcW w:type="dxa" w:w="2160"/>
          </w:tcPr>
          <w:p>
            <w:pPr>
              <w:spacing w:before="40" w:after="40"/>
            </w:pPr>
            <w:r>
              <w:rPr>
                <w:rFonts w:ascii="Calibri" w:hAnsi="Calibri"/>
                <w:sz w:val="18"/>
              </w:rPr>
              <w:t>Stable base</w:t>
            </w:r>
          </w:p>
        </w:tc>
        <w:tc>
          <w:tcPr>
            <w:tcW w:type="dxa" w:w="2160"/>
          </w:tcPr>
          <w:p>
            <w:pPr>
              <w:spacing w:before="40" w:after="40"/>
            </w:pPr>
            <w:r>
              <w:rPr>
                <w:rFonts w:ascii="Calibri" w:hAnsi="Calibri"/>
                <w:sz w:val="18"/>
              </w:rPr>
              <w:t>Growth driven by new partnerships</w:t>
            </w:r>
          </w:p>
        </w:tc>
        <w:tc>
          <w:tcPr>
            <w:tcW w:type="dxa" w:w="2160"/>
          </w:tcPr>
          <w:p>
            <w:pPr>
              <w:spacing w:before="40" w:after="40"/>
            </w:pPr>
            <w:r>
              <w:rPr>
                <w:rFonts w:ascii="Calibri" w:hAnsi="Calibri"/>
                <w:sz w:val="18"/>
              </w:rPr>
              <w:t>N.A.</w:t>
            </w:r>
          </w:p>
        </w:tc>
      </w:tr>
    </w:tbl>
    <w:p/>
    <w:p>
      <w:pPr>
        <w:pStyle w:val="Heading2"/>
      </w:pPr>
      <w:r>
        <w:rPr>
          <w:rFonts w:ascii="Calibri" w:hAnsi="Calibri"/>
          <w:color w:val="1F5F8B"/>
          <w:sz w:val="26"/>
        </w:rPr>
        <w:t>6.2 Viatris Partnership &amp; CDMO Expansion</w:t>
      </w:r>
    </w:p>
    <w:p>
      <w:pPr>
        <w:spacing w:after="80"/>
      </w:pPr>
      <w:r>
        <w:rPr>
          <w:rFonts w:ascii="Calibri" w:hAnsi="Calibri"/>
          <w:color w:val="333333"/>
          <w:sz w:val="20"/>
        </w:rPr>
        <w:t>The company is strategically strengthening its CDMO visibility through partnerships, notably with Viatris, which is expected to contribute ₹200-220 crore in incremental revenue in FY27. Management aims to triple the CDMO business over four years, driven by commercial scale-ups and new engagements with leading pharmaceutical MNCs. This focus on contract development and manufacturing is a key pillar for driving revenue growth and leveraging its manufacturing capabilities.</w:t>
      </w:r>
    </w:p>
    <w:p>
      <w:pPr>
        <w:pStyle w:val="Heading2"/>
      </w:pPr>
      <w:r>
        <w:rPr>
          <w:rFonts w:ascii="Calibri" w:hAnsi="Calibri"/>
          <w:color w:val="1F5F8B"/>
          <w:sz w:val="26"/>
        </w:rPr>
        <w:t>6.3 Greenfield Expansion &amp; Own-Brand Footprint</w:t>
      </w:r>
    </w:p>
    <w:p>
      <w:pPr>
        <w:spacing w:after="80"/>
      </w:pPr>
      <w:r>
        <w:rPr>
          <w:rFonts w:ascii="Calibri" w:hAnsi="Calibri"/>
          <w:color w:val="333333"/>
          <w:sz w:val="20"/>
        </w:rPr>
        <w:t>ISLL is expanding its own-brand footprint in key emerging markets, including the UAE and Central Asia, with over 400 registered products. The strategy involves scaling its field force and distribution networks in regions like the UAE, Uzbekistan, and West Africa to transition from market entry to market dominance. This "Greenfield" expansion aims to capture higher marketing margins and build direct consumer relationships.</w:t>
      </w:r>
    </w:p>
    <w:p>
      <w:pPr>
        <w:pStyle w:val="Heading2"/>
      </w:pPr>
      <w:r>
        <w:rPr>
          <w:rFonts w:ascii="Calibri" w:hAnsi="Calibri"/>
          <w:color w:val="1F5F8B"/>
          <w:sz w:val="26"/>
        </w:rPr>
        <w:t>6.4 Product Pipeline &amp; IP Creation</w:t>
      </w:r>
    </w:p>
    <w:p>
      <w:pPr>
        <w:spacing w:after="80"/>
      </w:pPr>
      <w:r>
        <w:rPr>
          <w:rFonts w:ascii="Calibri" w:hAnsi="Calibri"/>
          <w:color w:val="333333"/>
          <w:sz w:val="20"/>
        </w:rPr>
        <w:t>The company is actively advancing its formulation pipeline, targeting high-growth therapeutic areas such as cardiac, anti-diabetic, and CNS. It aims to file over 400 dossiers by FY27, including high-barrier molecules like Ticagrelor and Empagliflozin. The R&amp;D team is focused on developing differentiated formulations for regulated markets (UK, EU, Australia, Canada) and expanding into injectables and topical products. The company also plans to develop complex generics in-house and out-license the dossier/IP to partners in regulated markets.</w:t>
      </w:r>
    </w:p>
    <w:p>
      <w:pPr>
        <w:pStyle w:val="Heading2"/>
      </w:pPr>
      <w:r>
        <w:rPr>
          <w:rFonts w:ascii="Calibri" w:hAnsi="Calibri"/>
          <w:color w:val="1F5F8B"/>
          <w:sz w:val="26"/>
        </w:rPr>
        <w:t>6.5 Capacity Debottlenecking &amp; Regulatory Capex</w:t>
      </w:r>
    </w:p>
    <w:p>
      <w:pPr>
        <w:spacing w:after="80"/>
      </w:pPr>
      <w:r>
        <w:rPr>
          <w:rFonts w:ascii="Calibri" w:hAnsi="Calibri"/>
          <w:color w:val="333333"/>
          <w:sz w:val="20"/>
        </w:rPr>
        <w:t>ISLL plans to fund capacity debottlenecking and regulatory capital expenditure through internal accruals. This focus on operational efficiency and regulatory compliance is crucial for supporting the projected growth in manufacturing volumes and meeting the stringent requirements of its global customer base.</w:t>
      </w:r>
    </w:p>
    <w:p>
      <w:pPr>
        <w:pStyle w:val="Heading1"/>
      </w:pPr>
      <w:r>
        <w:rPr>
          <w:rFonts w:ascii="Calibri" w:hAnsi="Calibri"/>
          <w:color w:val="1F5F8B"/>
          <w:sz w:val="32"/>
        </w:rPr>
        <w:t>7. Future Revenue &amp; EBITDA Estimates</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t>Particulars</w:t>
            </w:r>
          </w:p>
        </w:tc>
        <w:tc>
          <w:tcPr>
            <w:tcW w:type="dxa" w:w="1440"/>
            <w:shd w:fill="1F5F8B"/>
          </w:tcPr>
          <w:p>
            <w:pPr>
              <w:spacing w:before="40" w:after="40"/>
            </w:pPr>
            <w:r>
              <w:rPr>
                <w:rFonts w:ascii="Calibri" w:hAnsi="Calibri"/>
                <w:b/>
                <w:color w:val="FFFFFF"/>
                <w:sz w:val="18"/>
              </w:rPr>
              <w:t>FY25A</w:t>
            </w:r>
          </w:p>
        </w:tc>
        <w:tc>
          <w:tcPr>
            <w:tcW w:type="dxa" w:w="1440"/>
            <w:shd w:fill="1F5F8B"/>
          </w:tcPr>
          <w:p>
            <w:pPr>
              <w:spacing w:before="40" w:after="40"/>
            </w:pPr>
            <w:r>
              <w:rPr>
                <w:rFonts w:ascii="Calibri" w:hAnsi="Calibri"/>
                <w:b/>
                <w:color w:val="FFFFFF"/>
                <w:sz w:val="18"/>
              </w:rPr>
              <w:t>FY26E</w:t>
            </w:r>
          </w:p>
        </w:tc>
        <w:tc>
          <w:tcPr>
            <w:tcW w:type="dxa" w:w="1440"/>
            <w:shd w:fill="1F5F8B"/>
          </w:tcPr>
          <w:p>
            <w:pPr>
              <w:spacing w:before="40" w:after="40"/>
            </w:pPr>
            <w:r>
              <w:rPr>
                <w:rFonts w:ascii="Calibri" w:hAnsi="Calibri"/>
                <w:b/>
                <w:color w:val="FFFFFF"/>
                <w:sz w:val="18"/>
              </w:rPr>
              <w:t>FY27E</w:t>
            </w:r>
          </w:p>
        </w:tc>
        <w:tc>
          <w:tcPr>
            <w:tcW w:type="dxa" w:w="1440"/>
            <w:shd w:fill="1F5F8B"/>
          </w:tcPr>
          <w:p>
            <w:pPr>
              <w:spacing w:before="40" w:after="40"/>
            </w:pPr>
            <w:r>
              <w:rPr>
                <w:rFonts w:ascii="Calibri" w:hAnsi="Calibri"/>
                <w:b/>
                <w:color w:val="FFFFFF"/>
                <w:sz w:val="18"/>
              </w:rPr>
              <w:t>FY28E</w:t>
            </w:r>
          </w:p>
        </w:tc>
        <w:tc>
          <w:tcPr>
            <w:tcW w:type="dxa" w:w="1440"/>
            <w:shd w:fill="1F5F8B"/>
          </w:tcPr>
          <w:p>
            <w:pPr>
              <w:spacing w:before="40" w:after="40"/>
            </w:pPr>
            <w:r>
              <w:rPr>
                <w:rFonts w:ascii="Calibri" w:hAnsi="Calibri"/>
                <w:b/>
                <w:color w:val="FFFFFF"/>
                <w:sz w:val="18"/>
              </w:rPr>
              <w:t>FY29E</w:t>
            </w:r>
          </w:p>
        </w:tc>
      </w:tr>
      <w:tr>
        <w:tc>
          <w:tcPr>
            <w:tcW w:type="dxa" w:w="1440"/>
          </w:tcPr>
          <w:p>
            <w:pPr>
              <w:spacing w:before="40" w:after="40"/>
            </w:pPr>
            <w:r>
              <w:rPr>
                <w:rFonts w:ascii="Calibri" w:hAnsi="Calibri"/>
                <w:b/>
                <w:sz w:val="18"/>
              </w:rPr>
              <w:t>Revenue from Operations (₹ Cr)</w:t>
            </w:r>
          </w:p>
        </w:tc>
        <w:tc>
          <w:tcPr>
            <w:tcW w:type="dxa" w:w="1440"/>
          </w:tcPr>
          <w:p>
            <w:pPr>
              <w:spacing w:before="40" w:after="40"/>
            </w:pPr>
            <w:r>
              <w:rPr>
                <w:rFonts w:ascii="Calibri" w:hAnsi="Calibri"/>
                <w:sz w:val="18"/>
              </w:rPr>
              <w:t>549.65</w:t>
            </w:r>
          </w:p>
        </w:tc>
        <w:tc>
          <w:tcPr>
            <w:tcW w:type="dxa" w:w="1440"/>
          </w:tcPr>
          <w:p>
            <w:pPr>
              <w:spacing w:before="40" w:after="40"/>
            </w:pPr>
            <w:r>
              <w:rPr>
                <w:rFonts w:ascii="Calibri" w:hAnsi="Calibri"/>
                <w:sz w:val="18"/>
              </w:rPr>
              <w:t>650.00</w:t>
            </w:r>
          </w:p>
        </w:tc>
        <w:tc>
          <w:tcPr>
            <w:tcW w:type="dxa" w:w="1440"/>
          </w:tcPr>
          <w:p>
            <w:pPr>
              <w:spacing w:before="40" w:after="40"/>
            </w:pPr>
            <w:r>
              <w:rPr>
                <w:rFonts w:ascii="Calibri" w:hAnsi="Calibri"/>
                <w:sz w:val="18"/>
              </w:rPr>
              <w:t>850.00</w:t>
            </w:r>
          </w:p>
        </w:tc>
        <w:tc>
          <w:tcPr>
            <w:tcW w:type="dxa" w:w="1440"/>
          </w:tcPr>
          <w:p>
            <w:pPr>
              <w:spacing w:before="40" w:after="40"/>
            </w:pPr>
            <w:r>
              <w:rPr>
                <w:rFonts w:ascii="Calibri" w:hAnsi="Calibri"/>
                <w:sz w:val="18"/>
              </w:rPr>
              <w:t>1050.00</w:t>
            </w:r>
          </w:p>
        </w:tc>
        <w:tc>
          <w:tcPr>
            <w:tcW w:type="dxa" w:w="1440"/>
          </w:tcPr>
          <w:p>
            <w:pPr>
              <w:spacing w:before="40" w:after="40"/>
            </w:pPr>
            <w:r>
              <w:rPr>
                <w:rFonts w:ascii="Calibri" w:hAnsi="Calibri"/>
                <w:sz w:val="18"/>
              </w:rPr>
              <w:t>1250.00</w:t>
            </w:r>
          </w:p>
        </w:tc>
      </w:tr>
      <w:tr>
        <w:tc>
          <w:tcPr>
            <w:tcW w:type="dxa" w:w="1440"/>
            <w:shd w:fill="E8F0FE"/>
          </w:tcPr>
          <w:p>
            <w:pPr>
              <w:spacing w:before="40" w:after="40"/>
            </w:pPr>
            <w:r>
              <w:rPr>
                <w:rFonts w:ascii="Calibri" w:hAnsi="Calibri"/>
                <w:b/>
                <w:sz w:val="18"/>
              </w:rPr>
              <w:t>Revenue Growth (%)</w:t>
            </w:r>
          </w:p>
        </w:tc>
        <w:tc>
          <w:tcPr>
            <w:tcW w:type="dxa" w:w="1440"/>
            <w:shd w:fill="E8F0FE"/>
          </w:tcPr>
          <w:p>
            <w:pPr>
              <w:spacing w:before="40" w:after="40"/>
            </w:pPr>
            <w:r>
              <w:rPr>
                <w:rFonts w:ascii="Calibri" w:hAnsi="Calibri"/>
                <w:sz w:val="18"/>
              </w:rPr>
              <w:t>-</w:t>
            </w:r>
          </w:p>
        </w:tc>
        <w:tc>
          <w:tcPr>
            <w:tcW w:type="dxa" w:w="1440"/>
            <w:shd w:fill="E8F0FE"/>
          </w:tcPr>
          <w:p>
            <w:pPr>
              <w:spacing w:before="40" w:after="40"/>
            </w:pPr>
            <w:r>
              <w:rPr>
                <w:rFonts w:ascii="Calibri" w:hAnsi="Calibri"/>
                <w:sz w:val="18"/>
              </w:rPr>
              <w:t>18.3%</w:t>
            </w:r>
          </w:p>
        </w:tc>
        <w:tc>
          <w:tcPr>
            <w:tcW w:type="dxa" w:w="1440"/>
            <w:shd w:fill="E8F0FE"/>
          </w:tcPr>
          <w:p>
            <w:pPr>
              <w:spacing w:before="40" w:after="40"/>
            </w:pPr>
            <w:r>
              <w:rPr>
                <w:rFonts w:ascii="Calibri" w:hAnsi="Calibri"/>
                <w:sz w:val="18"/>
              </w:rPr>
              <w:t>30.8%</w:t>
            </w:r>
          </w:p>
        </w:tc>
        <w:tc>
          <w:tcPr>
            <w:tcW w:type="dxa" w:w="1440"/>
            <w:shd w:fill="E8F0FE"/>
          </w:tcPr>
          <w:p>
            <w:pPr>
              <w:spacing w:before="40" w:after="40"/>
            </w:pPr>
            <w:r>
              <w:rPr>
                <w:rFonts w:ascii="Calibri" w:hAnsi="Calibri"/>
                <w:sz w:val="18"/>
              </w:rPr>
              <w:t>23.5%</w:t>
            </w:r>
          </w:p>
        </w:tc>
        <w:tc>
          <w:tcPr>
            <w:tcW w:type="dxa" w:w="1440"/>
            <w:shd w:fill="E8F0FE"/>
          </w:tcPr>
          <w:p>
            <w:pPr>
              <w:spacing w:before="40" w:after="40"/>
            </w:pPr>
            <w:r>
              <w:rPr>
                <w:rFonts w:ascii="Calibri" w:hAnsi="Calibri"/>
                <w:sz w:val="18"/>
              </w:rPr>
              <w:t>19.0%</w:t>
            </w:r>
          </w:p>
        </w:tc>
      </w:tr>
      <w:tr>
        <w:tc>
          <w:tcPr>
            <w:tcW w:type="dxa" w:w="1440"/>
          </w:tcPr>
          <w:p>
            <w:pPr>
              <w:spacing w:before="40" w:after="40"/>
            </w:pPr>
            <w:r>
              <w:rPr>
                <w:rFonts w:ascii="Calibri" w:hAnsi="Calibri"/>
                <w:b/>
                <w:sz w:val="18"/>
              </w:rPr>
              <w:t>Gross Profit (₹ Cr)</w:t>
            </w:r>
          </w:p>
        </w:tc>
        <w:tc>
          <w:tcPr>
            <w:tcW w:type="dxa" w:w="1440"/>
          </w:tcPr>
          <w:p>
            <w:pPr>
              <w:spacing w:before="40" w:after="40"/>
            </w:pPr>
            <w:r>
              <w:rPr>
                <w:rFonts w:ascii="Calibri" w:hAnsi="Calibri"/>
                <w:sz w:val="18"/>
              </w:rPr>
              <w:t>247.77</w:t>
            </w:r>
          </w:p>
        </w:tc>
        <w:tc>
          <w:tcPr>
            <w:tcW w:type="dxa" w:w="1440"/>
          </w:tcPr>
          <w:p>
            <w:pPr>
              <w:spacing w:before="40" w:after="40"/>
            </w:pPr>
            <w:r>
              <w:rPr>
                <w:rFonts w:ascii="Calibri" w:hAnsi="Calibri"/>
                <w:sz w:val="18"/>
              </w:rPr>
              <w:t>305.50</w:t>
            </w:r>
          </w:p>
        </w:tc>
        <w:tc>
          <w:tcPr>
            <w:tcW w:type="dxa" w:w="1440"/>
          </w:tcPr>
          <w:p>
            <w:pPr>
              <w:spacing w:before="40" w:after="40"/>
            </w:pPr>
            <w:r>
              <w:rPr>
                <w:rFonts w:ascii="Calibri" w:hAnsi="Calibri"/>
                <w:sz w:val="18"/>
              </w:rPr>
              <w:t>416.50</w:t>
            </w:r>
          </w:p>
        </w:tc>
        <w:tc>
          <w:tcPr>
            <w:tcW w:type="dxa" w:w="1440"/>
          </w:tcPr>
          <w:p>
            <w:pPr>
              <w:spacing w:before="40" w:after="40"/>
            </w:pPr>
            <w:r>
              <w:rPr>
                <w:rFonts w:ascii="Calibri" w:hAnsi="Calibri"/>
                <w:sz w:val="18"/>
              </w:rPr>
              <w:t>525.00</w:t>
            </w:r>
          </w:p>
        </w:tc>
        <w:tc>
          <w:tcPr>
            <w:tcW w:type="dxa" w:w="1440"/>
          </w:tcPr>
          <w:p>
            <w:pPr>
              <w:spacing w:before="40" w:after="40"/>
            </w:pPr>
            <w:r>
              <w:rPr>
                <w:rFonts w:ascii="Calibri" w:hAnsi="Calibri"/>
                <w:sz w:val="18"/>
              </w:rPr>
              <w:t>637.50</w:t>
            </w:r>
          </w:p>
        </w:tc>
      </w:tr>
      <w:tr>
        <w:tc>
          <w:tcPr>
            <w:tcW w:type="dxa" w:w="1440"/>
            <w:shd w:fill="E8F0FE"/>
          </w:tcPr>
          <w:p>
            <w:pPr>
              <w:spacing w:before="40" w:after="40"/>
            </w:pPr>
            <w:r>
              <w:rPr>
                <w:rFonts w:ascii="Calibri" w:hAnsi="Calibri"/>
                <w:b/>
                <w:sz w:val="18"/>
              </w:rPr>
              <w:t>Gross Margin (%)</w:t>
            </w:r>
          </w:p>
        </w:tc>
        <w:tc>
          <w:tcPr>
            <w:tcW w:type="dxa" w:w="1440"/>
            <w:shd w:fill="E8F0FE"/>
          </w:tcPr>
          <w:p>
            <w:pPr>
              <w:spacing w:before="40" w:after="40"/>
            </w:pPr>
            <w:r>
              <w:rPr>
                <w:rFonts w:ascii="Calibri" w:hAnsi="Calibri"/>
                <w:sz w:val="18"/>
              </w:rPr>
              <w:t>45.1%</w:t>
            </w:r>
          </w:p>
        </w:tc>
        <w:tc>
          <w:tcPr>
            <w:tcW w:type="dxa" w:w="1440"/>
            <w:shd w:fill="E8F0FE"/>
          </w:tcPr>
          <w:p>
            <w:pPr>
              <w:spacing w:before="40" w:after="40"/>
            </w:pPr>
            <w:r>
              <w:rPr>
                <w:rFonts w:ascii="Calibri" w:hAnsi="Calibri"/>
                <w:sz w:val="18"/>
              </w:rPr>
              <w:t>47.0%</w:t>
            </w:r>
          </w:p>
        </w:tc>
        <w:tc>
          <w:tcPr>
            <w:tcW w:type="dxa" w:w="1440"/>
            <w:shd w:fill="E8F0FE"/>
          </w:tcPr>
          <w:p>
            <w:pPr>
              <w:spacing w:before="40" w:after="40"/>
            </w:pPr>
            <w:r>
              <w:rPr>
                <w:rFonts w:ascii="Calibri" w:hAnsi="Calibri"/>
                <w:sz w:val="18"/>
              </w:rPr>
              <w:t>49.0%</w:t>
            </w:r>
          </w:p>
        </w:tc>
        <w:tc>
          <w:tcPr>
            <w:tcW w:type="dxa" w:w="1440"/>
            <w:shd w:fill="E8F0FE"/>
          </w:tcPr>
          <w:p>
            <w:pPr>
              <w:spacing w:before="40" w:after="40"/>
            </w:pPr>
            <w:r>
              <w:rPr>
                <w:rFonts w:ascii="Calibri" w:hAnsi="Calibri"/>
                <w:sz w:val="18"/>
              </w:rPr>
              <w:t>50.0%</w:t>
            </w:r>
          </w:p>
        </w:tc>
        <w:tc>
          <w:tcPr>
            <w:tcW w:type="dxa" w:w="1440"/>
            <w:shd w:fill="E8F0FE"/>
          </w:tcPr>
          <w:p>
            <w:pPr>
              <w:spacing w:before="40" w:after="40"/>
            </w:pPr>
            <w:r>
              <w:rPr>
                <w:rFonts w:ascii="Calibri" w:hAnsi="Calibri"/>
                <w:sz w:val="18"/>
              </w:rPr>
              <w:t>51.0%</w:t>
            </w:r>
          </w:p>
        </w:tc>
      </w:tr>
      <w:tr>
        <w:tc>
          <w:tcPr>
            <w:tcW w:type="dxa" w:w="1440"/>
          </w:tcPr>
          <w:p>
            <w:pPr>
              <w:spacing w:before="40" w:after="40"/>
            </w:pPr>
            <w:r>
              <w:rPr>
                <w:rFonts w:ascii="Calibri" w:hAnsi="Calibri"/>
                <w:b/>
                <w:sz w:val="18"/>
              </w:rPr>
              <w:t>EBITDA (Operating) (₹ Cr)</w:t>
            </w:r>
          </w:p>
        </w:tc>
        <w:tc>
          <w:tcPr>
            <w:tcW w:type="dxa" w:w="1440"/>
          </w:tcPr>
          <w:p>
            <w:pPr>
              <w:spacing w:before="40" w:after="40"/>
            </w:pPr>
            <w:r>
              <w:rPr>
                <w:rFonts w:ascii="Calibri" w:hAnsi="Calibri"/>
                <w:sz w:val="18"/>
              </w:rPr>
              <w:t>26.09</w:t>
            </w:r>
          </w:p>
        </w:tc>
        <w:tc>
          <w:tcPr>
            <w:tcW w:type="dxa" w:w="1440"/>
          </w:tcPr>
          <w:p>
            <w:pPr>
              <w:spacing w:before="40" w:after="40"/>
            </w:pPr>
            <w:r>
              <w:rPr>
                <w:rFonts w:ascii="Calibri" w:hAnsi="Calibri"/>
                <w:sz w:val="18"/>
              </w:rPr>
              <w:t>35.00</w:t>
            </w:r>
          </w:p>
        </w:tc>
        <w:tc>
          <w:tcPr>
            <w:tcW w:type="dxa" w:w="1440"/>
          </w:tcPr>
          <w:p>
            <w:pPr>
              <w:spacing w:before="40" w:after="40"/>
            </w:pPr>
            <w:r>
              <w:rPr>
                <w:rFonts w:ascii="Calibri" w:hAnsi="Calibri"/>
                <w:sz w:val="18"/>
              </w:rPr>
              <w:t>55.00</w:t>
            </w:r>
          </w:p>
        </w:tc>
        <w:tc>
          <w:tcPr>
            <w:tcW w:type="dxa" w:w="1440"/>
          </w:tcPr>
          <w:p>
            <w:pPr>
              <w:spacing w:before="40" w:after="40"/>
            </w:pPr>
            <w:r>
              <w:rPr>
                <w:rFonts w:ascii="Calibri" w:hAnsi="Calibri"/>
                <w:sz w:val="18"/>
              </w:rPr>
              <w:t>75.00</w:t>
            </w:r>
          </w:p>
        </w:tc>
        <w:tc>
          <w:tcPr>
            <w:tcW w:type="dxa" w:w="1440"/>
          </w:tcPr>
          <w:p>
            <w:pPr>
              <w:spacing w:before="40" w:after="40"/>
            </w:pPr>
            <w:r>
              <w:rPr>
                <w:rFonts w:ascii="Calibri" w:hAnsi="Calibri"/>
                <w:sz w:val="18"/>
              </w:rPr>
              <w:t>95.00</w:t>
            </w:r>
          </w:p>
        </w:tc>
      </w:tr>
      <w:tr>
        <w:tc>
          <w:tcPr>
            <w:tcW w:type="dxa" w:w="1440"/>
            <w:shd w:fill="E8F0FE"/>
          </w:tcPr>
          <w:p>
            <w:pPr>
              <w:spacing w:before="40" w:after="40"/>
            </w:pPr>
            <w:r>
              <w:rPr>
                <w:rFonts w:ascii="Calibri" w:hAnsi="Calibri"/>
                <w:b/>
                <w:sz w:val="18"/>
              </w:rPr>
              <w:t>EBITDA Margin (%)</w:t>
            </w:r>
          </w:p>
        </w:tc>
        <w:tc>
          <w:tcPr>
            <w:tcW w:type="dxa" w:w="1440"/>
            <w:shd w:fill="E8F0FE"/>
          </w:tcPr>
          <w:p>
            <w:pPr>
              <w:spacing w:before="40" w:after="40"/>
            </w:pPr>
            <w:r>
              <w:rPr>
                <w:rFonts w:ascii="Calibri" w:hAnsi="Calibri"/>
                <w:sz w:val="18"/>
              </w:rPr>
              <w:t>4.75%</w:t>
            </w:r>
          </w:p>
        </w:tc>
        <w:tc>
          <w:tcPr>
            <w:tcW w:type="dxa" w:w="1440"/>
            <w:shd w:fill="E8F0FE"/>
          </w:tcPr>
          <w:p>
            <w:pPr>
              <w:spacing w:before="40" w:after="40"/>
            </w:pPr>
            <w:r>
              <w:rPr>
                <w:rFonts w:ascii="Calibri" w:hAnsi="Calibri"/>
                <w:sz w:val="18"/>
              </w:rPr>
              <w:t>5.38%</w:t>
            </w:r>
          </w:p>
        </w:tc>
        <w:tc>
          <w:tcPr>
            <w:tcW w:type="dxa" w:w="1440"/>
            <w:shd w:fill="E8F0FE"/>
          </w:tcPr>
          <w:p>
            <w:pPr>
              <w:spacing w:before="40" w:after="40"/>
            </w:pPr>
            <w:r>
              <w:rPr>
                <w:rFonts w:ascii="Calibri" w:hAnsi="Calibri"/>
                <w:sz w:val="18"/>
              </w:rPr>
              <w:t>6.47%</w:t>
            </w:r>
          </w:p>
        </w:tc>
        <w:tc>
          <w:tcPr>
            <w:tcW w:type="dxa" w:w="1440"/>
            <w:shd w:fill="E8F0FE"/>
          </w:tcPr>
          <w:p>
            <w:pPr>
              <w:spacing w:before="40" w:after="40"/>
            </w:pPr>
            <w:r>
              <w:rPr>
                <w:rFonts w:ascii="Calibri" w:hAnsi="Calibri"/>
                <w:sz w:val="18"/>
              </w:rPr>
              <w:t>7.14%</w:t>
            </w:r>
          </w:p>
        </w:tc>
        <w:tc>
          <w:tcPr>
            <w:tcW w:type="dxa" w:w="1440"/>
            <w:shd w:fill="E8F0FE"/>
          </w:tcPr>
          <w:p>
            <w:pPr>
              <w:spacing w:before="40" w:after="40"/>
            </w:pPr>
            <w:r>
              <w:rPr>
                <w:rFonts w:ascii="Calibri" w:hAnsi="Calibri"/>
                <w:sz w:val="18"/>
              </w:rPr>
              <w:t>7.60%</w:t>
            </w:r>
          </w:p>
        </w:tc>
      </w:tr>
      <w:tr>
        <w:tc>
          <w:tcPr>
            <w:tcW w:type="dxa" w:w="1440"/>
          </w:tcPr>
          <w:p>
            <w:pPr>
              <w:spacing w:before="40" w:after="40"/>
            </w:pPr>
            <w:r>
              <w:rPr>
                <w:rFonts w:ascii="Calibri" w:hAnsi="Calibri"/>
                <w:b/>
                <w:sz w:val="18"/>
              </w:rPr>
              <w:t>Depreciation (₹ Cr)</w:t>
            </w:r>
          </w:p>
        </w:tc>
        <w:tc>
          <w:tcPr>
            <w:tcW w:type="dxa" w:w="1440"/>
          </w:tcPr>
          <w:p>
            <w:pPr>
              <w:spacing w:before="40" w:after="40"/>
            </w:pPr>
            <w:r>
              <w:rPr>
                <w:rFonts w:ascii="Calibri" w:hAnsi="Calibri"/>
                <w:sz w:val="18"/>
              </w:rPr>
              <w:t>22.48</w:t>
            </w:r>
          </w:p>
        </w:tc>
        <w:tc>
          <w:tcPr>
            <w:tcW w:type="dxa" w:w="1440"/>
          </w:tcPr>
          <w:p>
            <w:pPr>
              <w:spacing w:before="40" w:after="40"/>
            </w:pPr>
            <w:r>
              <w:rPr>
                <w:rFonts w:ascii="Calibri" w:hAnsi="Calibri"/>
                <w:sz w:val="18"/>
              </w:rPr>
              <w:t>25.00</w:t>
            </w:r>
          </w:p>
        </w:tc>
        <w:tc>
          <w:tcPr>
            <w:tcW w:type="dxa" w:w="1440"/>
          </w:tcPr>
          <w:p>
            <w:pPr>
              <w:spacing w:before="40" w:after="40"/>
            </w:pPr>
            <w:r>
              <w:rPr>
                <w:rFonts w:ascii="Calibri" w:hAnsi="Calibri"/>
                <w:sz w:val="18"/>
              </w:rPr>
              <w:t>28.00</w:t>
            </w:r>
          </w:p>
        </w:tc>
        <w:tc>
          <w:tcPr>
            <w:tcW w:type="dxa" w:w="1440"/>
          </w:tcPr>
          <w:p>
            <w:pPr>
              <w:spacing w:before="40" w:after="40"/>
            </w:pPr>
            <w:r>
              <w:rPr>
                <w:rFonts w:ascii="Calibri" w:hAnsi="Calibri"/>
                <w:sz w:val="18"/>
              </w:rPr>
              <w:t>31.00</w:t>
            </w:r>
          </w:p>
        </w:tc>
        <w:tc>
          <w:tcPr>
            <w:tcW w:type="dxa" w:w="1440"/>
          </w:tcPr>
          <w:p>
            <w:pPr>
              <w:spacing w:before="40" w:after="40"/>
            </w:pPr>
            <w:r>
              <w:rPr>
                <w:rFonts w:ascii="Calibri" w:hAnsi="Calibri"/>
                <w:sz w:val="18"/>
              </w:rPr>
              <w:t>34.00</w:t>
            </w:r>
          </w:p>
        </w:tc>
      </w:tr>
      <w:tr>
        <w:tc>
          <w:tcPr>
            <w:tcW w:type="dxa" w:w="1440"/>
            <w:shd w:fill="E8F0FE"/>
          </w:tcPr>
          <w:p>
            <w:pPr>
              <w:spacing w:before="40" w:after="40"/>
            </w:pPr>
            <w:r>
              <w:rPr>
                <w:rFonts w:ascii="Calibri" w:hAnsi="Calibri"/>
                <w:b/>
                <w:sz w:val="18"/>
              </w:rPr>
              <w:t>Finance Cost (₹ Cr)</w:t>
            </w:r>
          </w:p>
        </w:tc>
        <w:tc>
          <w:tcPr>
            <w:tcW w:type="dxa" w:w="1440"/>
            <w:shd w:fill="E8F0FE"/>
          </w:tcPr>
          <w:p>
            <w:pPr>
              <w:spacing w:before="40" w:after="40"/>
            </w:pPr>
            <w:r>
              <w:rPr>
                <w:rFonts w:ascii="Calibri" w:hAnsi="Calibri"/>
                <w:sz w:val="18"/>
              </w:rPr>
              <w:t>3.84</w:t>
            </w:r>
          </w:p>
        </w:tc>
        <w:tc>
          <w:tcPr>
            <w:tcW w:type="dxa" w:w="1440"/>
            <w:shd w:fill="E8F0FE"/>
          </w:tcPr>
          <w:p>
            <w:pPr>
              <w:spacing w:before="40" w:after="40"/>
            </w:pPr>
            <w:r>
              <w:rPr>
                <w:rFonts w:ascii="Calibri" w:hAnsi="Calibri"/>
                <w:sz w:val="18"/>
              </w:rPr>
              <w:t>3.00</w:t>
            </w:r>
          </w:p>
        </w:tc>
        <w:tc>
          <w:tcPr>
            <w:tcW w:type="dxa" w:w="1440"/>
            <w:shd w:fill="E8F0FE"/>
          </w:tcPr>
          <w:p>
            <w:pPr>
              <w:spacing w:before="40" w:after="40"/>
            </w:pPr>
            <w:r>
              <w:rPr>
                <w:rFonts w:ascii="Calibri" w:hAnsi="Calibri"/>
                <w:sz w:val="18"/>
              </w:rPr>
              <w:t>2.50</w:t>
            </w:r>
          </w:p>
        </w:tc>
        <w:tc>
          <w:tcPr>
            <w:tcW w:type="dxa" w:w="1440"/>
            <w:shd w:fill="E8F0FE"/>
          </w:tcPr>
          <w:p>
            <w:pPr>
              <w:spacing w:before="40" w:after="40"/>
            </w:pPr>
            <w:r>
              <w:rPr>
                <w:rFonts w:ascii="Calibri" w:hAnsi="Calibri"/>
                <w:sz w:val="18"/>
              </w:rPr>
              <w:t>2.00</w:t>
            </w:r>
          </w:p>
        </w:tc>
        <w:tc>
          <w:tcPr>
            <w:tcW w:type="dxa" w:w="1440"/>
            <w:shd w:fill="E8F0FE"/>
          </w:tcPr>
          <w:p>
            <w:pPr>
              <w:spacing w:before="40" w:after="40"/>
            </w:pPr>
            <w:r>
              <w:rPr>
                <w:rFonts w:ascii="Calibri" w:hAnsi="Calibri"/>
                <w:sz w:val="18"/>
              </w:rPr>
              <w:t>1.50</w:t>
            </w:r>
          </w:p>
        </w:tc>
      </w:tr>
      <w:tr>
        <w:tc>
          <w:tcPr>
            <w:tcW w:type="dxa" w:w="1440"/>
          </w:tcPr>
          <w:p>
            <w:pPr>
              <w:spacing w:before="40" w:after="40"/>
            </w:pPr>
            <w:r>
              <w:rPr>
                <w:rFonts w:ascii="Calibri" w:hAnsi="Calibri"/>
                <w:b/>
                <w:sz w:val="18"/>
              </w:rPr>
              <w:t>PBT (Operating) (₹ Cr)</w:t>
            </w:r>
          </w:p>
        </w:tc>
        <w:tc>
          <w:tcPr>
            <w:tcW w:type="dxa" w:w="1440"/>
          </w:tcPr>
          <w:p>
            <w:pPr>
              <w:spacing w:before="40" w:after="40"/>
            </w:pPr>
            <w:r>
              <w:rPr>
                <w:rFonts w:ascii="Calibri" w:hAnsi="Calibri"/>
                <w:sz w:val="18"/>
              </w:rPr>
              <w:t>0.77</w:t>
            </w:r>
          </w:p>
        </w:tc>
        <w:tc>
          <w:tcPr>
            <w:tcW w:type="dxa" w:w="1440"/>
          </w:tcPr>
          <w:p>
            <w:pPr>
              <w:spacing w:before="40" w:after="40"/>
            </w:pPr>
            <w:r>
              <w:rPr>
                <w:rFonts w:ascii="Calibri" w:hAnsi="Calibri"/>
                <w:sz w:val="18"/>
              </w:rPr>
              <w:t>7.00</w:t>
            </w:r>
          </w:p>
        </w:tc>
        <w:tc>
          <w:tcPr>
            <w:tcW w:type="dxa" w:w="1440"/>
          </w:tcPr>
          <w:p>
            <w:pPr>
              <w:spacing w:before="40" w:after="40"/>
            </w:pPr>
            <w:r>
              <w:rPr>
                <w:rFonts w:ascii="Calibri" w:hAnsi="Calibri"/>
                <w:sz w:val="18"/>
              </w:rPr>
              <w:t>24.50</w:t>
            </w:r>
          </w:p>
        </w:tc>
        <w:tc>
          <w:tcPr>
            <w:tcW w:type="dxa" w:w="1440"/>
          </w:tcPr>
          <w:p>
            <w:pPr>
              <w:spacing w:before="40" w:after="40"/>
            </w:pPr>
            <w:r>
              <w:rPr>
                <w:rFonts w:ascii="Calibri" w:hAnsi="Calibri"/>
                <w:sz w:val="18"/>
              </w:rPr>
              <w:t>42.00</w:t>
            </w:r>
          </w:p>
        </w:tc>
        <w:tc>
          <w:tcPr>
            <w:tcW w:type="dxa" w:w="1440"/>
          </w:tcPr>
          <w:p>
            <w:pPr>
              <w:spacing w:before="40" w:after="40"/>
            </w:pPr>
            <w:r>
              <w:rPr>
                <w:rFonts w:ascii="Calibri" w:hAnsi="Calibri"/>
                <w:sz w:val="18"/>
              </w:rPr>
              <w:t>59.50</w:t>
            </w:r>
          </w:p>
        </w:tc>
      </w:tr>
      <w:tr>
        <w:tc>
          <w:tcPr>
            <w:tcW w:type="dxa" w:w="1440"/>
            <w:shd w:fill="E8F0FE"/>
          </w:tcPr>
          <w:p>
            <w:pPr>
              <w:spacing w:before="40" w:after="40"/>
            </w:pPr>
            <w:r>
              <w:rPr>
                <w:rFonts w:ascii="Calibri" w:hAnsi="Calibri"/>
                <w:b/>
                <w:sz w:val="18"/>
              </w:rPr>
              <w:t>Tax (₹ Cr)</w:t>
            </w:r>
          </w:p>
        </w:tc>
        <w:tc>
          <w:tcPr>
            <w:tcW w:type="dxa" w:w="1440"/>
            <w:shd w:fill="E8F0FE"/>
          </w:tcPr>
          <w:p>
            <w:pPr>
              <w:spacing w:before="40" w:after="40"/>
            </w:pPr>
            <w:r>
              <w:rPr>
                <w:rFonts w:ascii="Calibri" w:hAnsi="Calibri"/>
                <w:sz w:val="18"/>
              </w:rPr>
              <w:t>0.00</w:t>
            </w:r>
          </w:p>
        </w:tc>
        <w:tc>
          <w:tcPr>
            <w:tcW w:type="dxa" w:w="1440"/>
            <w:shd w:fill="E8F0FE"/>
          </w:tcPr>
          <w:p>
            <w:pPr>
              <w:spacing w:before="40" w:after="40"/>
            </w:pPr>
            <w:r>
              <w:rPr>
                <w:rFonts w:ascii="Calibri" w:hAnsi="Calibri"/>
                <w:sz w:val="18"/>
              </w:rPr>
              <w:t>1.75</w:t>
            </w:r>
          </w:p>
        </w:tc>
        <w:tc>
          <w:tcPr>
            <w:tcW w:type="dxa" w:w="1440"/>
            <w:shd w:fill="E8F0FE"/>
          </w:tcPr>
          <w:p>
            <w:pPr>
              <w:spacing w:before="40" w:after="40"/>
            </w:pPr>
            <w:r>
              <w:rPr>
                <w:rFonts w:ascii="Calibri" w:hAnsi="Calibri"/>
                <w:sz w:val="18"/>
              </w:rPr>
              <w:t>6.13</w:t>
            </w:r>
          </w:p>
        </w:tc>
        <w:tc>
          <w:tcPr>
            <w:tcW w:type="dxa" w:w="1440"/>
            <w:shd w:fill="E8F0FE"/>
          </w:tcPr>
          <w:p>
            <w:pPr>
              <w:spacing w:before="40" w:after="40"/>
            </w:pPr>
            <w:r>
              <w:rPr>
                <w:rFonts w:ascii="Calibri" w:hAnsi="Calibri"/>
                <w:sz w:val="18"/>
              </w:rPr>
              <w:t>10.50</w:t>
            </w:r>
          </w:p>
        </w:tc>
        <w:tc>
          <w:tcPr>
            <w:tcW w:type="dxa" w:w="1440"/>
            <w:shd w:fill="E8F0FE"/>
          </w:tcPr>
          <w:p>
            <w:pPr>
              <w:spacing w:before="40" w:after="40"/>
            </w:pPr>
            <w:r>
              <w:rPr>
                <w:rFonts w:ascii="Calibri" w:hAnsi="Calibri"/>
                <w:sz w:val="18"/>
              </w:rPr>
              <w:t>14.88</w:t>
            </w:r>
          </w:p>
        </w:tc>
      </w:tr>
      <w:tr>
        <w:tc>
          <w:tcPr>
            <w:tcW w:type="dxa" w:w="1440"/>
          </w:tcPr>
          <w:p>
            <w:pPr>
              <w:spacing w:before="40" w:after="40"/>
            </w:pPr>
            <w:r>
              <w:rPr>
                <w:rFonts w:ascii="Calibri" w:hAnsi="Calibri"/>
                <w:b/>
                <w:sz w:val="18"/>
              </w:rPr>
              <w:t>PAT (Operating) (₹ Cr)</w:t>
            </w:r>
          </w:p>
        </w:tc>
        <w:tc>
          <w:tcPr>
            <w:tcW w:type="dxa" w:w="1440"/>
          </w:tcPr>
          <w:p>
            <w:pPr>
              <w:spacing w:before="40" w:after="40"/>
            </w:pPr>
            <w:r>
              <w:rPr>
                <w:rFonts w:ascii="Calibri" w:hAnsi="Calibri"/>
                <w:sz w:val="18"/>
              </w:rPr>
              <w:t>0.77</w:t>
            </w:r>
          </w:p>
        </w:tc>
        <w:tc>
          <w:tcPr>
            <w:tcW w:type="dxa" w:w="1440"/>
          </w:tcPr>
          <w:p>
            <w:pPr>
              <w:spacing w:before="40" w:after="40"/>
            </w:pPr>
            <w:r>
              <w:rPr>
                <w:rFonts w:ascii="Calibri" w:hAnsi="Calibri"/>
                <w:sz w:val="18"/>
              </w:rPr>
              <w:t>5.25</w:t>
            </w:r>
          </w:p>
        </w:tc>
        <w:tc>
          <w:tcPr>
            <w:tcW w:type="dxa" w:w="1440"/>
          </w:tcPr>
          <w:p>
            <w:pPr>
              <w:spacing w:before="40" w:after="40"/>
            </w:pPr>
            <w:r>
              <w:rPr>
                <w:rFonts w:ascii="Calibri" w:hAnsi="Calibri"/>
                <w:sz w:val="18"/>
              </w:rPr>
              <w:t>18.37</w:t>
            </w:r>
          </w:p>
        </w:tc>
        <w:tc>
          <w:tcPr>
            <w:tcW w:type="dxa" w:w="1440"/>
          </w:tcPr>
          <w:p>
            <w:pPr>
              <w:spacing w:before="40" w:after="40"/>
            </w:pPr>
            <w:r>
              <w:rPr>
                <w:rFonts w:ascii="Calibri" w:hAnsi="Calibri"/>
                <w:sz w:val="18"/>
              </w:rPr>
              <w:t>31.50</w:t>
            </w:r>
          </w:p>
        </w:tc>
        <w:tc>
          <w:tcPr>
            <w:tcW w:type="dxa" w:w="1440"/>
          </w:tcPr>
          <w:p>
            <w:pPr>
              <w:spacing w:before="40" w:after="40"/>
            </w:pPr>
            <w:r>
              <w:rPr>
                <w:rFonts w:ascii="Calibri" w:hAnsi="Calibri"/>
                <w:sz w:val="18"/>
              </w:rPr>
              <w:t>44.62</w:t>
            </w:r>
          </w:p>
        </w:tc>
      </w:tr>
      <w:tr>
        <w:tc>
          <w:tcPr>
            <w:tcW w:type="dxa" w:w="1440"/>
            <w:shd w:fill="E8F0FE"/>
          </w:tcPr>
          <w:p>
            <w:pPr>
              <w:spacing w:before="40" w:after="40"/>
            </w:pPr>
            <w:r>
              <w:rPr>
                <w:rFonts w:ascii="Calibri" w:hAnsi="Calibri"/>
                <w:b/>
                <w:sz w:val="18"/>
              </w:rPr>
              <w:t>EPS (Operating) (₹)</w:t>
            </w:r>
          </w:p>
        </w:tc>
        <w:tc>
          <w:tcPr>
            <w:tcW w:type="dxa" w:w="1440"/>
            <w:shd w:fill="E8F0FE"/>
          </w:tcPr>
          <w:p>
            <w:pPr>
              <w:spacing w:before="40" w:after="40"/>
            </w:pPr>
            <w:r>
              <w:rPr>
                <w:rFonts w:ascii="Calibri" w:hAnsi="Calibri"/>
                <w:sz w:val="18"/>
              </w:rPr>
              <w:t>0.01</w:t>
            </w:r>
          </w:p>
        </w:tc>
        <w:tc>
          <w:tcPr>
            <w:tcW w:type="dxa" w:w="1440"/>
            <w:shd w:fill="E8F0FE"/>
          </w:tcPr>
          <w:p>
            <w:pPr>
              <w:spacing w:before="40" w:after="40"/>
            </w:pPr>
            <w:r>
              <w:rPr>
                <w:rFonts w:ascii="Calibri" w:hAnsi="Calibri"/>
                <w:sz w:val="18"/>
              </w:rPr>
              <w:t>0.06</w:t>
            </w:r>
          </w:p>
        </w:tc>
        <w:tc>
          <w:tcPr>
            <w:tcW w:type="dxa" w:w="1440"/>
            <w:shd w:fill="E8F0FE"/>
          </w:tcPr>
          <w:p>
            <w:pPr>
              <w:spacing w:before="40" w:after="40"/>
            </w:pPr>
            <w:r>
              <w:rPr>
                <w:rFonts w:ascii="Calibri" w:hAnsi="Calibri"/>
                <w:sz w:val="18"/>
              </w:rPr>
              <w:t>0.21</w:t>
            </w:r>
          </w:p>
        </w:tc>
        <w:tc>
          <w:tcPr>
            <w:tcW w:type="dxa" w:w="1440"/>
            <w:shd w:fill="E8F0FE"/>
          </w:tcPr>
          <w:p>
            <w:pPr>
              <w:spacing w:before="40" w:after="40"/>
            </w:pPr>
            <w:r>
              <w:rPr>
                <w:rFonts w:ascii="Calibri" w:hAnsi="Calibri"/>
                <w:sz w:val="18"/>
              </w:rPr>
              <w:t>0.36</w:t>
            </w:r>
          </w:p>
        </w:tc>
        <w:tc>
          <w:tcPr>
            <w:tcW w:type="dxa" w:w="1440"/>
            <w:shd w:fill="E8F0FE"/>
          </w:tcPr>
          <w:p>
            <w:pPr>
              <w:spacing w:before="40" w:after="40"/>
            </w:pPr>
            <w:r>
              <w:rPr>
                <w:rFonts w:ascii="Calibri" w:hAnsi="Calibri"/>
                <w:sz w:val="18"/>
              </w:rPr>
              <w:t>0.51</w:t>
            </w:r>
          </w:p>
        </w:tc>
      </w:tr>
    </w:tbl>
    <w:p/>
    <w:p>
      <w:r>
        <w:rPr>
          <w:rFonts w:ascii="Calibri" w:hAnsi="Calibri"/>
          <w:i/>
          <w:color w:val="666666"/>
          <w:sz w:val="18"/>
        </w:rPr>
        <w:t>Note: FY26 estimates are based on Q3 FY26 results and management guidance. FY27-FY29 estimates are based on management's revenue targets and projected margin expansion.</w:t>
      </w:r>
    </w:p>
    <w:p>
      <w:pPr>
        <w:pStyle w:val="Heading2"/>
      </w:pPr>
      <w:r>
        <w:rPr>
          <w:rFonts w:ascii="Calibri" w:hAnsi="Calibri"/>
          <w:color w:val="1F5F8B"/>
          <w:sz w:val="26"/>
        </w:rPr>
        <w:t>7.1 Key Assumptions Behind Estimates</w:t>
      </w:r>
    </w:p>
    <w:p>
      <w:pPr>
        <w:pStyle w:val="ListBullet"/>
        <w:spacing w:after="80"/>
      </w:pPr>
      <w:r>
        <w:rPr>
          <w:rFonts w:ascii="Calibri" w:hAnsi="Calibri"/>
          <w:color w:val="333333"/>
          <w:sz w:val="20"/>
        </w:rPr>
        <w:t xml:space="preserve">  </w:t>
      </w:r>
      <w:r>
        <w:rPr>
          <w:rFonts w:ascii="Calibri" w:hAnsi="Calibri"/>
          <w:b/>
          <w:color w:val="333333"/>
          <w:sz w:val="20"/>
        </w:rPr>
        <w:t>Revenue:</w:t>
      </w:r>
      <w:r>
        <w:rPr>
          <w:rFonts w:ascii="Calibri" w:hAnsi="Calibri"/>
          <w:color w:val="333333"/>
          <w:sz w:val="20"/>
        </w:rPr>
        <w:t xml:space="preserve"> Assumes successful execution of the Viatris partnership from FY27, continued growth in CMO contracts, and steady expansion of own-brand sales in emerging markets. Domestic business is projected to grow at 15-20% CAGR.</w:t>
      </w:r>
    </w:p>
    <w:p>
      <w:pPr>
        <w:pStyle w:val="ListBullet"/>
        <w:spacing w:after="80"/>
      </w:pPr>
      <w:r>
        <w:rPr>
          <w:rFonts w:ascii="Calibri" w:hAnsi="Calibri"/>
          <w:color w:val="333333"/>
          <w:sz w:val="20"/>
        </w:rPr>
        <w:t xml:space="preserve">  </w:t>
      </w:r>
      <w:r>
        <w:rPr>
          <w:rFonts w:ascii="Calibri" w:hAnsi="Calibri"/>
          <w:b/>
          <w:color w:val="333333"/>
          <w:sz w:val="20"/>
        </w:rPr>
        <w:t>Gross Margin:</w:t>
      </w:r>
      <w:r>
        <w:rPr>
          <w:rFonts w:ascii="Calibri" w:hAnsi="Calibri"/>
          <w:color w:val="333333"/>
          <w:sz w:val="20"/>
        </w:rPr>
        <w:t xml:space="preserve"> Projected to improve from ~45% in FY25 to ~51% by FY29, driven by a favorable mix shift towards higher-margin Domestic Ethical (76% GM) and Export Own Brands (51% GM) segments, alongside improved operational efficiencies.</w:t>
      </w:r>
    </w:p>
    <w:p>
      <w:pPr>
        <w:pStyle w:val="ListBullet"/>
        <w:spacing w:after="80"/>
      </w:pPr>
      <w:r>
        <w:rPr>
          <w:rFonts w:ascii="Calibri" w:hAnsi="Calibri"/>
          <w:color w:val="333333"/>
          <w:sz w:val="20"/>
        </w:rPr>
        <w:t xml:space="preserve">  </w:t>
      </w:r>
      <w:r>
        <w:rPr>
          <w:rFonts w:ascii="Calibri" w:hAnsi="Calibri"/>
          <w:b/>
          <w:color w:val="333333"/>
          <w:sz w:val="20"/>
        </w:rPr>
        <w:t>EBITDA Margin:</w:t>
      </w:r>
      <w:r>
        <w:rPr>
          <w:rFonts w:ascii="Calibri" w:hAnsi="Calibri"/>
          <w:color w:val="333333"/>
          <w:sz w:val="20"/>
        </w:rPr>
        <w:t xml:space="preserve"> Expected to expand by 250-300 basis points from FY25 levels, driven by operating leverage, higher capacity utilization, and cost efficiencies post-merger.</w:t>
      </w:r>
    </w:p>
    <w:p>
      <w:pPr>
        <w:pStyle w:val="ListBullet"/>
        <w:spacing w:after="80"/>
      </w:pPr>
      <w:r>
        <w:rPr>
          <w:rFonts w:ascii="Calibri" w:hAnsi="Calibri"/>
          <w:color w:val="333333"/>
          <w:sz w:val="20"/>
        </w:rPr>
        <w:t xml:space="preserve">  </w:t>
      </w:r>
      <w:r>
        <w:rPr>
          <w:rFonts w:ascii="Calibri" w:hAnsi="Calibri"/>
          <w:b/>
          <w:color w:val="333333"/>
          <w:sz w:val="20"/>
        </w:rPr>
        <w:t>Capex:</w:t>
      </w:r>
      <w:r>
        <w:rPr>
          <w:rFonts w:ascii="Calibri" w:hAnsi="Calibri"/>
          <w:color w:val="333333"/>
          <w:sz w:val="20"/>
        </w:rPr>
        <w:t xml:space="preserve"> Assumes moderate capex for capacity debottlenecking and regulatory compliance, funded through internal accruals.</w:t>
      </w:r>
    </w:p>
    <w:p>
      <w:pPr>
        <w:pStyle w:val="ListBullet"/>
        <w:spacing w:after="80"/>
      </w:pPr>
      <w:r>
        <w:rPr>
          <w:rFonts w:ascii="Calibri" w:hAnsi="Calibri"/>
          <w:color w:val="333333"/>
          <w:sz w:val="20"/>
        </w:rPr>
        <w:t xml:space="preserve">  </w:t>
      </w:r>
      <w:r>
        <w:rPr>
          <w:rFonts w:ascii="Calibri" w:hAnsi="Calibri"/>
          <w:b/>
          <w:color w:val="333333"/>
          <w:sz w:val="20"/>
        </w:rPr>
        <w:t>Working Capital:</w:t>
      </w:r>
      <w:r>
        <w:rPr>
          <w:rFonts w:ascii="Calibri" w:hAnsi="Calibri"/>
          <w:color w:val="333333"/>
          <w:sz w:val="20"/>
        </w:rPr>
        <w:t xml:space="preserve"> Assumes efficient management of working capital, with receivables and inventory turnover improving as revenue scales.</w:t>
      </w:r>
    </w:p>
    <w:p>
      <w:pPr>
        <w:pStyle w:val="ListBullet"/>
        <w:spacing w:after="80"/>
      </w:pPr>
      <w:r>
        <w:rPr>
          <w:rFonts w:ascii="Calibri" w:hAnsi="Calibri"/>
          <w:color w:val="333333"/>
          <w:sz w:val="20"/>
        </w:rPr>
        <w:t xml:space="preserve">  </w:t>
      </w:r>
      <w:r>
        <w:rPr>
          <w:rFonts w:ascii="Calibri" w:hAnsi="Calibri"/>
          <w:b/>
          <w:color w:val="333333"/>
          <w:sz w:val="20"/>
        </w:rPr>
        <w:t>Tax Rate:</w:t>
      </w:r>
      <w:r>
        <w:rPr>
          <w:rFonts w:ascii="Calibri" w:hAnsi="Calibri"/>
          <w:color w:val="333333"/>
          <w:sz w:val="20"/>
        </w:rPr>
        <w:t xml:space="preserve"> Assumed at a normalized effective tax rate of approximately 25-30% on PBT.</w:t>
      </w:r>
    </w:p>
    <w:p>
      <w:pPr>
        <w:pStyle w:val="ListBullet"/>
        <w:spacing w:after="80"/>
      </w:pPr>
      <w:r>
        <w:rPr>
          <w:rFonts w:ascii="Calibri" w:hAnsi="Calibri"/>
          <w:color w:val="333333"/>
          <w:sz w:val="20"/>
        </w:rPr>
        <w:t xml:space="preserve">  </w:t>
      </w:r>
      <w:r>
        <w:rPr>
          <w:rFonts w:ascii="Calibri" w:hAnsi="Calibri"/>
          <w:b/>
          <w:color w:val="333333"/>
          <w:sz w:val="20"/>
        </w:rPr>
        <w:t>Share Count:</w:t>
      </w:r>
      <w:r>
        <w:rPr>
          <w:rFonts w:ascii="Calibri" w:hAnsi="Calibri"/>
          <w:color w:val="333333"/>
          <w:sz w:val="20"/>
        </w:rPr>
        <w:t xml:space="preserve"> Assumes the current share count of approximately 81.61 million shares, with potential minor dilution from ESOPs.</w:t>
      </w:r>
    </w:p>
    <w:p>
      <w:pPr>
        <w:pStyle w:val="Heading1"/>
      </w:pPr>
      <w:r>
        <w:rPr>
          <w:rFonts w:ascii="Calibri" w:hAnsi="Calibri"/>
          <w:color w:val="1F5F8B"/>
          <w:sz w:val="32"/>
        </w:rPr>
        <w:t>8. Capex &amp; Management Guidance Summary</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Guidance Parameter</w:t>
            </w:r>
          </w:p>
        </w:tc>
        <w:tc>
          <w:tcPr>
            <w:tcW w:type="dxa" w:w="2880"/>
            <w:shd w:fill="1F5F8B"/>
          </w:tcPr>
          <w:p>
            <w:pPr>
              <w:spacing w:before="40" w:after="40"/>
            </w:pPr>
            <w:r>
              <w:rPr>
                <w:rFonts w:ascii="Calibri" w:hAnsi="Calibri"/>
                <w:b/>
                <w:color w:val="FFFFFF"/>
                <w:sz w:val="18"/>
              </w:rPr>
              <w:t>Target</w:t>
            </w:r>
          </w:p>
        </w:tc>
        <w:tc>
          <w:tcPr>
            <w:tcW w:type="dxa" w:w="2880"/>
            <w:shd w:fill="1F5F8B"/>
          </w:tcPr>
          <w:p>
            <w:pPr>
              <w:spacing w:before="40" w:after="40"/>
            </w:pPr>
            <w:r>
              <w:rPr>
                <w:rFonts w:ascii="Calibri" w:hAnsi="Calibri"/>
                <w:b/>
                <w:color w:val="FFFFFF"/>
                <w:sz w:val="18"/>
              </w:rPr>
              <w:t>Timeline</w:t>
            </w:r>
          </w:p>
        </w:tc>
      </w:tr>
      <w:tr>
        <w:tc>
          <w:tcPr>
            <w:tcW w:type="dxa" w:w="2880"/>
          </w:tcPr>
          <w:p>
            <w:pPr>
              <w:spacing w:before="40" w:after="40"/>
            </w:pPr>
            <w:r>
              <w:rPr>
                <w:rFonts w:ascii="Calibri" w:hAnsi="Calibri"/>
                <w:b/>
                <w:sz w:val="18"/>
              </w:rPr>
              <w:t>Revenue Target</w:t>
            </w:r>
          </w:p>
        </w:tc>
        <w:tc>
          <w:tcPr>
            <w:tcW w:type="dxa" w:w="2880"/>
          </w:tcPr>
          <w:p>
            <w:pPr>
              <w:spacing w:before="40" w:after="40"/>
            </w:pPr>
            <w:r>
              <w:rPr>
                <w:rFonts w:ascii="Calibri" w:hAnsi="Calibri"/>
                <w:sz w:val="18"/>
              </w:rPr>
              <w:t>₹1,200+ Cr</w:t>
            </w:r>
          </w:p>
        </w:tc>
        <w:tc>
          <w:tcPr>
            <w:tcW w:type="dxa" w:w="2880"/>
          </w:tcPr>
          <w:p>
            <w:pPr>
              <w:spacing w:before="40" w:after="40"/>
            </w:pPr>
            <w:r>
              <w:rPr>
                <w:rFonts w:ascii="Calibri" w:hAnsi="Calibri"/>
                <w:sz w:val="18"/>
              </w:rPr>
              <w:t>By FY29</w:t>
            </w:r>
          </w:p>
        </w:tc>
      </w:tr>
      <w:tr>
        <w:tc>
          <w:tcPr>
            <w:tcW w:type="dxa" w:w="2880"/>
            <w:shd w:fill="E8F0FE"/>
          </w:tcPr>
          <w:p>
            <w:pPr>
              <w:spacing w:before="40" w:after="40"/>
            </w:pPr>
            <w:r>
              <w:rPr>
                <w:rFonts w:ascii="Calibri" w:hAnsi="Calibri"/>
                <w:b/>
                <w:sz w:val="18"/>
              </w:rPr>
              <w:t>Revenue CAGR</w:t>
            </w:r>
          </w:p>
        </w:tc>
        <w:tc>
          <w:tcPr>
            <w:tcW w:type="dxa" w:w="2880"/>
            <w:shd w:fill="E8F0FE"/>
          </w:tcPr>
          <w:p>
            <w:pPr>
              <w:spacing w:before="40" w:after="40"/>
            </w:pPr>
            <w:r>
              <w:rPr>
                <w:rFonts w:ascii="Calibri" w:hAnsi="Calibri"/>
                <w:sz w:val="18"/>
              </w:rPr>
              <w:t>20-25%</w:t>
            </w:r>
          </w:p>
        </w:tc>
        <w:tc>
          <w:tcPr>
            <w:tcW w:type="dxa" w:w="2880"/>
            <w:shd w:fill="E8F0FE"/>
          </w:tcPr>
          <w:p>
            <w:pPr>
              <w:spacing w:before="40" w:after="40"/>
            </w:pPr>
            <w:r>
              <w:rPr>
                <w:rFonts w:ascii="Calibri" w:hAnsi="Calibri"/>
                <w:sz w:val="18"/>
              </w:rPr>
              <w:t>FY25-FY29</w:t>
            </w:r>
          </w:p>
        </w:tc>
      </w:tr>
      <w:tr>
        <w:tc>
          <w:tcPr>
            <w:tcW w:type="dxa" w:w="2880"/>
          </w:tcPr>
          <w:p>
            <w:pPr>
              <w:spacing w:before="40" w:after="40"/>
            </w:pPr>
            <w:r>
              <w:rPr>
                <w:rFonts w:ascii="Calibri" w:hAnsi="Calibri"/>
                <w:b/>
                <w:sz w:val="18"/>
              </w:rPr>
              <w:t>Key Segment Targets</w:t>
            </w:r>
          </w:p>
        </w:tc>
        <w:tc>
          <w:tcPr>
            <w:tcW w:type="dxa" w:w="2880"/>
          </w:tcPr>
          <w:p>
            <w:pPr>
              <w:spacing w:before="40" w:after="40"/>
            </w:pPr>
            <w:r>
              <w:rPr>
                <w:rFonts w:ascii="Calibri" w:hAnsi="Calibri"/>
                <w:sz w:val="18"/>
              </w:rPr>
              <w:t>CDMO to ₹550-600 Cr; Domestic to ₹300-350 Cr</w:t>
            </w:r>
          </w:p>
        </w:tc>
        <w:tc>
          <w:tcPr>
            <w:tcW w:type="dxa" w:w="2880"/>
          </w:tcPr>
          <w:p>
            <w:pPr>
              <w:spacing w:before="40" w:after="40"/>
            </w:pPr>
            <w:r>
              <w:rPr>
                <w:rFonts w:ascii="Calibri" w:hAnsi="Calibri"/>
                <w:sz w:val="18"/>
              </w:rPr>
              <w:t>By FY29</w:t>
            </w:r>
          </w:p>
        </w:tc>
      </w:tr>
      <w:tr>
        <w:tc>
          <w:tcPr>
            <w:tcW w:type="dxa" w:w="2880"/>
            <w:shd w:fill="E8F0FE"/>
          </w:tcPr>
          <w:p>
            <w:pPr>
              <w:spacing w:before="40" w:after="40"/>
            </w:pPr>
            <w:r>
              <w:rPr>
                <w:rFonts w:ascii="Calibri" w:hAnsi="Calibri"/>
                <w:b/>
                <w:sz w:val="18"/>
              </w:rPr>
              <w:t>EBITDA Margin Target</w:t>
            </w:r>
          </w:p>
        </w:tc>
        <w:tc>
          <w:tcPr>
            <w:tcW w:type="dxa" w:w="2880"/>
            <w:shd w:fill="E8F0FE"/>
          </w:tcPr>
          <w:p>
            <w:pPr>
              <w:spacing w:before="40" w:after="40"/>
            </w:pPr>
            <w:r>
              <w:rPr>
                <w:rFonts w:ascii="Calibri" w:hAnsi="Calibri"/>
                <w:sz w:val="18"/>
              </w:rPr>
              <w:t>7.60% (FY29E)</w:t>
            </w:r>
          </w:p>
        </w:tc>
        <w:tc>
          <w:tcPr>
            <w:tcW w:type="dxa" w:w="2880"/>
            <w:shd w:fill="E8F0FE"/>
          </w:tcPr>
          <w:p>
            <w:pPr>
              <w:spacing w:before="40" w:after="40"/>
            </w:pPr>
            <w:r>
              <w:rPr>
                <w:rFonts w:ascii="Calibri" w:hAnsi="Calibri"/>
                <w:sz w:val="18"/>
              </w:rPr>
              <w:t>Expansion of 250-300 BPS from FY25</w:t>
            </w:r>
          </w:p>
        </w:tc>
      </w:tr>
      <w:tr>
        <w:tc>
          <w:tcPr>
            <w:tcW w:type="dxa" w:w="2880"/>
          </w:tcPr>
          <w:p>
            <w:pPr>
              <w:spacing w:before="40" w:after="40"/>
            </w:pPr>
            <w:r>
              <w:rPr>
                <w:rFonts w:ascii="Calibri" w:hAnsi="Calibri"/>
                <w:b/>
                <w:sz w:val="18"/>
              </w:rPr>
              <w:t>Capex Plans</w:t>
            </w:r>
          </w:p>
        </w:tc>
        <w:tc>
          <w:tcPr>
            <w:tcW w:type="dxa" w:w="2880"/>
          </w:tcPr>
          <w:p>
            <w:pPr>
              <w:spacing w:before="40" w:after="40"/>
            </w:pPr>
            <w:r>
              <w:rPr>
                <w:rFonts w:ascii="Calibri" w:hAnsi="Calibri"/>
                <w:sz w:val="18"/>
              </w:rPr>
              <w:t>Funded through internal accruals for capacity debottlenecking and regulatory compliance</w:t>
            </w:r>
          </w:p>
        </w:tc>
        <w:tc>
          <w:tcPr>
            <w:tcW w:type="dxa" w:w="2880"/>
          </w:tcPr>
          <w:p>
            <w:pPr>
              <w:spacing w:before="40" w:after="40"/>
            </w:pPr>
            <w:r>
              <w:rPr>
                <w:rFonts w:ascii="Calibri" w:hAnsi="Calibri"/>
                <w:sz w:val="18"/>
              </w:rPr>
              <w:t>Ongoing</w:t>
            </w:r>
          </w:p>
        </w:tc>
      </w:tr>
      <w:tr>
        <w:tc>
          <w:tcPr>
            <w:tcW w:type="dxa" w:w="2880"/>
            <w:shd w:fill="E8F0FE"/>
          </w:tcPr>
          <w:p>
            <w:pPr>
              <w:spacing w:before="40" w:after="40"/>
            </w:pPr>
            <w:r>
              <w:rPr>
                <w:rFonts w:ascii="Calibri" w:hAnsi="Calibri"/>
                <w:b/>
                <w:sz w:val="18"/>
              </w:rPr>
              <w:t>Dividend Policy</w:t>
            </w:r>
          </w:p>
        </w:tc>
        <w:tc>
          <w:tcPr>
            <w:tcW w:type="dxa" w:w="2880"/>
            <w:shd w:fill="E8F0FE"/>
          </w:tcPr>
          <w:p>
            <w:pPr>
              <w:spacing w:before="40" w:after="40"/>
            </w:pPr>
            <w:r>
              <w:rPr>
                <w:rFonts w:ascii="Calibri" w:hAnsi="Calibri"/>
                <w:sz w:val="18"/>
              </w:rPr>
              <w:t>Not proposed for FY25; focus on reinvestment for growth</w:t>
            </w:r>
          </w:p>
        </w:tc>
        <w:tc>
          <w:tcPr>
            <w:tcW w:type="dxa" w:w="2880"/>
            <w:shd w:fill="E8F0FE"/>
          </w:tcPr>
          <w:p>
            <w:pPr>
              <w:spacing w:before="40" w:after="40"/>
            </w:pPr>
            <w:r>
              <w:rPr>
                <w:rFonts w:ascii="Calibri" w:hAnsi="Calibri"/>
                <w:sz w:val="18"/>
              </w:rPr>
              <w:t>N.A.</w:t>
            </w:r>
          </w:p>
        </w:tc>
      </w:tr>
      <w:tr>
        <w:tc>
          <w:tcPr>
            <w:tcW w:type="dxa" w:w="2880"/>
          </w:tcPr>
          <w:p>
            <w:pPr>
              <w:spacing w:before="40" w:after="40"/>
            </w:pPr>
            <w:r>
              <w:rPr>
                <w:rFonts w:ascii="Calibri" w:hAnsi="Calibri"/>
                <w:b/>
                <w:sz w:val="18"/>
              </w:rPr>
              <w:t>Debt Status</w:t>
            </w:r>
          </w:p>
        </w:tc>
        <w:tc>
          <w:tcPr>
            <w:tcW w:type="dxa" w:w="2880"/>
          </w:tcPr>
          <w:p>
            <w:pPr>
              <w:spacing w:before="40" w:after="40"/>
            </w:pPr>
            <w:r>
              <w:rPr>
                <w:rFonts w:ascii="Calibri" w:hAnsi="Calibri"/>
                <w:sz w:val="18"/>
              </w:rPr>
              <w:t>Net Debt-Free</w:t>
            </w:r>
          </w:p>
        </w:tc>
        <w:tc>
          <w:tcPr>
            <w:tcW w:type="dxa" w:w="2880"/>
          </w:tcPr>
          <w:p>
            <w:pPr>
              <w:spacing w:before="40" w:after="40"/>
            </w:pPr>
            <w:r>
              <w:rPr>
                <w:rFonts w:ascii="Calibri" w:hAnsi="Calibri"/>
                <w:sz w:val="18"/>
              </w:rPr>
              <w:t>Achieved</w:t>
            </w:r>
          </w:p>
        </w:tc>
      </w:tr>
    </w:tbl>
    <w:p/>
    <w:p>
      <w:pPr>
        <w:pStyle w:val="Heading1"/>
      </w:pPr>
      <w:r>
        <w:rPr>
          <w:rFonts w:ascii="Calibri" w:hAnsi="Calibri"/>
          <w:color w:val="1F5F8B"/>
          <w:sz w:val="32"/>
        </w:rPr>
        <w:t>9. Conclusion &amp; Investment Summary</w:t>
      </w:r>
    </w:p>
    <w:p>
      <w:pPr>
        <w:spacing w:before="0" w:after="120"/>
      </w:pPr>
    </w:p>
    <w:p>
      <w:pPr>
        <w:pStyle w:val="Heading2"/>
      </w:pPr>
      <w:r>
        <w:rPr>
          <w:rFonts w:ascii="Calibri" w:hAnsi="Calibri"/>
          <w:color w:val="1F5F8B"/>
          <w:sz w:val="26"/>
        </w:rPr>
        <w:t>Bull Case</w:t>
      </w:r>
    </w:p>
    <w:p>
      <w:pPr>
        <w:spacing w:after="80"/>
      </w:pPr>
      <w:r>
        <w:rPr>
          <w:rFonts w:ascii="Calibri" w:hAnsi="Calibri"/>
          <w:color w:val="333333"/>
          <w:sz w:val="20"/>
        </w:rPr>
        <w:t>Ind-Swift Laboratories presents a compelling investment case driven by its successful strategic transformation into a pure-play, debt-free formulations company. The company's strong execution capabilities, evidenced by the timely completion of the API divestment and the merger with Ind-Swift Limited, have created a robust platform for growth. With a clear roadmap to double revenue by FY29, supported by a diversified business model encompassing high-margin domestic ethical products, growing export own brands, and a strengthening CDMO segment through key partnerships like Viatris, ISLL is well-positioned to capitalize on the expanding global pharmaceutical market. Its strong R&amp;D pipeline, extensive regulatory approvals, and commitment to quality further enhance its competitive advantages. The management's focus on operational efficiency, capacity expansion, and disciplined capital allocation, coupled with a debt-free balance sheet, provides significant financial flexibility to pursue organic and potential inorganic growth opportunities, making it an attractive proposition for long-term investors.</w:t>
      </w:r>
    </w:p>
    <w:p>
      <w:pPr>
        <w:pStyle w:val="Heading2"/>
      </w:pPr>
      <w:r>
        <w:rPr>
          <w:rFonts w:ascii="Calibri" w:hAnsi="Calibri"/>
          <w:color w:val="1F5F8B"/>
          <w:sz w:val="26"/>
        </w:rPr>
        <w:t>Bear Case</w:t>
      </w:r>
    </w:p>
    <w:p>
      <w:pPr>
        <w:spacing w:after="80"/>
      </w:pPr>
      <w:r>
        <w:rPr>
          <w:rFonts w:ascii="Calibri" w:hAnsi="Calibri"/>
          <w:color w:val="333333"/>
          <w:sz w:val="20"/>
        </w:rPr>
        <w:t>Despite the positive transformation, Ind-Swift Laboratories faces several risks that could impede its growth trajectory. Execution risk remains a primary concern, as the company needs to successfully scale its operations, penetrate new markets, and bring its product pipeline to fruition within projected timelines and budgets. The competitive intensity in the pharmaceutical formulations market, particularly in generics, could exert pressure on margins and limit pricing power. Customer concentration, especially with key CMO partners, poses a risk if these relationships are adversely affected. While governance has improved, the continued significant presence of the promoter family in key leadership roles requires ongoing scrutiny for potential conflicts of interest and adherence to best practices. Furthermore, any delays in regulatory approvals, unforeseen changes in global regulatory landscapes, or adverse shifts in foreign exchange rates could impact export revenues and profitability. The company's ability to effectively manage its working capital and navigate the complex legal and procedural aspects of property title transfers for certain assets also warrants close monitoring.</w:t>
      </w:r>
    </w:p>
    <w:p>
      <w:pPr>
        <w:pStyle w:val="Heading2"/>
      </w:pPr>
      <w:r>
        <w:rPr>
          <w:rFonts w:ascii="Calibri" w:hAnsi="Calibri"/>
          <w:color w:val="1F5F8B"/>
          <w:sz w:val="26"/>
        </w:rPr>
        <w:t>Key Monitorables</w:t>
      </w:r>
    </w:p>
    <w:p>
      <w:pPr>
        <w:pStyle w:val="ListNumber"/>
        <w:spacing w:after="80"/>
      </w:pPr>
      <w:r>
        <w:rPr>
          <w:rFonts w:ascii="Calibri" w:hAnsi="Calibri"/>
          <w:b/>
          <w:color w:val="333333"/>
          <w:sz w:val="20"/>
        </w:rPr>
        <w:t>Revenue Growth Trajectory:</w:t>
      </w:r>
      <w:r>
        <w:rPr>
          <w:rFonts w:ascii="Calibri" w:hAnsi="Calibri"/>
          <w:color w:val="333333"/>
          <w:sz w:val="20"/>
        </w:rPr>
        <w:t xml:space="preserve"> Track the company's ability to achieve its stated revenue targets, particularly the 20-25% CAGR.</w:t>
      </w:r>
    </w:p>
    <w:p>
      <w:pPr>
        <w:pStyle w:val="ListNumber"/>
        <w:spacing w:after="80"/>
      </w:pPr>
      <w:r>
        <w:rPr>
          <w:rFonts w:ascii="Calibri" w:hAnsi="Calibri"/>
          <w:b/>
          <w:color w:val="333333"/>
          <w:sz w:val="20"/>
        </w:rPr>
        <w:t>CDMO Partnership Success:</w:t>
      </w:r>
      <w:r>
        <w:rPr>
          <w:rFonts w:ascii="Calibri" w:hAnsi="Calibri"/>
          <w:color w:val="333333"/>
          <w:sz w:val="20"/>
        </w:rPr>
        <w:t xml:space="preserve"> Monitor the progress and revenue contribution from key CDMO partnerships, especially Viatris.</w:t>
      </w:r>
    </w:p>
    <w:p>
      <w:pPr>
        <w:pStyle w:val="ListNumber"/>
        <w:spacing w:after="80"/>
      </w:pPr>
      <w:r>
        <w:rPr>
          <w:rFonts w:ascii="Calibri" w:hAnsi="Calibri"/>
          <w:b/>
          <w:color w:val="333333"/>
          <w:sz w:val="20"/>
        </w:rPr>
        <w:t>Own-Brand Expansion:</w:t>
      </w:r>
      <w:r>
        <w:rPr>
          <w:rFonts w:ascii="Calibri" w:hAnsi="Calibri"/>
          <w:color w:val="333333"/>
          <w:sz w:val="20"/>
        </w:rPr>
        <w:t xml:space="preserve"> Assess the success of own-brand launches and market penetration in UAE, Central Asia, and Africa.</w:t>
      </w:r>
    </w:p>
    <w:p>
      <w:pPr>
        <w:pStyle w:val="ListNumber"/>
        <w:spacing w:after="80"/>
      </w:pPr>
      <w:r>
        <w:rPr>
          <w:rFonts w:ascii="Calibri" w:hAnsi="Calibri"/>
          <w:b/>
          <w:color w:val="333333"/>
          <w:sz w:val="20"/>
        </w:rPr>
        <w:t>Product Pipeline Execution:</w:t>
      </w:r>
      <w:r>
        <w:rPr>
          <w:rFonts w:ascii="Calibri" w:hAnsi="Calibri"/>
          <w:color w:val="333333"/>
          <w:sz w:val="20"/>
        </w:rPr>
        <w:t xml:space="preserve"> Track the progress of dossier filings and new product launches, particularly in regulated markets.</w:t>
      </w:r>
    </w:p>
    <w:p>
      <w:pPr>
        <w:pStyle w:val="ListNumber"/>
        <w:spacing w:after="80"/>
      </w:pPr>
      <w:r>
        <w:rPr>
          <w:rFonts w:ascii="Calibri" w:hAnsi="Calibri"/>
          <w:b/>
          <w:color w:val="333333"/>
          <w:sz w:val="20"/>
        </w:rPr>
        <w:t>Margin Improvement:</w:t>
      </w:r>
      <w:r>
        <w:rPr>
          <w:rFonts w:ascii="Calibri" w:hAnsi="Calibri"/>
          <w:color w:val="333333"/>
          <w:sz w:val="20"/>
        </w:rPr>
        <w:t xml:space="preserve"> Monitor the realization of gross and EBITDA margin expansion targets driven by product mix and operational efficiencies.</w:t>
      </w:r>
    </w:p>
    <w:p>
      <w:pPr>
        <w:pStyle w:val="ListNumber"/>
        <w:spacing w:after="80"/>
      </w:pPr>
      <w:r>
        <w:rPr>
          <w:rFonts w:ascii="Calibri" w:hAnsi="Calibri"/>
          <w:b/>
          <w:color w:val="333333"/>
          <w:sz w:val="20"/>
        </w:rPr>
        <w:t>Domestic Business Performance:</w:t>
      </w:r>
      <w:r>
        <w:rPr>
          <w:rFonts w:ascii="Calibri" w:hAnsi="Calibri"/>
          <w:color w:val="333333"/>
          <w:sz w:val="20"/>
        </w:rPr>
        <w:t xml:space="preserve"> Assess the growth and profitability of the Ethical and Generics divisions, including new product introductions.</w:t>
      </w:r>
    </w:p>
    <w:p>
      <w:pPr>
        <w:pStyle w:val="ListNumber"/>
        <w:spacing w:after="80"/>
      </w:pPr>
      <w:r>
        <w:rPr>
          <w:rFonts w:ascii="Calibri" w:hAnsi="Calibri"/>
          <w:b/>
          <w:color w:val="333333"/>
          <w:sz w:val="20"/>
        </w:rPr>
        <w:t>Regulatory Compliance &amp; Approvals:</w:t>
      </w:r>
      <w:r>
        <w:rPr>
          <w:rFonts w:ascii="Calibri" w:hAnsi="Calibri"/>
          <w:color w:val="333333"/>
          <w:sz w:val="20"/>
        </w:rPr>
        <w:t xml:space="preserve"> Keep track of new regulatory approvals and any compliance-related challenges.</w:t>
      </w:r>
    </w:p>
    <w:p>
      <w:pPr>
        <w:pStyle w:val="ListNumber"/>
        <w:spacing w:after="80"/>
      </w:pPr>
      <w:r>
        <w:rPr>
          <w:rFonts w:ascii="Calibri" w:hAnsi="Calibri"/>
          <w:b/>
          <w:color w:val="333333"/>
          <w:sz w:val="20"/>
        </w:rPr>
        <w:t>Working Capital Management:</w:t>
      </w:r>
      <w:r>
        <w:rPr>
          <w:rFonts w:ascii="Calibri" w:hAnsi="Calibri"/>
          <w:color w:val="333333"/>
          <w:sz w:val="20"/>
        </w:rPr>
        <w:t xml:space="preserve"> Monitor trends in inventory turnover and receivables days as the business scales.</w:t>
      </w:r>
    </w:p>
    <w:p>
      <w:pPr>
        <w:pStyle w:val="ListNumber"/>
        <w:spacing w:after="80"/>
      </w:pPr>
      <w:r>
        <w:rPr>
          <w:rFonts w:ascii="Calibri" w:hAnsi="Calibri"/>
          <w:b/>
          <w:color w:val="333333"/>
          <w:sz w:val="20"/>
        </w:rPr>
        <w:t>Promoter Group Activities:</w:t>
      </w:r>
      <w:r>
        <w:rPr>
          <w:rFonts w:ascii="Calibri" w:hAnsi="Calibri"/>
          <w:color w:val="333333"/>
          <w:sz w:val="20"/>
        </w:rPr>
        <w:t xml:space="preserve"> Observe any significant changes in promoter shareholding or related party transactions.</w:t>
      </w:r>
    </w:p>
    <w:p>
      <w:pPr>
        <w:pStyle w:val="ListNumber"/>
        <w:spacing w:after="80"/>
      </w:pPr>
      <w:r>
        <w:rPr>
          <w:rFonts w:ascii="Calibri" w:hAnsi="Calibri"/>
          <w:b/>
          <w:color w:val="333333"/>
          <w:sz w:val="20"/>
        </w:rPr>
        <w:t>Capex Utilization:</w:t>
      </w:r>
      <w:r>
        <w:rPr>
          <w:rFonts w:ascii="Calibri" w:hAnsi="Calibri"/>
          <w:color w:val="333333"/>
          <w:sz w:val="20"/>
        </w:rPr>
        <w:t xml:space="preserve"> Track the deployment of capital for capacity expansion and R&amp;D initiatives.</w:t>
      </w:r>
    </w:p>
    <w:p>
      <w:pPr>
        <w:spacing w:after="80"/>
      </w:pPr>
      <w:r>
        <w:rPr>
          <w:rFonts w:ascii="Calibri" w:hAnsi="Calibri"/>
          <w:b/>
          <w:color w:val="333333"/>
          <w:sz w:val="20"/>
        </w:rPr>
        <w:t>Disclaimer:</w:t>
      </w:r>
      <w:r>
        <w:rPr>
          <w:rFonts w:ascii="Calibri" w:hAnsi="Calibri"/>
          <w:color w:val="333333"/>
          <w:sz w:val="20"/>
        </w:rPr>
        <w:t xml:space="preserve"> This analysis is for informational purposes only and does not constitute investment advice. Please consult a registered financial advisor before making investment decisions.</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4"/>
      </w:rPr>
      <w:t>Disclaimer: For informational purposes only.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Ind-Swift Laboratories Ltd |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5F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5F8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