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EA290" w14:textId="77777777" w:rsidR="003D0A75" w:rsidRDefault="003D0A75"/>
    <w:p w14:paraId="549F60CD" w14:textId="77777777" w:rsidR="003D0A75" w:rsidRDefault="003D0A75"/>
    <w:p w14:paraId="0151874C" w14:textId="77777777" w:rsidR="003D0A75" w:rsidRDefault="003D0A75"/>
    <w:p w14:paraId="2FC01486" w14:textId="77777777" w:rsidR="003D0A75" w:rsidRDefault="003D0A75" w:rsidP="003D0A75">
      <w:pPr>
        <w:pStyle w:val="Title"/>
        <w:rPr>
          <w:sz w:val="28"/>
        </w:rPr>
      </w:pPr>
      <w:r>
        <w:rPr>
          <w:sz w:val="28"/>
        </w:rPr>
        <w:t>SUMMARY OF PRODUCT CHARACTERISTICS</w:t>
      </w:r>
    </w:p>
    <w:p w14:paraId="76E02F12" w14:textId="77777777" w:rsidR="003D0A75" w:rsidRDefault="003D0A75" w:rsidP="003D0A75"/>
    <w:p w14:paraId="117ABB71" w14:textId="77777777" w:rsidR="003D0A75" w:rsidRDefault="003D0A75" w:rsidP="003D0A75"/>
    <w:p w14:paraId="2C759D84" w14:textId="77777777" w:rsidR="003D0A75" w:rsidRDefault="003D0A75" w:rsidP="003E6A11">
      <w:pPr>
        <w:ind w:right="-514"/>
      </w:pPr>
    </w:p>
    <w:p w14:paraId="3728A506" w14:textId="77777777" w:rsidR="003D0A75" w:rsidRDefault="003D0A75" w:rsidP="003E6A11">
      <w:pPr>
        <w:ind w:right="-514"/>
        <w:rPr>
          <w:b/>
        </w:rPr>
      </w:pPr>
      <w:r>
        <w:rPr>
          <w:b/>
        </w:rPr>
        <w:t>1.</w:t>
      </w:r>
      <w:r>
        <w:rPr>
          <w:b/>
        </w:rPr>
        <w:tab/>
      </w:r>
      <w:r w:rsidR="00C002BA">
        <w:rPr>
          <w:b/>
        </w:rPr>
        <w:t>NAME OF THE MEDICINAL PRODUCT</w:t>
      </w:r>
    </w:p>
    <w:p w14:paraId="2D4FA961" w14:textId="77777777" w:rsidR="003D0A75" w:rsidRDefault="003D0A75" w:rsidP="003E6A11">
      <w:pPr>
        <w:ind w:left="720" w:right="-514"/>
      </w:pPr>
    </w:p>
    <w:p w14:paraId="6421ABAD" w14:textId="77777777" w:rsidR="003D0A75" w:rsidRDefault="003D0A75" w:rsidP="003E6A11">
      <w:pPr>
        <w:ind w:left="720" w:right="-514"/>
      </w:pPr>
      <w:r>
        <w:t xml:space="preserve">Caverject Dual Chamber 20 micrograms </w:t>
      </w:r>
      <w:r w:rsidR="00805C5B">
        <w:t>p</w:t>
      </w:r>
      <w:r>
        <w:t>owder and solvent for solution for injection</w:t>
      </w:r>
    </w:p>
    <w:p w14:paraId="7AC409F3" w14:textId="77777777" w:rsidR="003D0A75" w:rsidRDefault="003D0A75" w:rsidP="003E6A11">
      <w:pPr>
        <w:pStyle w:val="Footer"/>
        <w:tabs>
          <w:tab w:val="clear" w:pos="4536"/>
          <w:tab w:val="clear" w:pos="9072"/>
        </w:tabs>
        <w:ind w:left="709" w:right="-514"/>
        <w:rPr>
          <w:rFonts w:ascii="Times New Roman" w:hAnsi="Times New Roman"/>
          <w:lang w:val="en-GB"/>
        </w:rPr>
      </w:pPr>
    </w:p>
    <w:p w14:paraId="4DBEA404" w14:textId="77777777" w:rsidR="003D0A75" w:rsidRDefault="00C002BA" w:rsidP="003E6A11">
      <w:pPr>
        <w:numPr>
          <w:ilvl w:val="0"/>
          <w:numId w:val="1"/>
        </w:numPr>
        <w:ind w:right="-514"/>
        <w:rPr>
          <w:b/>
        </w:rPr>
      </w:pPr>
      <w:r>
        <w:rPr>
          <w:b/>
        </w:rPr>
        <w:t>QUALITATIVE AND QUANTITATIVE COMPOSITION</w:t>
      </w:r>
    </w:p>
    <w:p w14:paraId="25A7074B" w14:textId="77777777" w:rsidR="003D0A75" w:rsidRDefault="003D0A75" w:rsidP="003E6A11">
      <w:pPr>
        <w:ind w:left="720" w:right="-514"/>
      </w:pPr>
    </w:p>
    <w:p w14:paraId="13CF99EC" w14:textId="77777777" w:rsidR="003D0A75" w:rsidRDefault="003D0A75" w:rsidP="003E6A11">
      <w:pPr>
        <w:pStyle w:val="BodyTextIndent"/>
        <w:ind w:right="-514"/>
        <w:rPr>
          <w:lang w:val="en-GB"/>
        </w:rPr>
      </w:pPr>
      <w:r>
        <w:rPr>
          <w:lang w:val="en-GB"/>
        </w:rPr>
        <w:t>Each 0.5</w:t>
      </w:r>
      <w:r w:rsidR="00F36A12">
        <w:t xml:space="preserve"> </w:t>
      </w:r>
      <w:r>
        <w:rPr>
          <w:lang w:val="en-GB"/>
        </w:rPr>
        <w:t>ml cartridge delivers a maximum dose of 20 micrograms of alprostadil.</w:t>
      </w:r>
    </w:p>
    <w:p w14:paraId="1E50A5C3" w14:textId="77777777" w:rsidR="003D0A75" w:rsidRDefault="003D0A75" w:rsidP="003E6A11">
      <w:pPr>
        <w:pStyle w:val="BodyTextIndent"/>
        <w:ind w:right="-514"/>
        <w:rPr>
          <w:lang w:val="en-GB"/>
        </w:rPr>
      </w:pPr>
    </w:p>
    <w:p w14:paraId="16F3F811" w14:textId="77777777" w:rsidR="00805C5B" w:rsidRPr="002B7FE2" w:rsidRDefault="00805C5B" w:rsidP="003E6A11">
      <w:pPr>
        <w:pStyle w:val="BodyTextIndent"/>
        <w:ind w:right="-514"/>
        <w:rPr>
          <w:u w:val="single"/>
          <w:lang w:val="en-GB"/>
        </w:rPr>
      </w:pPr>
      <w:r w:rsidRPr="002B7FE2">
        <w:rPr>
          <w:u w:val="single"/>
          <w:lang w:val="en-GB"/>
        </w:rPr>
        <w:t>Excipients with known effect</w:t>
      </w:r>
    </w:p>
    <w:p w14:paraId="28806FEE" w14:textId="77777777" w:rsidR="00805C5B" w:rsidRDefault="00805C5B" w:rsidP="003E6A11">
      <w:pPr>
        <w:pStyle w:val="BodyTextIndent"/>
        <w:ind w:right="-514"/>
        <w:rPr>
          <w:lang w:val="en-GB"/>
        </w:rPr>
      </w:pPr>
    </w:p>
    <w:p w14:paraId="6252C970" w14:textId="77777777" w:rsidR="00805C5B" w:rsidRPr="00805C5B" w:rsidRDefault="00805C5B" w:rsidP="00805C5B">
      <w:pPr>
        <w:pStyle w:val="BodyTextIndent"/>
        <w:ind w:right="-514"/>
        <w:rPr>
          <w:lang w:val="en-GB"/>
        </w:rPr>
      </w:pPr>
      <w:r w:rsidRPr="00805C5B">
        <w:rPr>
          <w:lang w:val="en-GB"/>
        </w:rPr>
        <w:t>Benzyl alcohol 8.9 mg/ml.</w:t>
      </w:r>
    </w:p>
    <w:p w14:paraId="1D06AE92" w14:textId="77777777" w:rsidR="00805C5B" w:rsidRDefault="00805C5B" w:rsidP="00805C5B">
      <w:pPr>
        <w:pStyle w:val="BodyTextIndent"/>
        <w:ind w:right="-514"/>
        <w:rPr>
          <w:lang w:val="en-GB"/>
        </w:rPr>
      </w:pPr>
      <w:r w:rsidRPr="00805C5B">
        <w:rPr>
          <w:lang w:val="en-GB"/>
        </w:rPr>
        <w:t>Sodium citrate, sodium hydroxide (sodium 0.034 mg/ml).</w:t>
      </w:r>
    </w:p>
    <w:p w14:paraId="2463EB8F" w14:textId="77777777" w:rsidR="00805C5B" w:rsidRDefault="00805C5B" w:rsidP="00805C5B">
      <w:pPr>
        <w:pStyle w:val="BodyTextIndent"/>
        <w:ind w:right="-514"/>
        <w:rPr>
          <w:lang w:val="en-GB"/>
        </w:rPr>
      </w:pPr>
    </w:p>
    <w:p w14:paraId="2850A298" w14:textId="77777777" w:rsidR="003D0A75" w:rsidRDefault="003D0A75" w:rsidP="00805C5B">
      <w:pPr>
        <w:pStyle w:val="BodyTextIndent"/>
        <w:ind w:right="-514"/>
        <w:rPr>
          <w:lang w:val="en-GB"/>
        </w:rPr>
      </w:pPr>
      <w:r>
        <w:rPr>
          <w:lang w:val="en-GB"/>
        </w:rPr>
        <w:t xml:space="preserve">For </w:t>
      </w:r>
      <w:r w:rsidR="00622BF4">
        <w:rPr>
          <w:lang w:val="en-GB"/>
        </w:rPr>
        <w:t xml:space="preserve">the full list of </w:t>
      </w:r>
      <w:r>
        <w:rPr>
          <w:lang w:val="en-GB"/>
        </w:rPr>
        <w:t>excipients</w:t>
      </w:r>
      <w:r w:rsidR="00805C5B">
        <w:rPr>
          <w:lang w:val="en-GB"/>
        </w:rPr>
        <w:t>,</w:t>
      </w:r>
      <w:r>
        <w:rPr>
          <w:lang w:val="en-GB"/>
        </w:rPr>
        <w:t xml:space="preserve"> see </w:t>
      </w:r>
      <w:r w:rsidR="00622BF4">
        <w:rPr>
          <w:lang w:val="en-GB"/>
        </w:rPr>
        <w:t xml:space="preserve">section </w:t>
      </w:r>
      <w:r>
        <w:rPr>
          <w:lang w:val="en-GB"/>
        </w:rPr>
        <w:t>6.1</w:t>
      </w:r>
      <w:r w:rsidR="00805C5B">
        <w:rPr>
          <w:lang w:val="en-GB"/>
        </w:rPr>
        <w:t>.</w:t>
      </w:r>
    </w:p>
    <w:p w14:paraId="387A6C4C" w14:textId="77777777" w:rsidR="003D0A75" w:rsidRDefault="003D0A75" w:rsidP="003E6A11">
      <w:pPr>
        <w:ind w:right="-514"/>
      </w:pPr>
    </w:p>
    <w:p w14:paraId="4B997999" w14:textId="77777777" w:rsidR="003D0A75" w:rsidRDefault="003D0A75" w:rsidP="003E6A11">
      <w:pPr>
        <w:ind w:right="-514"/>
        <w:rPr>
          <w:b/>
        </w:rPr>
      </w:pPr>
      <w:r>
        <w:rPr>
          <w:b/>
        </w:rPr>
        <w:t>3.</w:t>
      </w:r>
      <w:r>
        <w:rPr>
          <w:b/>
        </w:rPr>
        <w:tab/>
      </w:r>
      <w:r w:rsidR="00C002BA">
        <w:rPr>
          <w:b/>
        </w:rPr>
        <w:t>PHARMACEUTICAL FORM</w:t>
      </w:r>
    </w:p>
    <w:p w14:paraId="59DAC230" w14:textId="77777777" w:rsidR="003D0A75" w:rsidRDefault="003D0A75" w:rsidP="003E6A11">
      <w:pPr>
        <w:pStyle w:val="Footer"/>
        <w:tabs>
          <w:tab w:val="clear" w:pos="4536"/>
          <w:tab w:val="clear" w:pos="9072"/>
        </w:tabs>
        <w:ind w:left="720" w:right="-514"/>
        <w:rPr>
          <w:rFonts w:ascii="Times New Roman" w:hAnsi="Times New Roman"/>
          <w:lang w:val="en-GB"/>
        </w:rPr>
      </w:pPr>
    </w:p>
    <w:p w14:paraId="3858A2F3" w14:textId="77777777" w:rsidR="003D0A75" w:rsidRDefault="003D0A75" w:rsidP="003E6A11">
      <w:pPr>
        <w:ind w:left="720" w:right="-514"/>
      </w:pPr>
      <w:r>
        <w:t xml:space="preserve">Powder and solvent for solution for injection </w:t>
      </w:r>
    </w:p>
    <w:p w14:paraId="3B701341" w14:textId="77777777" w:rsidR="003D0A75" w:rsidRDefault="003D0A75" w:rsidP="003E6A11">
      <w:pPr>
        <w:ind w:left="720" w:right="-514"/>
      </w:pPr>
    </w:p>
    <w:p w14:paraId="559F6952" w14:textId="77777777" w:rsidR="003D0A75" w:rsidRDefault="003D0A75" w:rsidP="003E6A11">
      <w:pPr>
        <w:pStyle w:val="BodyTextIndent"/>
        <w:ind w:right="-514"/>
        <w:rPr>
          <w:lang w:val="en-GB"/>
        </w:rPr>
      </w:pPr>
      <w:r>
        <w:rPr>
          <w:lang w:val="en-GB"/>
        </w:rPr>
        <w:t>Dual chamber glass cartridge containing a white lyophilised powder and diluent for reconstitution.</w:t>
      </w:r>
    </w:p>
    <w:p w14:paraId="5F985E48" w14:textId="77777777" w:rsidR="003D0A75" w:rsidRDefault="003D0A75" w:rsidP="003E6A11">
      <w:pPr>
        <w:pStyle w:val="BodyTextIndent"/>
        <w:ind w:right="-514"/>
        <w:rPr>
          <w:lang w:val="en-GB"/>
        </w:rPr>
      </w:pPr>
    </w:p>
    <w:p w14:paraId="7365D4C8" w14:textId="77777777" w:rsidR="00C002BA" w:rsidRDefault="00C002BA" w:rsidP="00C002BA">
      <w:pPr>
        <w:ind w:right="-514"/>
        <w:rPr>
          <w:b/>
        </w:rPr>
      </w:pPr>
      <w:r>
        <w:rPr>
          <w:b/>
        </w:rPr>
        <w:t>4.</w:t>
      </w:r>
      <w:r>
        <w:rPr>
          <w:b/>
        </w:rPr>
        <w:tab/>
        <w:t>CLINICAL PARTICULARS</w:t>
      </w:r>
    </w:p>
    <w:p w14:paraId="24A0FAB0" w14:textId="77777777" w:rsidR="003D0A75" w:rsidRDefault="003D0A75" w:rsidP="003E6A11">
      <w:pPr>
        <w:ind w:right="-514"/>
        <w:rPr>
          <w:b/>
        </w:rPr>
      </w:pPr>
    </w:p>
    <w:p w14:paraId="4EBDF97E" w14:textId="77777777" w:rsidR="003D0A75" w:rsidRDefault="00C002BA" w:rsidP="003E6A11">
      <w:pPr>
        <w:ind w:right="-514"/>
        <w:rPr>
          <w:b/>
        </w:rPr>
      </w:pPr>
      <w:r>
        <w:rPr>
          <w:b/>
        </w:rPr>
        <w:t xml:space="preserve">4.1 </w:t>
      </w:r>
      <w:r>
        <w:rPr>
          <w:b/>
        </w:rPr>
        <w:tab/>
        <w:t>Therapeutic i</w:t>
      </w:r>
      <w:r w:rsidR="003D0A75">
        <w:rPr>
          <w:b/>
        </w:rPr>
        <w:t>ndications</w:t>
      </w:r>
    </w:p>
    <w:p w14:paraId="69194285" w14:textId="77777777" w:rsidR="003D0A75" w:rsidRDefault="003D0A75" w:rsidP="003E6A11">
      <w:pPr>
        <w:ind w:left="720" w:right="-514"/>
      </w:pPr>
    </w:p>
    <w:p w14:paraId="0919C9CD" w14:textId="77777777" w:rsidR="003D0A75" w:rsidRDefault="003D0A75" w:rsidP="003E6A11">
      <w:pPr>
        <w:ind w:left="720" w:right="-514"/>
      </w:pPr>
      <w:r>
        <w:t xml:space="preserve">Caverject Dual Chamber is indicated for the symptomatic treatment of erectile dysfunction in adult males due to neurogenic, vasculogenic, psychogenic, or mixed </w:t>
      </w:r>
      <w:r w:rsidR="00341310">
        <w:t>a</w:t>
      </w:r>
      <w:r>
        <w:t>etiology.</w:t>
      </w:r>
    </w:p>
    <w:p w14:paraId="3D5F7D03" w14:textId="77777777" w:rsidR="003D0A75" w:rsidRDefault="003D0A75" w:rsidP="003E6A11">
      <w:pPr>
        <w:ind w:left="720" w:right="-514"/>
      </w:pPr>
    </w:p>
    <w:p w14:paraId="134BB721" w14:textId="77777777" w:rsidR="003D0A75" w:rsidRDefault="003D0A75" w:rsidP="003E6A11">
      <w:pPr>
        <w:pStyle w:val="BodyTextIndent"/>
        <w:ind w:right="-514"/>
        <w:rPr>
          <w:lang w:val="en-GB"/>
        </w:rPr>
      </w:pPr>
      <w:r>
        <w:rPr>
          <w:lang w:val="en-GB"/>
        </w:rPr>
        <w:t>Caverject Dual Chamber may be a useful adjunct to other diagnostic tests in the diagnosis of erectile dysfunction.</w:t>
      </w:r>
    </w:p>
    <w:p w14:paraId="5ABD3B10" w14:textId="77777777" w:rsidR="00805C5B" w:rsidRDefault="00805C5B" w:rsidP="003E6A11">
      <w:pPr>
        <w:pStyle w:val="BodyTextIndent"/>
        <w:ind w:right="-514"/>
        <w:rPr>
          <w:lang w:val="en-GB"/>
        </w:rPr>
      </w:pPr>
    </w:p>
    <w:p w14:paraId="288FB8FE" w14:textId="77777777" w:rsidR="00805C5B" w:rsidRDefault="00805C5B" w:rsidP="003E6A11">
      <w:pPr>
        <w:pStyle w:val="BodyTextIndent"/>
        <w:ind w:right="-514"/>
        <w:rPr>
          <w:lang w:val="en-GB"/>
        </w:rPr>
      </w:pPr>
      <w:r w:rsidRPr="00805C5B">
        <w:rPr>
          <w:lang w:val="en-GB"/>
        </w:rPr>
        <w:t>Caverject is not indicated for paediatric use (see section 4.4 Benzyl alcohol).</w:t>
      </w:r>
    </w:p>
    <w:p w14:paraId="2CB8BC7F" w14:textId="77777777" w:rsidR="003D0A75" w:rsidRDefault="003D0A75" w:rsidP="003E6A11">
      <w:pPr>
        <w:ind w:right="-514"/>
      </w:pPr>
    </w:p>
    <w:p w14:paraId="46240DE8" w14:textId="77777777" w:rsidR="003D0A75" w:rsidRDefault="003D0A75" w:rsidP="003E6A11">
      <w:pPr>
        <w:ind w:right="-514"/>
        <w:rPr>
          <w:b/>
        </w:rPr>
      </w:pPr>
      <w:r>
        <w:rPr>
          <w:b/>
        </w:rPr>
        <w:t xml:space="preserve">4.2 </w:t>
      </w:r>
      <w:r>
        <w:rPr>
          <w:b/>
        </w:rPr>
        <w:tab/>
        <w:t xml:space="preserve">Posology and </w:t>
      </w:r>
      <w:r w:rsidR="00C002BA">
        <w:rPr>
          <w:b/>
        </w:rPr>
        <w:t>m</w:t>
      </w:r>
      <w:r>
        <w:rPr>
          <w:b/>
        </w:rPr>
        <w:t xml:space="preserve">ethod of </w:t>
      </w:r>
      <w:r w:rsidR="00C002BA">
        <w:rPr>
          <w:b/>
        </w:rPr>
        <w:t>a</w:t>
      </w:r>
      <w:r>
        <w:rPr>
          <w:b/>
        </w:rPr>
        <w:t>dministration</w:t>
      </w:r>
    </w:p>
    <w:p w14:paraId="703658D7" w14:textId="77777777" w:rsidR="003D0A75" w:rsidRDefault="003D0A75" w:rsidP="003E6A11">
      <w:pPr>
        <w:ind w:left="720" w:right="-514"/>
      </w:pPr>
    </w:p>
    <w:p w14:paraId="6FFB2EF5" w14:textId="77777777" w:rsidR="00805C5B" w:rsidRDefault="00805C5B" w:rsidP="003E6A11">
      <w:pPr>
        <w:ind w:left="720" w:right="-514"/>
        <w:rPr>
          <w:u w:val="single"/>
        </w:rPr>
      </w:pPr>
      <w:r w:rsidRPr="002B7FE2">
        <w:rPr>
          <w:u w:val="single"/>
        </w:rPr>
        <w:t>Posology</w:t>
      </w:r>
    </w:p>
    <w:p w14:paraId="12455AC7" w14:textId="77777777" w:rsidR="00805C5B" w:rsidRPr="002B7FE2" w:rsidRDefault="00805C5B" w:rsidP="003E6A11">
      <w:pPr>
        <w:ind w:left="720" w:right="-514"/>
        <w:rPr>
          <w:u w:val="single"/>
        </w:rPr>
      </w:pPr>
    </w:p>
    <w:p w14:paraId="09B83BD2" w14:textId="77777777" w:rsidR="003D0A75" w:rsidRDefault="003D0A75" w:rsidP="002B7FE2">
      <w:pPr>
        <w:ind w:left="720" w:right="-514"/>
      </w:pPr>
      <w:r>
        <w:t>No formal studies with Caverject have been performed in patients younger than 18 years and older than 75 years.</w:t>
      </w:r>
    </w:p>
    <w:p w14:paraId="7BDB8B40" w14:textId="77777777" w:rsidR="003D0A75" w:rsidRDefault="003D0A75" w:rsidP="003E6A11">
      <w:pPr>
        <w:pStyle w:val="Heading5"/>
        <w:ind w:right="-514"/>
      </w:pPr>
    </w:p>
    <w:p w14:paraId="307A1DA6" w14:textId="77777777" w:rsidR="00805C5B" w:rsidRDefault="00805C5B" w:rsidP="003E6A11">
      <w:pPr>
        <w:ind w:left="720" w:right="-514"/>
        <w:rPr>
          <w:u w:val="single"/>
        </w:rPr>
      </w:pPr>
    </w:p>
    <w:p w14:paraId="57D02579" w14:textId="77777777" w:rsidR="00805C5B" w:rsidRDefault="00805C5B" w:rsidP="003E6A11">
      <w:pPr>
        <w:ind w:left="720" w:right="-514"/>
        <w:rPr>
          <w:u w:val="single"/>
        </w:rPr>
      </w:pPr>
    </w:p>
    <w:p w14:paraId="673A6753" w14:textId="77777777" w:rsidR="00805C5B" w:rsidRDefault="00805C5B" w:rsidP="003E6A11">
      <w:pPr>
        <w:ind w:left="720" w:right="-514"/>
        <w:rPr>
          <w:u w:val="single"/>
        </w:rPr>
      </w:pPr>
      <w:r w:rsidRPr="00805C5B">
        <w:rPr>
          <w:u w:val="single"/>
        </w:rPr>
        <w:lastRenderedPageBreak/>
        <w:t>Method of</w:t>
      </w:r>
      <w:r>
        <w:rPr>
          <w:u w:val="single"/>
        </w:rPr>
        <w:t xml:space="preserve"> administration</w:t>
      </w:r>
    </w:p>
    <w:p w14:paraId="469AC939" w14:textId="77777777" w:rsidR="00805C5B" w:rsidRDefault="00805C5B" w:rsidP="003E6A11">
      <w:pPr>
        <w:ind w:left="720" w:right="-514"/>
        <w:rPr>
          <w:u w:val="single"/>
        </w:rPr>
      </w:pPr>
    </w:p>
    <w:p w14:paraId="3B266307" w14:textId="77777777" w:rsidR="003D0A75" w:rsidRDefault="003D0A75" w:rsidP="003E6A11">
      <w:pPr>
        <w:ind w:left="720" w:right="-514"/>
      </w:pPr>
      <w:r>
        <w:t>Caverject Dual Chamber should be administered by direct intracavernosal injection using the 1/2-inch 29 gauge needle provided. The usual site of injection is along the dorsolateral aspect of the proximal third of the penis. Visible veins should be avoided. Both the side of the penis and the site of injection must be altered between injections.</w:t>
      </w:r>
    </w:p>
    <w:p w14:paraId="4AB1DCC8" w14:textId="77777777" w:rsidR="003D0A75" w:rsidRDefault="003D0A75" w:rsidP="003E6A11">
      <w:pPr>
        <w:ind w:left="720" w:right="-514"/>
      </w:pPr>
    </w:p>
    <w:p w14:paraId="246FCB4F" w14:textId="77777777" w:rsidR="003D0A75" w:rsidRDefault="003D0A75" w:rsidP="003E6A11">
      <w:pPr>
        <w:ind w:left="720" w:right="-514"/>
        <w:rPr>
          <w:lang w:val="sv-SE"/>
        </w:rPr>
      </w:pPr>
      <w:r>
        <w:rPr>
          <w:lang w:val="sv-SE"/>
        </w:rPr>
        <w:t>The initial injections of Caverject Dual Chamber must be administered by medically trained personnel and after proper training, alprostadil may be injected at home. It is recommended that patients are regularly monitored (e.g. every 3 months) particularly in the initial stages of self</w:t>
      </w:r>
      <w:r w:rsidR="00CF1508">
        <w:rPr>
          <w:lang w:val="sv-SE"/>
        </w:rPr>
        <w:t>-</w:t>
      </w:r>
      <w:r>
        <w:rPr>
          <w:lang w:val="sv-SE"/>
        </w:rPr>
        <w:t>injection therapy when dose adjustments may be needed.</w:t>
      </w:r>
    </w:p>
    <w:p w14:paraId="6FD769B1" w14:textId="77777777" w:rsidR="003D0A75" w:rsidRDefault="003D0A75" w:rsidP="003E6A11">
      <w:pPr>
        <w:ind w:left="720" w:right="-514"/>
        <w:rPr>
          <w:u w:val="single"/>
        </w:rPr>
      </w:pPr>
    </w:p>
    <w:p w14:paraId="35FE9CE5" w14:textId="77777777" w:rsidR="003D0A75" w:rsidRDefault="003D0A75" w:rsidP="003E6A11">
      <w:pPr>
        <w:ind w:left="720" w:right="-514"/>
      </w:pPr>
      <w:r>
        <w:t>The dose of Caverject Dual Chamber should be individuali</w:t>
      </w:r>
      <w:r w:rsidR="00805C5B">
        <w:t>s</w:t>
      </w:r>
      <w:r>
        <w:t>ed for each patient by careful titration under a physician’s supervision.</w:t>
      </w:r>
      <w:r w:rsidR="00805C5B">
        <w:t xml:space="preserve"> </w:t>
      </w:r>
      <w:r>
        <w:t>The lowest effective dose should be used that provides the patient with an erection that is satisfactory for sexual intercourse. It is recommended that the dose administered produces a duration of the erection not exceeding one hour. If the duration is longer, the dose should be reduced. The majority of patients achieve a satisfactory response with doses in the range of 5 to 20 micrograms.</w:t>
      </w:r>
    </w:p>
    <w:p w14:paraId="03D5BEC2" w14:textId="77777777" w:rsidR="003D0A75" w:rsidRDefault="003D0A75" w:rsidP="003E6A11">
      <w:pPr>
        <w:ind w:left="720" w:right="-514"/>
      </w:pPr>
    </w:p>
    <w:p w14:paraId="3A03C97B" w14:textId="77777777" w:rsidR="003D0A75" w:rsidRDefault="003D0A75" w:rsidP="003E6A11">
      <w:pPr>
        <w:ind w:left="720" w:right="-514"/>
      </w:pPr>
      <w:r>
        <w:t>The delivery device is designed to deliver a single dose which can be set at 25% increments of the nominal dose. Doses greater than 40 micrograms of alprostadil are not routinely justified. The following doses can be given using Caverject Dual Chamber:</w:t>
      </w:r>
    </w:p>
    <w:p w14:paraId="3E554595" w14:textId="77777777" w:rsidR="003D0A75" w:rsidRDefault="003D0A75" w:rsidP="003E6A11">
      <w:pPr>
        <w:ind w:left="720" w:right="-514"/>
      </w:pPr>
    </w:p>
    <w:p w14:paraId="685B2D0F" w14:textId="77777777" w:rsidR="003D0A75" w:rsidRDefault="003D0A75" w:rsidP="003E6A11">
      <w:pPr>
        <w:ind w:left="720" w:right="-514"/>
        <w:rPr>
          <w:u w:val="single"/>
        </w:rPr>
      </w:pPr>
      <w:r>
        <w:rPr>
          <w:u w:val="single"/>
        </w:rPr>
        <w:t>Presentation</w:t>
      </w:r>
      <w:r>
        <w:tab/>
      </w:r>
      <w:r>
        <w:tab/>
      </w:r>
      <w:r>
        <w:tab/>
      </w:r>
      <w:r>
        <w:tab/>
      </w:r>
      <w:r>
        <w:tab/>
      </w:r>
      <w:r>
        <w:tab/>
      </w:r>
      <w:r>
        <w:tab/>
      </w:r>
      <w:r>
        <w:rPr>
          <w:u w:val="single"/>
        </w:rPr>
        <w:t>Dose Available</w:t>
      </w:r>
    </w:p>
    <w:p w14:paraId="0CDC80AE" w14:textId="77777777" w:rsidR="003D0A75" w:rsidRDefault="003D0A75" w:rsidP="003E6A11">
      <w:pPr>
        <w:ind w:left="720" w:right="-514"/>
      </w:pPr>
    </w:p>
    <w:p w14:paraId="024139BA" w14:textId="77777777" w:rsidR="003D0A75" w:rsidRDefault="003D0A75" w:rsidP="003E6A11">
      <w:pPr>
        <w:ind w:left="720" w:right="-514"/>
        <w:rPr>
          <w:lang w:val="sv-SE"/>
        </w:rPr>
      </w:pPr>
      <w:r>
        <w:t>Caverject Dual Chamber 20 micrograms</w:t>
      </w:r>
      <w:r>
        <w:rPr>
          <w:lang w:val="sv-SE"/>
        </w:rPr>
        <w:t xml:space="preserve"> </w:t>
      </w:r>
      <w:r>
        <w:rPr>
          <w:lang w:val="sv-SE"/>
        </w:rPr>
        <w:tab/>
      </w:r>
      <w:r>
        <w:rPr>
          <w:lang w:val="sv-SE"/>
        </w:rPr>
        <w:tab/>
      </w:r>
      <w:r>
        <w:rPr>
          <w:lang w:val="sv-SE"/>
        </w:rPr>
        <w:tab/>
      </w:r>
      <w:r>
        <w:t>5, 10, 15, 20 micrograms</w:t>
      </w:r>
    </w:p>
    <w:p w14:paraId="1B5055FC" w14:textId="77777777" w:rsidR="003D0A75" w:rsidRDefault="003D0A75" w:rsidP="003E6A11">
      <w:pPr>
        <w:ind w:left="720" w:right="-514"/>
        <w:rPr>
          <w:lang w:val="sv-SE"/>
        </w:rPr>
      </w:pPr>
    </w:p>
    <w:p w14:paraId="73FF6DFA" w14:textId="77777777" w:rsidR="003D0A75" w:rsidRDefault="003D0A75" w:rsidP="003E6A11">
      <w:pPr>
        <w:ind w:left="720" w:right="-514"/>
        <w:rPr>
          <w:u w:val="single"/>
          <w:lang w:val="sv-SE"/>
        </w:rPr>
      </w:pPr>
      <w:r>
        <w:rPr>
          <w:u w:val="single"/>
          <w:lang w:val="sv-SE"/>
        </w:rPr>
        <w:t>Treatment</w:t>
      </w:r>
    </w:p>
    <w:p w14:paraId="292B00F7" w14:textId="77777777" w:rsidR="00805C5B" w:rsidRDefault="00805C5B" w:rsidP="003E6A11">
      <w:pPr>
        <w:ind w:left="720" w:right="-514"/>
        <w:rPr>
          <w:u w:val="single"/>
          <w:lang w:val="sv-SE"/>
        </w:rPr>
      </w:pPr>
    </w:p>
    <w:p w14:paraId="71D0C1FE" w14:textId="77777777" w:rsidR="003D0A75" w:rsidRDefault="003D0A75" w:rsidP="002B7FE2">
      <w:pPr>
        <w:ind w:left="720" w:right="-514"/>
        <w:rPr>
          <w:lang w:val="sv-SE"/>
        </w:rPr>
      </w:pPr>
      <w:r>
        <w:rPr>
          <w:lang w:val="sv-SE"/>
        </w:rPr>
        <w:t xml:space="preserve">The initial dose of alprostadil for erectile dysfunction of vasculogenic, psychogenic, or mixed aetiology is 2.5 micrograms. The second dose should be 5 micrograms if there is a partial response, and 7.5 micrograms if there is no response. Subsequent incremental increases of 5 </w:t>
      </w:r>
      <w:r w:rsidR="00805C5B">
        <w:rPr>
          <w:lang w:val="sv-SE"/>
        </w:rPr>
        <w:t>to</w:t>
      </w:r>
      <w:r>
        <w:rPr>
          <w:lang w:val="sv-SE"/>
        </w:rPr>
        <w:t xml:space="preserve"> 10 micrograms should be given until an optimal dose is identified. If there is no response to the administered dose, then the next higher dose may be given within one hour. If there is a response, there should be a one day interval before the next dose is given.</w:t>
      </w:r>
    </w:p>
    <w:p w14:paraId="70AF2B4D" w14:textId="77777777" w:rsidR="003D0A75" w:rsidRDefault="003D0A75" w:rsidP="003E6A11">
      <w:pPr>
        <w:ind w:left="1440" w:right="-514"/>
        <w:rPr>
          <w:lang w:val="sv-SE"/>
        </w:rPr>
      </w:pPr>
    </w:p>
    <w:p w14:paraId="0B1D16E5" w14:textId="77777777" w:rsidR="003D0A75" w:rsidRDefault="003D0A75" w:rsidP="002B7FE2">
      <w:pPr>
        <w:ind w:left="720" w:right="-514"/>
        <w:rPr>
          <w:lang w:val="sv-SE"/>
        </w:rPr>
      </w:pPr>
      <w:r>
        <w:rPr>
          <w:lang w:val="sv-SE"/>
        </w:rPr>
        <w:t>For patients with erectile dysfunction of neurogenic origin requiring doses less than 2.5 micrograms, it should be considered to dose titrate with Caverject Powder for Injection.</w:t>
      </w:r>
      <w:r w:rsidR="00805C5B">
        <w:rPr>
          <w:lang w:val="sv-SE"/>
        </w:rPr>
        <w:t xml:space="preserve"> </w:t>
      </w:r>
      <w:r>
        <w:rPr>
          <w:lang w:val="sv-SE"/>
        </w:rPr>
        <w:t>Starting with a dose of 1.25 micrograms, if this produces no response, the second dose should be 2.5 micrograms.</w:t>
      </w:r>
      <w:r w:rsidR="00805C5B">
        <w:rPr>
          <w:lang w:val="sv-SE"/>
        </w:rPr>
        <w:t xml:space="preserve"> </w:t>
      </w:r>
      <w:r>
        <w:rPr>
          <w:lang w:val="sv-SE"/>
        </w:rPr>
        <w:t>Apart from the starting dose, it is possible to dose titrate with either Caverject Dual Chamber or Caverject Powder for Injection with similar increments to the treatment of non-neurogenic erectile dysfunction.</w:t>
      </w:r>
    </w:p>
    <w:p w14:paraId="760414A6" w14:textId="77777777" w:rsidR="003D0A75" w:rsidRDefault="003D0A75" w:rsidP="003E6A11">
      <w:pPr>
        <w:ind w:left="1440" w:right="-514"/>
        <w:rPr>
          <w:lang w:val="sv-SE"/>
        </w:rPr>
      </w:pPr>
    </w:p>
    <w:p w14:paraId="15990CC2" w14:textId="77777777" w:rsidR="003D0A75" w:rsidRDefault="003D0A75" w:rsidP="002B7FE2">
      <w:pPr>
        <w:ind w:left="720" w:right="-514"/>
        <w:rPr>
          <w:lang w:val="sv-SE"/>
        </w:rPr>
      </w:pPr>
      <w:r>
        <w:rPr>
          <w:lang w:val="sv-SE"/>
        </w:rPr>
        <w:t>The maximum recommended frequency of injection is no more than once daily and no more than three times weekly.</w:t>
      </w:r>
    </w:p>
    <w:p w14:paraId="2B8B2A0C" w14:textId="77777777" w:rsidR="003D0A75" w:rsidRDefault="003D0A75" w:rsidP="003E6A11">
      <w:pPr>
        <w:ind w:left="720" w:right="-514"/>
        <w:rPr>
          <w:lang w:val="sv-SE"/>
        </w:rPr>
      </w:pPr>
    </w:p>
    <w:p w14:paraId="14D8D159" w14:textId="77777777" w:rsidR="003D0A75" w:rsidRDefault="003D0A75" w:rsidP="003E6A11">
      <w:pPr>
        <w:ind w:left="720" w:right="-514"/>
        <w:rPr>
          <w:lang w:val="sv-SE"/>
        </w:rPr>
      </w:pPr>
      <w:r>
        <w:rPr>
          <w:u w:val="single"/>
          <w:lang w:val="sv-SE"/>
        </w:rPr>
        <w:t>Adjunct to aetiologic diagnosis</w:t>
      </w:r>
    </w:p>
    <w:p w14:paraId="5CE405A4" w14:textId="77777777" w:rsidR="003D0A75" w:rsidRDefault="00805C5B" w:rsidP="002B7FE2">
      <w:pPr>
        <w:ind w:left="720" w:right="-514"/>
      </w:pPr>
      <w:r>
        <w:rPr>
          <w:i/>
        </w:rPr>
        <w:lastRenderedPageBreak/>
        <w:t xml:space="preserve">Patients </w:t>
      </w:r>
      <w:r w:rsidR="003D0A75">
        <w:rPr>
          <w:i/>
        </w:rPr>
        <w:t>without evidence of neurological dysfunction</w:t>
      </w:r>
      <w:r w:rsidR="003D0A75">
        <w:t>: 10</w:t>
      </w:r>
      <w:r>
        <w:t xml:space="preserve"> to </w:t>
      </w:r>
      <w:r w:rsidR="003D0A75">
        <w:t xml:space="preserve">20 micrograms alprostadil to be injected into the corpus cavernosum and massaged through the penis. Over 80% of </w:t>
      </w:r>
      <w:r>
        <w:t xml:space="preserve">patients </w:t>
      </w:r>
      <w:r w:rsidR="003D0A75">
        <w:t>may be expected to respond to a single 20 micrograms dose of alprostadil.</w:t>
      </w:r>
    </w:p>
    <w:p w14:paraId="32B95B44" w14:textId="77777777" w:rsidR="003D0A75" w:rsidRDefault="003D0A75" w:rsidP="003E6A11">
      <w:pPr>
        <w:ind w:left="2160" w:right="-514" w:hanging="720"/>
      </w:pPr>
    </w:p>
    <w:p w14:paraId="0BEF0EC2" w14:textId="77777777" w:rsidR="003D0A75" w:rsidRDefault="00805C5B" w:rsidP="002B7FE2">
      <w:pPr>
        <w:ind w:left="720" w:right="-514"/>
        <w:rPr>
          <w:lang w:val="sv-SE"/>
        </w:rPr>
      </w:pPr>
      <w:r w:rsidRPr="00805C5B">
        <w:rPr>
          <w:i/>
          <w:lang w:val="sv-SE"/>
        </w:rPr>
        <w:t>Patients</w:t>
      </w:r>
      <w:r w:rsidR="003D0A75">
        <w:rPr>
          <w:i/>
          <w:lang w:val="sv-SE"/>
        </w:rPr>
        <w:t xml:space="preserve"> with evidence of neurological dysfunction</w:t>
      </w:r>
      <w:r w:rsidR="003D0A75">
        <w:rPr>
          <w:lang w:val="sv-SE"/>
        </w:rPr>
        <w:t>:</w:t>
      </w:r>
      <w:r>
        <w:rPr>
          <w:lang w:val="sv-SE"/>
        </w:rPr>
        <w:t xml:space="preserve"> </w:t>
      </w:r>
      <w:r w:rsidR="003D0A75">
        <w:rPr>
          <w:lang w:val="sv-SE"/>
        </w:rPr>
        <w:t>These patients can be expected to respond to lower doses of alprostadil.</w:t>
      </w:r>
      <w:r>
        <w:rPr>
          <w:lang w:val="sv-SE"/>
        </w:rPr>
        <w:t xml:space="preserve"> </w:t>
      </w:r>
      <w:r w:rsidR="003D0A75">
        <w:rPr>
          <w:lang w:val="sv-SE"/>
        </w:rPr>
        <w:t xml:space="preserve">In </w:t>
      </w:r>
      <w:r>
        <w:rPr>
          <w:lang w:val="sv-SE"/>
        </w:rPr>
        <w:t xml:space="preserve">patients </w:t>
      </w:r>
      <w:r w:rsidR="003D0A75">
        <w:rPr>
          <w:lang w:val="sv-SE"/>
        </w:rPr>
        <w:t>with erectile dysfunction caused by neurologic disease/trauma</w:t>
      </w:r>
      <w:r w:rsidR="00CF1508">
        <w:rPr>
          <w:lang w:val="sv-SE"/>
        </w:rPr>
        <w:t>,</w:t>
      </w:r>
      <w:r w:rsidR="003D0A75">
        <w:rPr>
          <w:lang w:val="sv-SE"/>
        </w:rPr>
        <w:t xml:space="preserve"> the dose for diagnostic testing must not exceed 10 micrograms and an initial dose of 5 micrograms is likely to be appropriate.</w:t>
      </w:r>
    </w:p>
    <w:p w14:paraId="6D15CDCA" w14:textId="77777777" w:rsidR="003D0A75" w:rsidRDefault="003D0A75" w:rsidP="003E6A11">
      <w:pPr>
        <w:ind w:left="2160" w:right="-514" w:hanging="720"/>
        <w:rPr>
          <w:lang w:val="sv-SE"/>
        </w:rPr>
      </w:pPr>
    </w:p>
    <w:p w14:paraId="7884A9C0" w14:textId="77777777" w:rsidR="003D0A75" w:rsidRDefault="003D0A75" w:rsidP="002B7FE2">
      <w:pPr>
        <w:ind w:left="720" w:right="-514"/>
        <w:rPr>
          <w:lang w:val="sv-SE"/>
        </w:rPr>
      </w:pPr>
      <w:r>
        <w:rPr>
          <w:lang w:val="sv-SE"/>
        </w:rPr>
        <w:t xml:space="preserve">Should an ensuing erection persist for more than one hour, detumescent therapy should be employed prior to the </w:t>
      </w:r>
      <w:r w:rsidR="00805C5B">
        <w:rPr>
          <w:lang w:val="sv-SE"/>
        </w:rPr>
        <w:t xml:space="preserve">patient </w:t>
      </w:r>
      <w:r>
        <w:rPr>
          <w:lang w:val="sv-SE"/>
        </w:rPr>
        <w:t>leaving the clinic to prevent a risk of priapism (</w:t>
      </w:r>
      <w:r w:rsidR="00805C5B">
        <w:rPr>
          <w:lang w:val="sv-SE"/>
        </w:rPr>
        <w:t>see s</w:t>
      </w:r>
      <w:r>
        <w:rPr>
          <w:lang w:val="sv-SE"/>
        </w:rPr>
        <w:t>ection 4.9).</w:t>
      </w:r>
      <w:r w:rsidR="00805C5B">
        <w:rPr>
          <w:lang w:val="sv-SE"/>
        </w:rPr>
        <w:t xml:space="preserve"> </w:t>
      </w:r>
      <w:r>
        <w:rPr>
          <w:lang w:val="sv-SE"/>
        </w:rPr>
        <w:t>At the time of discharge from the clinic, the erection should have subsided entirely and the penis must be in a completely flaccid state.</w:t>
      </w:r>
    </w:p>
    <w:p w14:paraId="14713632" w14:textId="77777777" w:rsidR="003D0A75" w:rsidRDefault="003D0A75" w:rsidP="003E6A11">
      <w:pPr>
        <w:ind w:left="1440" w:right="-514"/>
        <w:rPr>
          <w:lang w:val="sv-SE"/>
        </w:rPr>
      </w:pPr>
    </w:p>
    <w:p w14:paraId="5638D0FD" w14:textId="77777777" w:rsidR="003D0A75" w:rsidRDefault="003D0A75" w:rsidP="002B7FE2">
      <w:pPr>
        <w:ind w:left="720" w:right="-514"/>
        <w:rPr>
          <w:lang w:val="sv-SE"/>
        </w:rPr>
      </w:pPr>
      <w:r>
        <w:rPr>
          <w:lang w:val="sv-SE"/>
        </w:rPr>
        <w:t>In case of lack of erectile response during the titration phase, patients should be monitored for systemic adverse effects.</w:t>
      </w:r>
    </w:p>
    <w:p w14:paraId="5CB655EC" w14:textId="77777777" w:rsidR="003D0A75" w:rsidRDefault="003D0A75" w:rsidP="003E6A11">
      <w:pPr>
        <w:ind w:left="1440" w:right="-514"/>
        <w:rPr>
          <w:lang w:val="sv-SE"/>
        </w:rPr>
      </w:pPr>
    </w:p>
    <w:p w14:paraId="5A0B1AAC" w14:textId="77777777" w:rsidR="003D0A75" w:rsidRDefault="003D0A75" w:rsidP="003E6A11">
      <w:pPr>
        <w:ind w:right="-514"/>
        <w:rPr>
          <w:b/>
          <w:lang w:val="sv-SE"/>
        </w:rPr>
      </w:pPr>
      <w:r>
        <w:rPr>
          <w:b/>
          <w:lang w:val="sv-SE"/>
        </w:rPr>
        <w:t xml:space="preserve">4.3 </w:t>
      </w:r>
      <w:r>
        <w:rPr>
          <w:b/>
          <w:lang w:val="sv-SE"/>
        </w:rPr>
        <w:tab/>
        <w:t>Contraindications</w:t>
      </w:r>
    </w:p>
    <w:p w14:paraId="770B0D73" w14:textId="77777777" w:rsidR="003D0A75" w:rsidRDefault="003D0A75" w:rsidP="003E6A11">
      <w:pPr>
        <w:ind w:left="720" w:right="-514"/>
        <w:rPr>
          <w:lang w:val="sv-SE"/>
        </w:rPr>
      </w:pPr>
    </w:p>
    <w:p w14:paraId="7E0FF43A" w14:textId="77777777" w:rsidR="00805C5B" w:rsidRDefault="00805C5B" w:rsidP="00805C5B">
      <w:pPr>
        <w:pStyle w:val="BodyTextIndent"/>
        <w:ind w:right="-514"/>
      </w:pPr>
      <w:r>
        <w:t>Caverject Dual Chamber must not be used in patients who have:</w:t>
      </w:r>
    </w:p>
    <w:p w14:paraId="45195439" w14:textId="77777777" w:rsidR="00805C5B" w:rsidRDefault="00805C5B" w:rsidP="002B7FE2">
      <w:pPr>
        <w:pStyle w:val="BodyTextIndent"/>
        <w:numPr>
          <w:ilvl w:val="0"/>
          <w:numId w:val="2"/>
        </w:numPr>
        <w:ind w:right="-514"/>
      </w:pPr>
      <w:r>
        <w:t>Hypersensitivity to the active substance or to any of the excipients listed in section 6.1.</w:t>
      </w:r>
    </w:p>
    <w:p w14:paraId="77C0F1FC" w14:textId="77777777" w:rsidR="002B4D0E" w:rsidRDefault="002B4D0E" w:rsidP="002B7FE2">
      <w:pPr>
        <w:pStyle w:val="BodyTextIndent"/>
        <w:numPr>
          <w:ilvl w:val="0"/>
          <w:numId w:val="2"/>
        </w:numPr>
        <w:ind w:right="-514"/>
      </w:pPr>
      <w:r>
        <w:t>C</w:t>
      </w:r>
      <w:r w:rsidR="003D0A75">
        <w:t>onditions that might predispose them to priapism, such as sickle cell anaemia or trait, multiple myeloma, or leukaemia</w:t>
      </w:r>
      <w:r>
        <w:t>.</w:t>
      </w:r>
    </w:p>
    <w:p w14:paraId="4010443D" w14:textId="77777777" w:rsidR="002B4D0E" w:rsidRDefault="002B4D0E" w:rsidP="002B7FE2">
      <w:pPr>
        <w:pStyle w:val="BodyTextIndent"/>
        <w:numPr>
          <w:ilvl w:val="0"/>
          <w:numId w:val="2"/>
        </w:numPr>
        <w:ind w:right="-514"/>
      </w:pPr>
      <w:r>
        <w:t>A</w:t>
      </w:r>
      <w:r w:rsidR="003D0A75">
        <w:t>natomical deformation of the penis, such as angulation, cavernosal fibrosis, or Peyronie's disease.</w:t>
      </w:r>
    </w:p>
    <w:p w14:paraId="4B169D05" w14:textId="77777777" w:rsidR="003D0A75" w:rsidRDefault="002B4D0E" w:rsidP="002B7FE2">
      <w:pPr>
        <w:pStyle w:val="BodyTextIndent"/>
        <w:numPr>
          <w:ilvl w:val="0"/>
          <w:numId w:val="2"/>
        </w:numPr>
        <w:ind w:right="-514"/>
      </w:pPr>
      <w:r>
        <w:t>P</w:t>
      </w:r>
      <w:r w:rsidR="003D0A75">
        <w:t>enile implants</w:t>
      </w:r>
      <w:r w:rsidR="00CF1508">
        <w:t>.</w:t>
      </w:r>
    </w:p>
    <w:p w14:paraId="3D929FE2" w14:textId="77777777" w:rsidR="003D0A75" w:rsidRDefault="003D0A75" w:rsidP="003E6A11">
      <w:pPr>
        <w:ind w:left="720" w:right="-514"/>
        <w:rPr>
          <w:lang w:val="sv-SE"/>
        </w:rPr>
      </w:pPr>
    </w:p>
    <w:p w14:paraId="3D0C7D7D" w14:textId="77777777" w:rsidR="003D0A75" w:rsidRDefault="003D0A75" w:rsidP="003E6A11">
      <w:pPr>
        <w:pStyle w:val="BodyTextIndent"/>
        <w:ind w:right="-514"/>
      </w:pPr>
      <w:r>
        <w:t xml:space="preserve">Caverject Dual Chamber </w:t>
      </w:r>
      <w:r w:rsidR="002B4D0E">
        <w:t>must</w:t>
      </w:r>
      <w:r>
        <w:t xml:space="preserve"> not be used in men for whom sexual activity is contraindicated (e.g. patients suffering from severe heart disease).</w:t>
      </w:r>
    </w:p>
    <w:p w14:paraId="2336FCD4" w14:textId="77777777" w:rsidR="003D0A75" w:rsidRDefault="003D0A75" w:rsidP="003E6A11">
      <w:pPr>
        <w:ind w:right="-514"/>
        <w:rPr>
          <w:lang w:val="sv-SE"/>
        </w:rPr>
      </w:pPr>
    </w:p>
    <w:p w14:paraId="0F8E1162" w14:textId="77777777" w:rsidR="003D0A75" w:rsidRDefault="003D0A75" w:rsidP="003E6A11">
      <w:pPr>
        <w:ind w:right="-514"/>
        <w:rPr>
          <w:b/>
          <w:lang w:val="sv-SE"/>
        </w:rPr>
      </w:pPr>
      <w:r>
        <w:rPr>
          <w:b/>
          <w:lang w:val="sv-SE"/>
        </w:rPr>
        <w:t xml:space="preserve">4.4 </w:t>
      </w:r>
      <w:r>
        <w:rPr>
          <w:b/>
          <w:lang w:val="sv-SE"/>
        </w:rPr>
        <w:tab/>
        <w:t xml:space="preserve">Special </w:t>
      </w:r>
      <w:r w:rsidR="00C002BA">
        <w:rPr>
          <w:b/>
          <w:lang w:val="sv-SE"/>
        </w:rPr>
        <w:t>w</w:t>
      </w:r>
      <w:r>
        <w:rPr>
          <w:b/>
          <w:lang w:val="sv-SE"/>
        </w:rPr>
        <w:t xml:space="preserve">arnings and </w:t>
      </w:r>
      <w:r w:rsidR="00C002BA">
        <w:rPr>
          <w:b/>
          <w:lang w:val="sv-SE"/>
        </w:rPr>
        <w:t>p</w:t>
      </w:r>
      <w:r>
        <w:rPr>
          <w:b/>
          <w:lang w:val="sv-SE"/>
        </w:rPr>
        <w:t xml:space="preserve">recautions for </w:t>
      </w:r>
      <w:r w:rsidR="00C002BA">
        <w:rPr>
          <w:b/>
          <w:lang w:val="sv-SE"/>
        </w:rPr>
        <w:t>u</w:t>
      </w:r>
      <w:r>
        <w:rPr>
          <w:b/>
          <w:lang w:val="sv-SE"/>
        </w:rPr>
        <w:t>se</w:t>
      </w:r>
    </w:p>
    <w:p w14:paraId="583D9133" w14:textId="77777777" w:rsidR="003D0A75" w:rsidRDefault="003D0A75" w:rsidP="003E6A11">
      <w:pPr>
        <w:ind w:left="720" w:right="-514"/>
        <w:rPr>
          <w:lang w:val="sv-SE"/>
        </w:rPr>
      </w:pPr>
    </w:p>
    <w:p w14:paraId="4CF83EFF" w14:textId="77777777" w:rsidR="002859F1" w:rsidRPr="00393FCD" w:rsidRDefault="002859F1" w:rsidP="00622BF4">
      <w:pPr>
        <w:pStyle w:val="BodyTextIndent"/>
        <w:ind w:right="-514"/>
        <w:rPr>
          <w:szCs w:val="24"/>
        </w:rPr>
      </w:pPr>
      <w:r w:rsidRPr="002859F1">
        <w:t xml:space="preserve">Underlying treatable medical causes of erectile dysfunction should be </w:t>
      </w:r>
      <w:r w:rsidRPr="00622BF4">
        <w:rPr>
          <w:szCs w:val="24"/>
        </w:rPr>
        <w:t>diagnosed and treated prior to initiation of therapy with alprostadil.</w:t>
      </w:r>
    </w:p>
    <w:p w14:paraId="6A95A4EF" w14:textId="77777777" w:rsidR="002859F1" w:rsidRPr="00622BF4" w:rsidRDefault="002859F1" w:rsidP="00622BF4">
      <w:pPr>
        <w:pStyle w:val="BodyTextIndent"/>
        <w:ind w:right="-514"/>
        <w:rPr>
          <w:szCs w:val="24"/>
        </w:rPr>
      </w:pPr>
    </w:p>
    <w:p w14:paraId="09E55F09" w14:textId="77777777" w:rsidR="003D0A75" w:rsidRPr="00622BF4" w:rsidRDefault="003D0A75" w:rsidP="003E6A11">
      <w:pPr>
        <w:pStyle w:val="BodyTextIndent"/>
        <w:ind w:right="-514"/>
        <w:rPr>
          <w:szCs w:val="24"/>
        </w:rPr>
      </w:pPr>
      <w:r w:rsidRPr="002859F1">
        <w:rPr>
          <w:szCs w:val="24"/>
        </w:rPr>
        <w:t>Prolonged erection and/or priapism may occur</w:t>
      </w:r>
      <w:r w:rsidR="002859F1" w:rsidRPr="002859F1">
        <w:rPr>
          <w:szCs w:val="24"/>
        </w:rPr>
        <w:t xml:space="preserve"> </w:t>
      </w:r>
      <w:r w:rsidR="002859F1" w:rsidRPr="00393FCD">
        <w:rPr>
          <w:szCs w:val="24"/>
        </w:rPr>
        <w:t>following intracavernosal</w:t>
      </w:r>
      <w:r w:rsidR="002859F1">
        <w:rPr>
          <w:szCs w:val="24"/>
        </w:rPr>
        <w:t xml:space="preserve"> administration </w:t>
      </w:r>
      <w:r w:rsidR="002859F1" w:rsidRPr="00393FCD">
        <w:rPr>
          <w:szCs w:val="24"/>
        </w:rPr>
        <w:t>of alprostadil.To minimi</w:t>
      </w:r>
      <w:r w:rsidR="00E76139">
        <w:rPr>
          <w:szCs w:val="24"/>
        </w:rPr>
        <w:t>s</w:t>
      </w:r>
      <w:r w:rsidR="002859F1" w:rsidRPr="00393FCD">
        <w:rPr>
          <w:szCs w:val="24"/>
        </w:rPr>
        <w:t>e the risk, select the lowest effective dose</w:t>
      </w:r>
      <w:r w:rsidRPr="002859F1">
        <w:rPr>
          <w:szCs w:val="24"/>
        </w:rPr>
        <w:t xml:space="preserve">. </w:t>
      </w:r>
      <w:r w:rsidRPr="00622BF4">
        <w:rPr>
          <w:szCs w:val="24"/>
        </w:rPr>
        <w:t xml:space="preserve">Patients should be instructed to </w:t>
      </w:r>
      <w:r w:rsidR="002859F1" w:rsidRPr="00393FCD">
        <w:rPr>
          <w:szCs w:val="24"/>
        </w:rPr>
        <w:t xml:space="preserve">immediately </w:t>
      </w:r>
      <w:r w:rsidRPr="002859F1">
        <w:rPr>
          <w:szCs w:val="24"/>
        </w:rPr>
        <w:t xml:space="preserve">report to a physician any erection lasting for a prolonged time period, such as 4 hours or longer. </w:t>
      </w:r>
      <w:r w:rsidRPr="00622BF4">
        <w:rPr>
          <w:szCs w:val="24"/>
        </w:rPr>
        <w:t>Treatment of priapism should not be delayed more than 6 hours</w:t>
      </w:r>
      <w:r w:rsidR="002859F1">
        <w:rPr>
          <w:szCs w:val="24"/>
        </w:rPr>
        <w:t xml:space="preserve">. </w:t>
      </w:r>
      <w:r w:rsidR="002859F1" w:rsidRPr="00622BF4">
        <w:rPr>
          <w:szCs w:val="24"/>
        </w:rPr>
        <w:t>Treatment of priapism should be according to established medical practice</w:t>
      </w:r>
      <w:r w:rsidR="002859F1" w:rsidRPr="002859F1">
        <w:rPr>
          <w:szCs w:val="24"/>
        </w:rPr>
        <w:t xml:space="preserve"> </w:t>
      </w:r>
      <w:r w:rsidRPr="002859F1">
        <w:rPr>
          <w:szCs w:val="24"/>
        </w:rPr>
        <w:t>(</w:t>
      </w:r>
      <w:r w:rsidR="002B4D0E">
        <w:rPr>
          <w:szCs w:val="24"/>
        </w:rPr>
        <w:t>see s</w:t>
      </w:r>
      <w:r w:rsidRPr="002859F1">
        <w:rPr>
          <w:szCs w:val="24"/>
        </w:rPr>
        <w:t>ection 4.9</w:t>
      </w:r>
      <w:r w:rsidRPr="00622BF4">
        <w:rPr>
          <w:szCs w:val="24"/>
        </w:rPr>
        <w:t>).</w:t>
      </w:r>
    </w:p>
    <w:p w14:paraId="3F7B9990" w14:textId="77777777" w:rsidR="003D0A75" w:rsidRPr="00622BF4" w:rsidRDefault="003D0A75" w:rsidP="00622BF4">
      <w:pPr>
        <w:pStyle w:val="BodyTextIndent"/>
        <w:ind w:right="-514"/>
        <w:rPr>
          <w:szCs w:val="24"/>
        </w:rPr>
      </w:pPr>
    </w:p>
    <w:p w14:paraId="03BEF31F" w14:textId="77777777" w:rsidR="003D0A75" w:rsidRDefault="003D0A75" w:rsidP="003E6A11">
      <w:pPr>
        <w:pStyle w:val="BodyTextIndent"/>
        <w:ind w:right="-514"/>
      </w:pPr>
      <w:r w:rsidRPr="00622BF4">
        <w:rPr>
          <w:szCs w:val="24"/>
        </w:rPr>
        <w:t xml:space="preserve">Painful erection is more likely to occur in patients with anatomical deformations of the penis, such as angulation, phimosis, cavernosal fibrosis, Peyronie's disease or plaques.  Penile fibrosis, including angulation, </w:t>
      </w:r>
      <w:r w:rsidR="002859F1" w:rsidRPr="00393FCD">
        <w:rPr>
          <w:szCs w:val="24"/>
        </w:rPr>
        <w:t xml:space="preserve">cavernosal fibrosis, </w:t>
      </w:r>
      <w:r w:rsidRPr="002859F1">
        <w:rPr>
          <w:szCs w:val="24"/>
        </w:rPr>
        <w:t>fibrotic nodules and Peyronie's disease may occur following the intracavernosal administration</w:t>
      </w:r>
      <w:r>
        <w:t xml:space="preserve"> of Caverject Dual Chamber. The occurrence of fibrosis may increase with increased duration of use.  Regular follow</w:t>
      </w:r>
      <w:r>
        <w:noBreakHyphen/>
        <w:t xml:space="preserve">up of patients, with careful examination of the penis, is strongly recommended to detect signs of penile fibrosis or Peyronie's disease. Treatment with Caverject Dual </w:t>
      </w:r>
      <w:r>
        <w:lastRenderedPageBreak/>
        <w:t>Chamber should be discontinued in patients who develop penile angulation, cavernosal fibrosis, or Peyronie's disease.</w:t>
      </w:r>
    </w:p>
    <w:p w14:paraId="4F819C84" w14:textId="77777777" w:rsidR="003D0A75" w:rsidRDefault="003D0A75" w:rsidP="003E6A11">
      <w:pPr>
        <w:ind w:left="720" w:right="-514"/>
        <w:rPr>
          <w:lang w:val="sv-SE"/>
        </w:rPr>
      </w:pPr>
    </w:p>
    <w:p w14:paraId="3A5E4CE5" w14:textId="77777777" w:rsidR="003D0A75" w:rsidRDefault="003D0A75" w:rsidP="003E6A11">
      <w:pPr>
        <w:pStyle w:val="BodyTextIndent"/>
        <w:ind w:right="-514"/>
        <w:rPr>
          <w:lang w:val="en-GB"/>
        </w:rPr>
      </w:pPr>
      <w:r>
        <w:t>Patients on anticoagulants such as warfarin or heparin may have increased propensity for bleeding after the intracaverno</w:t>
      </w:r>
      <w:r w:rsidR="002859F1">
        <w:t>sal</w:t>
      </w:r>
      <w:r>
        <w:t xml:space="preserve"> injection. </w:t>
      </w:r>
      <w:r>
        <w:rPr>
          <w:lang w:val="en-GB"/>
        </w:rPr>
        <w:t>In some patients, injection of Caverject Dual Chamber can induce a small amount of bleeding at the site of injection. In patients infected with blood</w:t>
      </w:r>
      <w:r>
        <w:rPr>
          <w:lang w:val="en-GB"/>
        </w:rPr>
        <w:noBreakHyphen/>
        <w:t>born</w:t>
      </w:r>
      <w:r w:rsidR="00D9373D">
        <w:rPr>
          <w:lang w:val="en-GB"/>
        </w:rPr>
        <w:t>e</w:t>
      </w:r>
      <w:r>
        <w:rPr>
          <w:lang w:val="en-GB"/>
        </w:rPr>
        <w:t xml:space="preserve"> diseases, this could increase the transmission of such diseases to their partner.</w:t>
      </w:r>
    </w:p>
    <w:p w14:paraId="4EB8B7F8" w14:textId="77777777" w:rsidR="003D0A75" w:rsidRDefault="003D0A75" w:rsidP="003E6A11">
      <w:pPr>
        <w:pStyle w:val="BodyTextIndent"/>
        <w:ind w:right="-514"/>
        <w:rPr>
          <w:lang w:val="en-GB"/>
        </w:rPr>
      </w:pPr>
    </w:p>
    <w:p w14:paraId="1F768993" w14:textId="77777777" w:rsidR="00335AB3" w:rsidRDefault="00F4307B" w:rsidP="003E6A11">
      <w:pPr>
        <w:pStyle w:val="BodyTextIndent"/>
        <w:ind w:right="-514"/>
        <w:rPr>
          <w:lang w:val="en-GB"/>
        </w:rPr>
      </w:pPr>
      <w:r w:rsidRPr="00F4307B">
        <w:rPr>
          <w:lang w:val="en-GB"/>
        </w:rPr>
        <w:t>Caverject should be used with caution in patients with cardiovascular and cerebrovascular risk factors.</w:t>
      </w:r>
      <w:r>
        <w:rPr>
          <w:lang w:val="en-GB"/>
        </w:rPr>
        <w:t xml:space="preserve"> </w:t>
      </w:r>
    </w:p>
    <w:p w14:paraId="21889622" w14:textId="77777777" w:rsidR="003D0A75" w:rsidRDefault="003D0A75" w:rsidP="003E6A11">
      <w:pPr>
        <w:pStyle w:val="BodyTextIndent"/>
        <w:ind w:right="-514"/>
        <w:rPr>
          <w:lang w:val="en-GB"/>
        </w:rPr>
      </w:pPr>
      <w:r>
        <w:rPr>
          <w:lang w:val="en-GB"/>
        </w:rPr>
        <w:t>Caverject should be used with care in patients who have experienced transient ischaemic attacks or those with unstable cardiovascular disorders.</w:t>
      </w:r>
    </w:p>
    <w:p w14:paraId="0FF46601" w14:textId="77777777" w:rsidR="00F4307B" w:rsidRDefault="00F4307B" w:rsidP="00F4307B">
      <w:pPr>
        <w:pStyle w:val="BodyTextIndent"/>
        <w:ind w:right="-514"/>
        <w:rPr>
          <w:lang w:val="en-GB"/>
        </w:rPr>
      </w:pPr>
    </w:p>
    <w:p w14:paraId="2DF9EB10" w14:textId="77777777" w:rsidR="00F4307B" w:rsidRDefault="00F4307B" w:rsidP="00F4307B">
      <w:pPr>
        <w:pStyle w:val="BodyTextIndent"/>
        <w:rPr>
          <w:lang w:val="en-GB"/>
        </w:rPr>
      </w:pPr>
      <w:r>
        <w:rPr>
          <w:lang w:val="en-GB"/>
        </w:rPr>
        <w:t xml:space="preserve">Sexual stimulation and intercourse can lead to cardiac and pulmonary events in patients with coronary heart disease, congestive heart failure or pulmonary disease.  Caverject should be used with care in these patients </w:t>
      </w:r>
      <w:r w:rsidRPr="00130385">
        <w:rPr>
          <w:lang w:val="en-GB"/>
        </w:rPr>
        <w:t>and they s</w:t>
      </w:r>
      <w:r w:rsidRPr="00622BF4">
        <w:rPr>
          <w:lang w:val="en-GB"/>
        </w:rPr>
        <w:t>hould engage in sexual activity with caution</w:t>
      </w:r>
      <w:r>
        <w:rPr>
          <w:lang w:val="en-GB"/>
        </w:rPr>
        <w:t>.</w:t>
      </w:r>
    </w:p>
    <w:p w14:paraId="67BB8F37" w14:textId="77777777" w:rsidR="00F4307B" w:rsidRDefault="00F4307B" w:rsidP="003E6A11">
      <w:pPr>
        <w:pStyle w:val="BodyTextIndent"/>
        <w:ind w:right="-514"/>
        <w:rPr>
          <w:lang w:val="en-GB"/>
        </w:rPr>
      </w:pPr>
    </w:p>
    <w:p w14:paraId="217218FC" w14:textId="77777777" w:rsidR="003D0A75" w:rsidRDefault="003D0A75" w:rsidP="003E6A11">
      <w:pPr>
        <w:pStyle w:val="BodyTextIndent"/>
        <w:ind w:right="-514"/>
        <w:rPr>
          <w:lang w:val="en-GB"/>
        </w:rPr>
      </w:pPr>
      <w:r>
        <w:rPr>
          <w:lang w:val="en-GB"/>
        </w:rPr>
        <w:t xml:space="preserve">Caverject Dual Chamber is not intended for co-administration with any other agent for the treatment of erectile dysfunction (see </w:t>
      </w:r>
      <w:r w:rsidR="002B4D0E">
        <w:rPr>
          <w:lang w:val="en-GB"/>
        </w:rPr>
        <w:t>section</w:t>
      </w:r>
      <w:r>
        <w:rPr>
          <w:lang w:val="en-GB"/>
        </w:rPr>
        <w:t xml:space="preserve"> 4.5).</w:t>
      </w:r>
    </w:p>
    <w:p w14:paraId="31353385" w14:textId="77777777" w:rsidR="003D0A75" w:rsidRDefault="003D0A75" w:rsidP="003E6A11">
      <w:pPr>
        <w:pStyle w:val="BodyTextIndent"/>
        <w:ind w:right="-514"/>
        <w:rPr>
          <w:lang w:val="en-GB"/>
        </w:rPr>
      </w:pPr>
    </w:p>
    <w:p w14:paraId="61064317" w14:textId="77777777" w:rsidR="003D0A75" w:rsidRDefault="003D0A75" w:rsidP="003E6A11">
      <w:pPr>
        <w:pStyle w:val="BodyTextIndent"/>
        <w:ind w:right="-514"/>
        <w:rPr>
          <w:lang w:val="en-GB"/>
        </w:rPr>
      </w:pPr>
      <w:r>
        <w:rPr>
          <w:lang w:val="en-GB"/>
        </w:rPr>
        <w:t xml:space="preserve">The potential for abuse of </w:t>
      </w:r>
      <w:r w:rsidR="002859F1">
        <w:rPr>
          <w:lang w:val="en-GB"/>
        </w:rPr>
        <w:t>C</w:t>
      </w:r>
      <w:r>
        <w:rPr>
          <w:lang w:val="en-GB"/>
        </w:rPr>
        <w:t>averject should be considered in patients with a history of psychiatric disorder or addiction.</w:t>
      </w:r>
    </w:p>
    <w:p w14:paraId="4848B806" w14:textId="77777777" w:rsidR="003D0A75" w:rsidRDefault="003D0A75" w:rsidP="003E6A11">
      <w:pPr>
        <w:ind w:left="720" w:right="-514"/>
        <w:rPr>
          <w:lang w:val="sv-SE"/>
        </w:rPr>
      </w:pPr>
    </w:p>
    <w:p w14:paraId="28C8A2E3" w14:textId="77777777" w:rsidR="002859F1" w:rsidRPr="002859F1" w:rsidRDefault="003D0A75" w:rsidP="002859F1">
      <w:pPr>
        <w:pStyle w:val="BodyTextIndent"/>
        <w:ind w:right="-514"/>
        <w:rPr>
          <w:lang w:val="en-GB"/>
        </w:rPr>
      </w:pPr>
      <w:r>
        <w:t xml:space="preserve">Reconstituted solutions of Caverject Dual Chamber are intended for single use only. </w:t>
      </w:r>
      <w:r w:rsidR="002859F1" w:rsidRPr="002859F1">
        <w:t>The injection delivery system/syringe and any remaining solution should be properly discarded.</w:t>
      </w:r>
    </w:p>
    <w:p w14:paraId="341D96BD" w14:textId="77777777" w:rsidR="002859F1" w:rsidRPr="002859F1" w:rsidRDefault="002859F1" w:rsidP="002859F1">
      <w:pPr>
        <w:pStyle w:val="BodyTextIndent"/>
        <w:ind w:right="-514"/>
        <w:rPr>
          <w:lang w:val="en-GB"/>
        </w:rPr>
      </w:pPr>
    </w:p>
    <w:p w14:paraId="6E2C93F1" w14:textId="77777777" w:rsidR="003D0A75" w:rsidRPr="00723E52" w:rsidRDefault="003D0A75" w:rsidP="00723E52">
      <w:pPr>
        <w:ind w:left="720" w:right="-514"/>
        <w:rPr>
          <w:lang w:val="sv-SE"/>
        </w:rPr>
      </w:pPr>
    </w:p>
    <w:p w14:paraId="3F348919" w14:textId="77777777" w:rsidR="00477B1E" w:rsidRPr="00723E52" w:rsidRDefault="00477B1E" w:rsidP="00723E52">
      <w:pPr>
        <w:ind w:left="720" w:right="-514"/>
        <w:rPr>
          <w:lang w:val="sv-SE"/>
        </w:rPr>
      </w:pPr>
      <w:r w:rsidRPr="00723E52">
        <w:rPr>
          <w:lang w:val="sv-SE"/>
        </w:rPr>
        <w:t>Caverject Dual Chamber uses a superfine needle for administration. As with all superfine needles, the possibility of needle breakage exists.</w:t>
      </w:r>
    </w:p>
    <w:p w14:paraId="5D7C6A5C" w14:textId="77777777" w:rsidR="00477B1E" w:rsidRPr="00723E52" w:rsidRDefault="00477B1E" w:rsidP="00723E52">
      <w:pPr>
        <w:ind w:left="720" w:right="-514"/>
        <w:rPr>
          <w:lang w:val="sv-SE"/>
        </w:rPr>
      </w:pPr>
    </w:p>
    <w:p w14:paraId="090922F1" w14:textId="77777777" w:rsidR="00477B1E" w:rsidRPr="00723E52" w:rsidRDefault="00477B1E" w:rsidP="00723E52">
      <w:pPr>
        <w:ind w:left="720" w:right="-514"/>
        <w:rPr>
          <w:lang w:val="sv-SE"/>
        </w:rPr>
      </w:pPr>
      <w:r w:rsidRPr="00723E52">
        <w:rPr>
          <w:lang w:val="sv-SE"/>
        </w:rPr>
        <w:t xml:space="preserve">Needle breakage, with a portion of the needle remaining in the penis, has been reported and, in some cases, required hospitalisation and surgical removal. </w:t>
      </w:r>
    </w:p>
    <w:p w14:paraId="3E8E3105" w14:textId="77777777" w:rsidR="00477B1E" w:rsidRPr="00723E52" w:rsidRDefault="00477B1E" w:rsidP="00723E52">
      <w:pPr>
        <w:ind w:left="720" w:right="-514"/>
        <w:rPr>
          <w:lang w:val="sv-SE"/>
        </w:rPr>
      </w:pPr>
    </w:p>
    <w:p w14:paraId="6FFB72DE" w14:textId="77777777" w:rsidR="00477B1E" w:rsidRPr="00723E52" w:rsidRDefault="00477B1E" w:rsidP="00723E52">
      <w:pPr>
        <w:ind w:left="720" w:right="-514"/>
        <w:rPr>
          <w:lang w:val="sv-SE"/>
        </w:rPr>
      </w:pPr>
      <w:r w:rsidRPr="00723E52">
        <w:rPr>
          <w:lang w:val="sv-SE"/>
        </w:rPr>
        <w:t>Careful patient instruction in proper handling and injection techniques may minimise the potential for needle breakage.</w:t>
      </w:r>
    </w:p>
    <w:p w14:paraId="1C7297A0" w14:textId="77777777" w:rsidR="00477B1E" w:rsidRPr="00723E52" w:rsidRDefault="00477B1E" w:rsidP="00723E52">
      <w:pPr>
        <w:ind w:left="720" w:right="-514"/>
        <w:rPr>
          <w:lang w:val="sv-SE"/>
        </w:rPr>
      </w:pPr>
    </w:p>
    <w:p w14:paraId="732F9B08" w14:textId="77777777" w:rsidR="00477B1E" w:rsidRDefault="00477B1E" w:rsidP="00477B1E">
      <w:pPr>
        <w:ind w:left="720"/>
        <w:rPr>
          <w:szCs w:val="24"/>
        </w:rPr>
      </w:pPr>
      <w:r w:rsidRPr="00C9475F">
        <w:rPr>
          <w:szCs w:val="24"/>
        </w:rPr>
        <w:t>The patient should be instructed that, if the needle is bent, it must not be used; they should also not attempt to straighten a bent needle.  They should remove the needle from the syringe, discard it, and attach a new, unused sterile needle to the syringe.</w:t>
      </w:r>
    </w:p>
    <w:p w14:paraId="045B6DCF" w14:textId="77777777" w:rsidR="002B4D0E" w:rsidRDefault="002B4D0E" w:rsidP="00477B1E">
      <w:pPr>
        <w:ind w:left="720"/>
        <w:rPr>
          <w:szCs w:val="24"/>
        </w:rPr>
      </w:pPr>
    </w:p>
    <w:p w14:paraId="429040E4" w14:textId="77777777" w:rsidR="002B4D0E" w:rsidRPr="002B7FE2" w:rsidRDefault="002B4D0E" w:rsidP="002B4D0E">
      <w:pPr>
        <w:ind w:left="720"/>
        <w:rPr>
          <w:szCs w:val="24"/>
          <w:u w:val="single"/>
        </w:rPr>
      </w:pPr>
      <w:r w:rsidRPr="002B7FE2">
        <w:rPr>
          <w:szCs w:val="24"/>
          <w:u w:val="single"/>
        </w:rPr>
        <w:t>Benzyl alcohol</w:t>
      </w:r>
    </w:p>
    <w:p w14:paraId="3316487D" w14:textId="77777777" w:rsidR="002B4D0E" w:rsidRPr="002B4D0E" w:rsidRDefault="002B4D0E" w:rsidP="002B4D0E">
      <w:pPr>
        <w:ind w:left="720"/>
        <w:rPr>
          <w:szCs w:val="24"/>
        </w:rPr>
      </w:pPr>
    </w:p>
    <w:p w14:paraId="78E7BF32" w14:textId="77777777" w:rsidR="002B4D0E" w:rsidRPr="002B4D0E" w:rsidRDefault="002B4D0E" w:rsidP="002B4D0E">
      <w:pPr>
        <w:ind w:left="720"/>
        <w:rPr>
          <w:szCs w:val="24"/>
        </w:rPr>
      </w:pPr>
      <w:r w:rsidRPr="002B4D0E">
        <w:rPr>
          <w:szCs w:val="24"/>
        </w:rPr>
        <w:t xml:space="preserve">Caverject Dual Chamber contains benzyl alcohol, which may </w:t>
      </w:r>
      <w:r w:rsidR="00CF1508">
        <w:rPr>
          <w:szCs w:val="24"/>
        </w:rPr>
        <w:t>cause hypersensitivity reactions</w:t>
      </w:r>
      <w:r w:rsidRPr="002B4D0E">
        <w:rPr>
          <w:szCs w:val="24"/>
        </w:rPr>
        <w:t>.</w:t>
      </w:r>
    </w:p>
    <w:p w14:paraId="6D9ECE8F" w14:textId="77777777" w:rsidR="002B4D0E" w:rsidRPr="002B4D0E" w:rsidRDefault="002B4D0E" w:rsidP="002B4D0E">
      <w:pPr>
        <w:ind w:left="720"/>
        <w:rPr>
          <w:szCs w:val="24"/>
        </w:rPr>
      </w:pPr>
    </w:p>
    <w:p w14:paraId="00672549" w14:textId="77777777" w:rsidR="002B4D0E" w:rsidRPr="002B4D0E" w:rsidRDefault="00F5772C" w:rsidP="002B4D0E">
      <w:pPr>
        <w:ind w:left="720"/>
        <w:rPr>
          <w:szCs w:val="24"/>
        </w:rPr>
      </w:pPr>
      <w:r>
        <w:rPr>
          <w:rFonts w:eastAsia="Calibri"/>
          <w:sz w:val="22"/>
          <w:szCs w:val="22"/>
        </w:rPr>
        <w:t xml:space="preserve">The combined daily metabolic load of benzyl alcohol from all sources should be considered, </w:t>
      </w:r>
      <w:r w:rsidR="002B4D0E" w:rsidRPr="002B4D0E">
        <w:rPr>
          <w:szCs w:val="24"/>
        </w:rPr>
        <w:t xml:space="preserve"> especially in patients with liver or kidney impairment because of the risk of accumulation and toxicity (metabolic acidosis).</w:t>
      </w:r>
    </w:p>
    <w:p w14:paraId="100E1333" w14:textId="77777777" w:rsidR="002B4D0E" w:rsidRPr="002B4D0E" w:rsidRDefault="002B4D0E" w:rsidP="002B4D0E">
      <w:pPr>
        <w:ind w:left="720"/>
        <w:rPr>
          <w:szCs w:val="24"/>
        </w:rPr>
      </w:pPr>
    </w:p>
    <w:p w14:paraId="07034F6B" w14:textId="77777777" w:rsidR="002B4D0E" w:rsidRPr="002B4D0E" w:rsidRDefault="00996EBF" w:rsidP="00B203C7">
      <w:pPr>
        <w:ind w:left="720"/>
        <w:rPr>
          <w:szCs w:val="24"/>
        </w:rPr>
      </w:pPr>
      <w:r w:rsidRPr="002B7FE2">
        <w:rPr>
          <w:szCs w:val="24"/>
        </w:rPr>
        <w:t>This medicine is only indicated for intracavernosal injection.</w:t>
      </w:r>
      <w:r>
        <w:rPr>
          <w:sz w:val="22"/>
          <w:szCs w:val="22"/>
        </w:rPr>
        <w:t xml:space="preserve"> </w:t>
      </w:r>
      <w:r w:rsidR="002B4D0E" w:rsidRPr="002B4D0E">
        <w:rPr>
          <w:szCs w:val="24"/>
        </w:rPr>
        <w:t>Intravenous administration of the preservative benzyl alcohol has been associated with serious adverse events and death in paediatric patients including neonates (“gasping syndrome”). The minimum amount of benzyl alcohol at which toxicity may occur is not known. Premature and low-birth weight infants may be more likely to develop toxicity.</w:t>
      </w:r>
      <w:r>
        <w:rPr>
          <w:szCs w:val="24"/>
        </w:rPr>
        <w:t xml:space="preserve"> Caverject Dual Chamber is not indicated for paediatric use.</w:t>
      </w:r>
    </w:p>
    <w:p w14:paraId="250A6D15" w14:textId="77777777" w:rsidR="002B4D0E" w:rsidRPr="002B4D0E" w:rsidRDefault="002B4D0E" w:rsidP="002B4D0E">
      <w:pPr>
        <w:ind w:left="720"/>
        <w:rPr>
          <w:szCs w:val="24"/>
        </w:rPr>
      </w:pPr>
    </w:p>
    <w:p w14:paraId="1C0786EB" w14:textId="77777777" w:rsidR="002B4D0E" w:rsidRPr="002B4D0E" w:rsidRDefault="002B4D0E" w:rsidP="002B4D0E">
      <w:pPr>
        <w:ind w:left="720"/>
        <w:rPr>
          <w:szCs w:val="24"/>
        </w:rPr>
      </w:pPr>
    </w:p>
    <w:p w14:paraId="67CFAB94" w14:textId="77777777" w:rsidR="002B4D0E" w:rsidRPr="002B7FE2" w:rsidRDefault="002B4D0E" w:rsidP="002B4D0E">
      <w:pPr>
        <w:ind w:left="720"/>
        <w:rPr>
          <w:szCs w:val="24"/>
          <w:u w:val="single"/>
        </w:rPr>
      </w:pPr>
      <w:r w:rsidRPr="002B7FE2">
        <w:rPr>
          <w:szCs w:val="24"/>
          <w:u w:val="single"/>
        </w:rPr>
        <w:t>Sodium</w:t>
      </w:r>
    </w:p>
    <w:p w14:paraId="24F62E2D" w14:textId="77777777" w:rsidR="002B4D0E" w:rsidRPr="005F59C7" w:rsidRDefault="002B4D0E" w:rsidP="002B4D0E">
      <w:pPr>
        <w:ind w:left="720"/>
        <w:rPr>
          <w:szCs w:val="24"/>
        </w:rPr>
      </w:pPr>
      <w:r w:rsidRPr="002B4D0E">
        <w:rPr>
          <w:szCs w:val="24"/>
        </w:rPr>
        <w:t>This medicine contains less than 1 mmol</w:t>
      </w:r>
      <w:r w:rsidR="00CF1508">
        <w:rPr>
          <w:szCs w:val="24"/>
        </w:rPr>
        <w:t xml:space="preserve"> sodium</w:t>
      </w:r>
      <w:r w:rsidRPr="002B4D0E">
        <w:rPr>
          <w:szCs w:val="24"/>
        </w:rPr>
        <w:t xml:space="preserve"> (23 mg) per vial, that is to say essentially </w:t>
      </w:r>
      <w:r w:rsidR="00CF1508">
        <w:rPr>
          <w:szCs w:val="24"/>
        </w:rPr>
        <w:t>‘sodium-</w:t>
      </w:r>
      <w:r w:rsidRPr="002B4D0E">
        <w:rPr>
          <w:szCs w:val="24"/>
        </w:rPr>
        <w:t>free</w:t>
      </w:r>
      <w:r w:rsidR="00CF1508">
        <w:rPr>
          <w:szCs w:val="24"/>
        </w:rPr>
        <w:t>’</w:t>
      </w:r>
      <w:r w:rsidRPr="002B4D0E">
        <w:rPr>
          <w:szCs w:val="24"/>
        </w:rPr>
        <w:t>.</w:t>
      </w:r>
    </w:p>
    <w:p w14:paraId="13562CEC" w14:textId="77777777" w:rsidR="00477B1E" w:rsidRPr="00723E52" w:rsidRDefault="00477B1E" w:rsidP="003E6A11">
      <w:pPr>
        <w:pStyle w:val="BodyTextIndent"/>
        <w:ind w:right="-514"/>
      </w:pPr>
    </w:p>
    <w:p w14:paraId="6C061287" w14:textId="77777777" w:rsidR="003D0A75" w:rsidRDefault="003D0A75" w:rsidP="003E6A11">
      <w:pPr>
        <w:ind w:left="720" w:right="-514" w:hanging="720"/>
        <w:rPr>
          <w:b/>
          <w:lang w:val="sv-SE"/>
        </w:rPr>
      </w:pPr>
      <w:r>
        <w:rPr>
          <w:b/>
          <w:lang w:val="sv-SE"/>
        </w:rPr>
        <w:t xml:space="preserve">4.5 </w:t>
      </w:r>
      <w:r>
        <w:rPr>
          <w:b/>
          <w:lang w:val="sv-SE"/>
        </w:rPr>
        <w:tab/>
        <w:t xml:space="preserve">Interaction with </w:t>
      </w:r>
      <w:r w:rsidR="00C002BA">
        <w:rPr>
          <w:b/>
          <w:lang w:val="sv-SE"/>
        </w:rPr>
        <w:t>o</w:t>
      </w:r>
      <w:r>
        <w:rPr>
          <w:b/>
          <w:lang w:val="sv-SE"/>
        </w:rPr>
        <w:t xml:space="preserve">ther </w:t>
      </w:r>
      <w:r w:rsidR="00C002BA">
        <w:rPr>
          <w:b/>
          <w:lang w:val="sv-SE"/>
        </w:rPr>
        <w:t>m</w:t>
      </w:r>
      <w:r>
        <w:rPr>
          <w:b/>
          <w:lang w:val="sv-SE"/>
        </w:rPr>
        <w:t xml:space="preserve">edicinal </w:t>
      </w:r>
      <w:r w:rsidR="00C002BA">
        <w:rPr>
          <w:b/>
          <w:lang w:val="sv-SE"/>
        </w:rPr>
        <w:t>p</w:t>
      </w:r>
      <w:r>
        <w:rPr>
          <w:b/>
          <w:lang w:val="sv-SE"/>
        </w:rPr>
        <w:t xml:space="preserve">roducts and </w:t>
      </w:r>
      <w:r w:rsidR="00C002BA">
        <w:rPr>
          <w:b/>
          <w:lang w:val="sv-SE"/>
        </w:rPr>
        <w:t>o</w:t>
      </w:r>
      <w:r>
        <w:rPr>
          <w:b/>
          <w:lang w:val="sv-SE"/>
        </w:rPr>
        <w:t xml:space="preserve">ther </w:t>
      </w:r>
      <w:r w:rsidR="00C002BA">
        <w:rPr>
          <w:b/>
          <w:lang w:val="sv-SE"/>
        </w:rPr>
        <w:t>f</w:t>
      </w:r>
      <w:r>
        <w:rPr>
          <w:b/>
          <w:lang w:val="sv-SE"/>
        </w:rPr>
        <w:t xml:space="preserve">orms of </w:t>
      </w:r>
      <w:r w:rsidR="00C002BA">
        <w:rPr>
          <w:b/>
          <w:lang w:val="sv-SE"/>
        </w:rPr>
        <w:t>i</w:t>
      </w:r>
      <w:r>
        <w:rPr>
          <w:b/>
          <w:lang w:val="sv-SE"/>
        </w:rPr>
        <w:t>nteraction</w:t>
      </w:r>
    </w:p>
    <w:p w14:paraId="4001B91B" w14:textId="77777777" w:rsidR="003D0A75" w:rsidRDefault="003D0A75" w:rsidP="003E6A11">
      <w:pPr>
        <w:ind w:left="720" w:right="-514"/>
        <w:rPr>
          <w:lang w:val="sv-SE"/>
        </w:rPr>
      </w:pPr>
    </w:p>
    <w:p w14:paraId="1D272896" w14:textId="77777777" w:rsidR="003D0A75" w:rsidRDefault="003D0A75" w:rsidP="003E6A11">
      <w:pPr>
        <w:pStyle w:val="BodyTextIndent"/>
        <w:ind w:right="-514"/>
      </w:pPr>
      <w:r>
        <w:t>Sympathomimetics may reduce the effect of alprostadil.  Alprostadil may enhance the effects of antihypertensives, vasodilative agents, anticoagulants and platelet aggregation inhibitors.</w:t>
      </w:r>
    </w:p>
    <w:p w14:paraId="024CCBED" w14:textId="77777777" w:rsidR="003D0A75" w:rsidRDefault="003D0A75" w:rsidP="003E6A11">
      <w:pPr>
        <w:pStyle w:val="BodyTextIndent"/>
        <w:ind w:right="-514"/>
      </w:pPr>
    </w:p>
    <w:p w14:paraId="5737F6DF" w14:textId="77777777" w:rsidR="003D0A75" w:rsidRDefault="003D0A75" w:rsidP="003E6A11">
      <w:pPr>
        <w:pStyle w:val="BodyTextIndent"/>
        <w:ind w:right="-514"/>
        <w:rPr>
          <w:lang w:val="en-GB"/>
        </w:rPr>
      </w:pPr>
      <w:r>
        <w:rPr>
          <w:lang w:val="en-GB"/>
        </w:rPr>
        <w:t xml:space="preserve">The effects of combinations of alprostadil with other treatments for erectile dysfunction (e.g. sildenafil) or other </w:t>
      </w:r>
      <w:r w:rsidR="002B4D0E">
        <w:rPr>
          <w:lang w:val="en-GB"/>
        </w:rPr>
        <w:t>medicinal products</w:t>
      </w:r>
      <w:r>
        <w:rPr>
          <w:lang w:val="en-GB"/>
        </w:rPr>
        <w:t xml:space="preserve"> inducing erection (e.g. papaverine) have not been formally studied. Such </w:t>
      </w:r>
      <w:r w:rsidR="002B4D0E">
        <w:rPr>
          <w:lang w:val="en-GB"/>
        </w:rPr>
        <w:t>medicinal products</w:t>
      </w:r>
      <w:r>
        <w:rPr>
          <w:lang w:val="en-GB"/>
        </w:rPr>
        <w:t xml:space="preserve"> should not be used in combination with Caverject due to the potential for inducing prolonged erections.</w:t>
      </w:r>
    </w:p>
    <w:p w14:paraId="1906B690" w14:textId="77777777" w:rsidR="003D0A75" w:rsidRDefault="003D0A75" w:rsidP="003E6A11">
      <w:pPr>
        <w:ind w:right="-514"/>
        <w:rPr>
          <w:lang w:val="sv-SE"/>
        </w:rPr>
      </w:pPr>
    </w:p>
    <w:p w14:paraId="31966BDC" w14:textId="77777777" w:rsidR="003D0A75" w:rsidRDefault="003D0A75" w:rsidP="003E6A11">
      <w:pPr>
        <w:ind w:right="-514"/>
        <w:rPr>
          <w:b/>
          <w:lang w:val="sv-SE"/>
        </w:rPr>
      </w:pPr>
      <w:r>
        <w:rPr>
          <w:b/>
          <w:lang w:val="sv-SE"/>
        </w:rPr>
        <w:t>4.6</w:t>
      </w:r>
      <w:r>
        <w:rPr>
          <w:b/>
          <w:lang w:val="sv-SE"/>
        </w:rPr>
        <w:tab/>
      </w:r>
      <w:r w:rsidR="00C002BA">
        <w:rPr>
          <w:b/>
          <w:lang w:val="sv-SE"/>
        </w:rPr>
        <w:t>Fertility, p</w:t>
      </w:r>
      <w:r>
        <w:rPr>
          <w:b/>
          <w:lang w:val="sv-SE"/>
        </w:rPr>
        <w:t xml:space="preserve">regnancy and </w:t>
      </w:r>
      <w:r w:rsidR="00C002BA">
        <w:rPr>
          <w:b/>
          <w:lang w:val="sv-SE"/>
        </w:rPr>
        <w:t>l</w:t>
      </w:r>
      <w:r>
        <w:rPr>
          <w:b/>
          <w:lang w:val="sv-SE"/>
        </w:rPr>
        <w:t>actation</w:t>
      </w:r>
    </w:p>
    <w:p w14:paraId="72B49D94" w14:textId="77777777" w:rsidR="003D0A75" w:rsidRDefault="003D0A75" w:rsidP="003E6A11">
      <w:pPr>
        <w:ind w:left="720" w:right="-514"/>
        <w:rPr>
          <w:lang w:val="sv-SE"/>
        </w:rPr>
      </w:pPr>
    </w:p>
    <w:p w14:paraId="160E1B9F" w14:textId="77777777" w:rsidR="003D0A75" w:rsidRDefault="003D0A75" w:rsidP="003E6A11">
      <w:pPr>
        <w:pStyle w:val="BodyTextIndent"/>
        <w:ind w:right="-514"/>
      </w:pPr>
      <w:r>
        <w:t xml:space="preserve">Not applicable.  </w:t>
      </w:r>
    </w:p>
    <w:p w14:paraId="3646691F" w14:textId="77777777" w:rsidR="003D0A75" w:rsidRDefault="003D0A75" w:rsidP="003E6A11">
      <w:pPr>
        <w:ind w:right="-514"/>
        <w:rPr>
          <w:lang w:val="sv-SE"/>
        </w:rPr>
      </w:pPr>
    </w:p>
    <w:p w14:paraId="463B933E" w14:textId="77777777" w:rsidR="003D0A75" w:rsidRDefault="003D0A75" w:rsidP="003E6A11">
      <w:pPr>
        <w:ind w:right="-514"/>
        <w:rPr>
          <w:b/>
          <w:lang w:val="sv-SE"/>
        </w:rPr>
      </w:pPr>
      <w:r>
        <w:rPr>
          <w:b/>
          <w:lang w:val="sv-SE"/>
        </w:rPr>
        <w:t>4.7</w:t>
      </w:r>
      <w:r>
        <w:rPr>
          <w:b/>
          <w:lang w:val="sv-SE"/>
        </w:rPr>
        <w:tab/>
        <w:t xml:space="preserve">Effects on </w:t>
      </w:r>
      <w:r w:rsidR="00851A61">
        <w:rPr>
          <w:b/>
          <w:lang w:val="sv-SE"/>
        </w:rPr>
        <w:t>a</w:t>
      </w:r>
      <w:r>
        <w:rPr>
          <w:b/>
          <w:lang w:val="sv-SE"/>
        </w:rPr>
        <w:t xml:space="preserve">bility to </w:t>
      </w:r>
      <w:r w:rsidR="00851A61">
        <w:rPr>
          <w:b/>
          <w:lang w:val="sv-SE"/>
        </w:rPr>
        <w:t>d</w:t>
      </w:r>
      <w:r>
        <w:rPr>
          <w:b/>
          <w:lang w:val="sv-SE"/>
        </w:rPr>
        <w:t xml:space="preserve">rive and </w:t>
      </w:r>
      <w:r w:rsidR="00851A61">
        <w:rPr>
          <w:b/>
          <w:lang w:val="sv-SE"/>
        </w:rPr>
        <w:t>u</w:t>
      </w:r>
      <w:r>
        <w:rPr>
          <w:b/>
          <w:lang w:val="sv-SE"/>
        </w:rPr>
        <w:t xml:space="preserve">se </w:t>
      </w:r>
      <w:r w:rsidR="00851A61">
        <w:rPr>
          <w:b/>
          <w:lang w:val="sv-SE"/>
        </w:rPr>
        <w:t>m</w:t>
      </w:r>
      <w:r>
        <w:rPr>
          <w:b/>
          <w:lang w:val="sv-SE"/>
        </w:rPr>
        <w:t>achines</w:t>
      </w:r>
    </w:p>
    <w:p w14:paraId="768C8836" w14:textId="77777777" w:rsidR="003D0A75" w:rsidRDefault="003D0A75" w:rsidP="003E6A11">
      <w:pPr>
        <w:ind w:left="720" w:right="-514"/>
        <w:rPr>
          <w:lang w:val="sv-SE"/>
        </w:rPr>
      </w:pPr>
    </w:p>
    <w:p w14:paraId="085285E4" w14:textId="77777777" w:rsidR="003D0A75" w:rsidRDefault="002859F1" w:rsidP="003E6A11">
      <w:pPr>
        <w:ind w:left="720" w:right="-514"/>
        <w:rPr>
          <w:lang w:val="sv-SE"/>
        </w:rPr>
      </w:pPr>
      <w:r w:rsidRPr="0014703F">
        <w:t>Alprostadil would not be expected to have an influence on the abili</w:t>
      </w:r>
      <w:r>
        <w:t>ty to drive or operate machines</w:t>
      </w:r>
      <w:r w:rsidR="003D0A75">
        <w:rPr>
          <w:lang w:val="sv-SE"/>
        </w:rPr>
        <w:t>.</w:t>
      </w:r>
    </w:p>
    <w:p w14:paraId="60E7427C" w14:textId="77777777" w:rsidR="003D0A75" w:rsidRDefault="003D0A75" w:rsidP="003E6A11">
      <w:pPr>
        <w:pStyle w:val="Footer"/>
        <w:tabs>
          <w:tab w:val="clear" w:pos="4536"/>
          <w:tab w:val="clear" w:pos="9072"/>
        </w:tabs>
        <w:ind w:right="-514"/>
        <w:rPr>
          <w:rFonts w:ascii="Times New Roman" w:hAnsi="Times New Roman"/>
          <w:lang w:val="sv-SE"/>
        </w:rPr>
      </w:pPr>
    </w:p>
    <w:p w14:paraId="22EE73E7" w14:textId="77777777" w:rsidR="003D0A75" w:rsidRDefault="003D0A75" w:rsidP="003E6A11">
      <w:pPr>
        <w:ind w:right="-514"/>
        <w:rPr>
          <w:b/>
          <w:lang w:val="sv-SE"/>
        </w:rPr>
      </w:pPr>
      <w:r>
        <w:rPr>
          <w:b/>
          <w:lang w:val="sv-SE"/>
        </w:rPr>
        <w:t xml:space="preserve">4.8 </w:t>
      </w:r>
      <w:r>
        <w:rPr>
          <w:b/>
          <w:lang w:val="sv-SE"/>
        </w:rPr>
        <w:tab/>
        <w:t xml:space="preserve">Undesirable </w:t>
      </w:r>
      <w:r w:rsidR="00851A61">
        <w:rPr>
          <w:b/>
          <w:lang w:val="sv-SE"/>
        </w:rPr>
        <w:t>e</w:t>
      </w:r>
      <w:r>
        <w:rPr>
          <w:b/>
          <w:lang w:val="sv-SE"/>
        </w:rPr>
        <w:t>ffects</w:t>
      </w:r>
    </w:p>
    <w:p w14:paraId="30E12B21" w14:textId="77777777" w:rsidR="003D0A75" w:rsidRDefault="003D0A75" w:rsidP="003E6A11">
      <w:pPr>
        <w:ind w:left="720" w:right="-514"/>
        <w:rPr>
          <w:lang w:val="sv-SE"/>
        </w:rPr>
      </w:pPr>
    </w:p>
    <w:p w14:paraId="49404C08" w14:textId="77777777" w:rsidR="002B4D0E" w:rsidRPr="002B7FE2" w:rsidRDefault="002B4D0E" w:rsidP="003E6A11">
      <w:pPr>
        <w:ind w:left="720" w:right="-514"/>
        <w:rPr>
          <w:u w:val="single"/>
          <w:lang w:val="sv-SE"/>
        </w:rPr>
      </w:pPr>
      <w:r w:rsidRPr="002B7FE2">
        <w:rPr>
          <w:u w:val="single"/>
          <w:lang w:val="sv-SE"/>
        </w:rPr>
        <w:t>Summary of the safety profile</w:t>
      </w:r>
    </w:p>
    <w:p w14:paraId="42B1ADD7" w14:textId="77777777" w:rsidR="002B4D0E" w:rsidRDefault="002B4D0E" w:rsidP="003E6A11">
      <w:pPr>
        <w:ind w:left="720" w:right="-514"/>
        <w:rPr>
          <w:lang w:val="sv-SE"/>
        </w:rPr>
      </w:pPr>
    </w:p>
    <w:p w14:paraId="3566F044" w14:textId="77777777" w:rsidR="003D0A75" w:rsidRDefault="003D0A75" w:rsidP="003E6A11">
      <w:pPr>
        <w:ind w:left="720" w:right="-514"/>
        <w:rPr>
          <w:lang w:val="sv-SE"/>
        </w:rPr>
      </w:pPr>
      <w:r>
        <w:rPr>
          <w:lang w:val="sv-SE"/>
        </w:rPr>
        <w:t>The most frequent adverse effect following an intracavernous injection was pain in the penis. Thirty percent of patients reported pain at least once. Pain was associated with 11% of the injections administered. In most cases pain was assessed as mild or moderate. Three per cent of patients discontinued treatment because of pain.</w:t>
      </w:r>
    </w:p>
    <w:p w14:paraId="491C2E67" w14:textId="77777777" w:rsidR="003D0A75" w:rsidRDefault="003D0A75" w:rsidP="003E6A11">
      <w:pPr>
        <w:ind w:left="720" w:right="-514"/>
        <w:rPr>
          <w:lang w:val="sv-SE"/>
        </w:rPr>
      </w:pPr>
    </w:p>
    <w:p w14:paraId="592D0D1E" w14:textId="77777777" w:rsidR="003D0A75" w:rsidRDefault="003D0A75" w:rsidP="003E6A11">
      <w:pPr>
        <w:pStyle w:val="BodyText"/>
        <w:ind w:left="720" w:right="-514"/>
        <w:rPr>
          <w:b w:val="0"/>
          <w:i w:val="0"/>
          <w:sz w:val="24"/>
          <w:lang w:val="sv-SE"/>
        </w:rPr>
      </w:pPr>
      <w:r>
        <w:rPr>
          <w:b w:val="0"/>
          <w:i w:val="0"/>
          <w:sz w:val="24"/>
          <w:lang w:val="sv-SE"/>
        </w:rPr>
        <w:t>Penile fibrosis, including angulation, fibrotic nodules, and Peyronie’s disease, was reported in 3% of clinical trial patients overall. In one self-injection study in which the duration of use was up to 18 months, the incidence of penile fibrosis was higher, approximately 8%.</w:t>
      </w:r>
    </w:p>
    <w:p w14:paraId="305D20B9" w14:textId="77777777" w:rsidR="003D0A75" w:rsidRPr="00562E0F" w:rsidRDefault="003D0A75" w:rsidP="003E6A11">
      <w:pPr>
        <w:pStyle w:val="BodyText"/>
        <w:ind w:left="720" w:right="-514"/>
        <w:rPr>
          <w:i w:val="0"/>
          <w:sz w:val="24"/>
          <w:u w:val="single"/>
        </w:rPr>
      </w:pPr>
    </w:p>
    <w:p w14:paraId="7FBD3777" w14:textId="77777777" w:rsidR="003D0A75" w:rsidRDefault="003D0A75" w:rsidP="003E6A11">
      <w:pPr>
        <w:ind w:left="720" w:right="-514"/>
        <w:rPr>
          <w:lang w:val="sv-SE"/>
        </w:rPr>
      </w:pPr>
      <w:r>
        <w:rPr>
          <w:lang w:val="sv-SE"/>
        </w:rPr>
        <w:t>Haematoma and ecchymosis at the injection site, which is related with the injection technique rather than the effect of alprostadil, was reported by 3% and 2% of patients, respectively.</w:t>
      </w:r>
    </w:p>
    <w:p w14:paraId="1905BD67" w14:textId="77777777" w:rsidR="003D0A75" w:rsidRDefault="003D0A75" w:rsidP="003E6A11">
      <w:pPr>
        <w:ind w:left="720" w:right="-514"/>
        <w:rPr>
          <w:lang w:val="sv-SE"/>
        </w:rPr>
      </w:pPr>
    </w:p>
    <w:p w14:paraId="0C3FE4EC" w14:textId="77777777" w:rsidR="003D0A75" w:rsidRDefault="003D0A75" w:rsidP="003E6A11">
      <w:pPr>
        <w:ind w:left="720" w:right="-514"/>
        <w:rPr>
          <w:lang w:val="sv-SE"/>
        </w:rPr>
      </w:pPr>
      <w:r>
        <w:rPr>
          <w:lang w:val="sv-SE"/>
        </w:rPr>
        <w:t xml:space="preserve">Prolonged erection (an erection for 4 </w:t>
      </w:r>
      <w:r w:rsidR="002B4D0E">
        <w:rPr>
          <w:lang w:val="sv-SE"/>
        </w:rPr>
        <w:t>to</w:t>
      </w:r>
      <w:r>
        <w:rPr>
          <w:lang w:val="sv-SE"/>
        </w:rPr>
        <w:t xml:space="preserve"> 6 h</w:t>
      </w:r>
      <w:r w:rsidR="002B4D0E">
        <w:rPr>
          <w:lang w:val="sv-SE"/>
        </w:rPr>
        <w:t>ours</w:t>
      </w:r>
      <w:r>
        <w:rPr>
          <w:lang w:val="sv-SE"/>
        </w:rPr>
        <w:t>) developed in 4% of patients. Priapism (a painful erection for more than 6 hours) occurred in 0.4%. In most cases it disappeared spontaneously.</w:t>
      </w:r>
    </w:p>
    <w:p w14:paraId="0A3DF6AC" w14:textId="77777777" w:rsidR="003D0A75" w:rsidRDefault="003D0A75" w:rsidP="003E6A11">
      <w:pPr>
        <w:ind w:left="720" w:right="-514"/>
        <w:rPr>
          <w:lang w:val="sv-SE"/>
        </w:rPr>
      </w:pPr>
    </w:p>
    <w:p w14:paraId="062CDC29" w14:textId="77777777" w:rsidR="002B4D0E" w:rsidRPr="002B7FE2" w:rsidRDefault="002B4D0E" w:rsidP="003E6A11">
      <w:pPr>
        <w:ind w:left="720" w:right="-514"/>
        <w:rPr>
          <w:u w:val="single"/>
          <w:lang w:val="sv-SE"/>
        </w:rPr>
      </w:pPr>
      <w:r w:rsidRPr="002B7FE2">
        <w:rPr>
          <w:u w:val="single"/>
          <w:lang w:val="sv-SE"/>
        </w:rPr>
        <w:t>Tabulated list of adverse reactions</w:t>
      </w:r>
    </w:p>
    <w:p w14:paraId="0206C2CD" w14:textId="77777777" w:rsidR="002B4D0E" w:rsidRDefault="002B4D0E" w:rsidP="003E6A11">
      <w:pPr>
        <w:ind w:left="720" w:right="-514"/>
        <w:rPr>
          <w:lang w:val="sv-SE"/>
        </w:rPr>
      </w:pPr>
    </w:p>
    <w:p w14:paraId="586BE4E6" w14:textId="77777777" w:rsidR="00C002BA" w:rsidRPr="0014703F" w:rsidRDefault="002859F1" w:rsidP="006675C4">
      <w:pPr>
        <w:ind w:left="709" w:right="-514"/>
        <w:rPr>
          <w:lang w:eastAsia="en-GB"/>
        </w:rPr>
      </w:pPr>
      <w:r w:rsidRPr="00622BF4">
        <w:rPr>
          <w:lang w:val="sv-SE"/>
        </w:rPr>
        <w:t>Adverse drug reactions reported during clinical trials and post marketing experience are presented in the table below, frequencies are very common (≥1/10); common (≥1/100 to &lt;1/</w:t>
      </w:r>
      <w:r w:rsidRPr="0014703F">
        <w:rPr>
          <w:lang w:eastAsia="en-GB"/>
        </w:rPr>
        <w:t>10); uncommon (≥1/1,000 to &lt;1/100)</w:t>
      </w:r>
      <w:r w:rsidR="00AF2CE5">
        <w:rPr>
          <w:lang w:eastAsia="en-GB"/>
        </w:rPr>
        <w:t>;</w:t>
      </w:r>
      <w:r w:rsidR="00AF2CE5" w:rsidRPr="00AF2CE5">
        <w:rPr>
          <w:lang w:eastAsia="en-GB"/>
        </w:rPr>
        <w:t xml:space="preserve"> </w:t>
      </w:r>
      <w:r w:rsidR="00AF2CE5">
        <w:rPr>
          <w:lang w:eastAsia="en-GB"/>
        </w:rPr>
        <w:t>not known (cannot be estimated from the available data)</w:t>
      </w:r>
      <w:r w:rsidRPr="0014703F">
        <w:rPr>
          <w:lang w:eastAsia="en-GB"/>
        </w:rPr>
        <w:t>.</w:t>
      </w:r>
      <w:r w:rsidR="000979F9">
        <w:rPr>
          <w:lang w:eastAsia="en-GB"/>
        </w:rPr>
        <w:t xml:space="preserve"> </w:t>
      </w:r>
      <w:r w:rsidR="000979F9" w:rsidRPr="004E6DBC">
        <w:t>The adverse drug reactions are listed in order of decreasing medical seriousness within each frequency category and system organ class.</w:t>
      </w:r>
    </w:p>
    <w:p w14:paraId="3E392EC3" w14:textId="77777777" w:rsidR="003D0A75" w:rsidRDefault="003D0A75" w:rsidP="003E6A11">
      <w:pPr>
        <w:ind w:right="-514"/>
        <w:rPr>
          <w:lang w:val="sv-SE"/>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1358"/>
        <w:gridCol w:w="1581"/>
        <w:gridCol w:w="2173"/>
        <w:gridCol w:w="1658"/>
      </w:tblGrid>
      <w:tr w:rsidR="00F4307B" w:rsidRPr="004E6DBC" w14:paraId="11689DBE" w14:textId="77777777" w:rsidTr="00805C5B">
        <w:trPr>
          <w:tblHeader/>
        </w:trPr>
        <w:tc>
          <w:tcPr>
            <w:tcW w:w="1714" w:type="dxa"/>
            <w:tcBorders>
              <w:top w:val="single" w:sz="4" w:space="0" w:color="auto"/>
              <w:left w:val="single" w:sz="4" w:space="0" w:color="auto"/>
              <w:bottom w:val="single" w:sz="4" w:space="0" w:color="auto"/>
              <w:right w:val="single" w:sz="4" w:space="0" w:color="auto"/>
            </w:tcBorders>
            <w:hideMark/>
          </w:tcPr>
          <w:p w14:paraId="32C3CC34" w14:textId="77777777" w:rsidR="00F4307B" w:rsidRPr="004E6DBC" w:rsidRDefault="00F4307B" w:rsidP="00DE17CF">
            <w:pPr>
              <w:ind w:left="72"/>
              <w:rPr>
                <w:b/>
                <w:color w:val="000000"/>
                <w:sz w:val="22"/>
                <w:szCs w:val="22"/>
              </w:rPr>
            </w:pPr>
            <w:r w:rsidRPr="004E6DBC">
              <w:rPr>
                <w:b/>
                <w:color w:val="000000"/>
                <w:sz w:val="22"/>
                <w:szCs w:val="22"/>
              </w:rPr>
              <w:t>System Organ Class</w:t>
            </w:r>
          </w:p>
        </w:tc>
        <w:tc>
          <w:tcPr>
            <w:tcW w:w="1358" w:type="dxa"/>
            <w:tcBorders>
              <w:top w:val="single" w:sz="4" w:space="0" w:color="auto"/>
              <w:left w:val="single" w:sz="4" w:space="0" w:color="auto"/>
              <w:bottom w:val="single" w:sz="4" w:space="0" w:color="auto"/>
              <w:right w:val="single" w:sz="4" w:space="0" w:color="auto"/>
            </w:tcBorders>
          </w:tcPr>
          <w:p w14:paraId="1C7DA6CF" w14:textId="77777777" w:rsidR="00F4307B" w:rsidRPr="004E6DBC" w:rsidRDefault="00F4307B" w:rsidP="00DE17CF">
            <w:pPr>
              <w:pStyle w:val="TableTextColHead"/>
              <w:keepNext/>
              <w:keepLines/>
              <w:rPr>
                <w:rFonts w:ascii="Times New Roman" w:hAnsi="Times New Roman" w:cs="Times New Roman"/>
                <w:sz w:val="22"/>
                <w:szCs w:val="22"/>
                <w:lang w:val="en-GB" w:eastAsia="zh-CN"/>
              </w:rPr>
            </w:pPr>
            <w:r w:rsidRPr="004E6DBC">
              <w:rPr>
                <w:rFonts w:ascii="Times New Roman" w:hAnsi="Times New Roman" w:cs="Times New Roman"/>
                <w:sz w:val="22"/>
                <w:szCs w:val="22"/>
                <w:lang w:val="en-GB"/>
              </w:rPr>
              <w:t>Very common</w:t>
            </w:r>
          </w:p>
          <w:p w14:paraId="1B75045B" w14:textId="77777777" w:rsidR="00F4307B" w:rsidRPr="004E6DBC" w:rsidRDefault="00F4307B" w:rsidP="00DE17CF">
            <w:pPr>
              <w:pStyle w:val="TableTextColHead"/>
              <w:keepNext/>
              <w:keepLines/>
              <w:rPr>
                <w:rFonts w:ascii="Times New Roman" w:hAnsi="Times New Roman" w:cs="Times New Roman"/>
                <w:sz w:val="22"/>
                <w:szCs w:val="22"/>
                <w:lang w:val="en-GB" w:eastAsia="zh-CN"/>
              </w:rPr>
            </w:pPr>
            <w:r w:rsidRPr="004E6DBC">
              <w:rPr>
                <w:rFonts w:ascii="Times New Roman" w:hAnsi="Times New Roman" w:cs="Times New Roman"/>
                <w:sz w:val="22"/>
                <w:szCs w:val="22"/>
                <w:lang w:val="en-GB"/>
              </w:rPr>
              <w:t>≥1/10</w:t>
            </w:r>
          </w:p>
          <w:p w14:paraId="7334D087" w14:textId="77777777" w:rsidR="00F4307B" w:rsidRPr="004E6DBC" w:rsidRDefault="00F4307B" w:rsidP="00DE17CF">
            <w:pPr>
              <w:pStyle w:val="TableTextColHead"/>
              <w:keepNext/>
              <w:keepLines/>
              <w:rPr>
                <w:rFonts w:ascii="Times New Roman" w:hAnsi="Times New Roman" w:cs="Times New Roman"/>
                <w:sz w:val="22"/>
                <w:szCs w:val="22"/>
                <w:lang w:val="en-GB"/>
              </w:rPr>
            </w:pPr>
          </w:p>
        </w:tc>
        <w:tc>
          <w:tcPr>
            <w:tcW w:w="1581" w:type="dxa"/>
            <w:tcBorders>
              <w:top w:val="single" w:sz="4" w:space="0" w:color="auto"/>
              <w:left w:val="single" w:sz="4" w:space="0" w:color="auto"/>
              <w:bottom w:val="single" w:sz="4" w:space="0" w:color="auto"/>
              <w:right w:val="single" w:sz="4" w:space="0" w:color="auto"/>
            </w:tcBorders>
            <w:hideMark/>
          </w:tcPr>
          <w:p w14:paraId="4C30B118" w14:textId="77777777" w:rsidR="00F4307B" w:rsidRPr="004E6DBC" w:rsidRDefault="00F4307B" w:rsidP="00DE17CF">
            <w:pPr>
              <w:pStyle w:val="TableTextColHead"/>
              <w:keepNext/>
              <w:keepLines/>
              <w:rPr>
                <w:rFonts w:ascii="Times New Roman" w:hAnsi="Times New Roman" w:cs="Times New Roman"/>
                <w:sz w:val="22"/>
                <w:szCs w:val="22"/>
                <w:lang w:val="en-GB" w:eastAsia="zh-CN"/>
              </w:rPr>
            </w:pPr>
            <w:r w:rsidRPr="004E6DBC">
              <w:rPr>
                <w:rFonts w:ascii="Times New Roman" w:hAnsi="Times New Roman" w:cs="Times New Roman"/>
                <w:sz w:val="22"/>
                <w:szCs w:val="22"/>
                <w:lang w:val="en-GB"/>
              </w:rPr>
              <w:t>Common</w:t>
            </w:r>
          </w:p>
          <w:p w14:paraId="0306CED9" w14:textId="77777777" w:rsidR="00F4307B" w:rsidRPr="004E6DBC" w:rsidRDefault="00F4307B" w:rsidP="00DE17CF">
            <w:pPr>
              <w:pStyle w:val="TableTextColHead"/>
              <w:keepNext/>
              <w:keepLines/>
              <w:rPr>
                <w:rFonts w:ascii="Times New Roman" w:hAnsi="Times New Roman" w:cs="Times New Roman"/>
                <w:sz w:val="22"/>
                <w:szCs w:val="22"/>
                <w:lang w:val="en-GB" w:eastAsia="zh-CN"/>
              </w:rPr>
            </w:pPr>
            <w:r w:rsidRPr="004E6DBC">
              <w:rPr>
                <w:rFonts w:ascii="Times New Roman" w:hAnsi="Times New Roman" w:cs="Times New Roman"/>
                <w:sz w:val="22"/>
                <w:szCs w:val="22"/>
                <w:lang w:val="en-GB"/>
              </w:rPr>
              <w:t>≥1/100 to &lt;1/10</w:t>
            </w:r>
          </w:p>
          <w:p w14:paraId="373A083D" w14:textId="77777777" w:rsidR="00F4307B" w:rsidRPr="004E6DBC" w:rsidRDefault="00F4307B" w:rsidP="00DE17CF">
            <w:pPr>
              <w:pStyle w:val="TableTextColHead"/>
              <w:keepNext/>
              <w:keepLines/>
              <w:rPr>
                <w:rFonts w:ascii="Times New Roman" w:hAnsi="Times New Roman" w:cs="Times New Roman"/>
                <w:sz w:val="22"/>
                <w:szCs w:val="22"/>
                <w:lang w:val="en-GB"/>
              </w:rPr>
            </w:pPr>
            <w:r w:rsidRPr="004E6DBC">
              <w:rPr>
                <w:rFonts w:ascii="Times New Roman" w:hAnsi="Times New Roman" w:cs="Times New Roman"/>
                <w:b w:val="0"/>
                <w:sz w:val="22"/>
                <w:szCs w:val="22"/>
                <w:lang w:val="en-GB"/>
              </w:rPr>
              <w:t xml:space="preserve"> </w:t>
            </w:r>
          </w:p>
        </w:tc>
        <w:tc>
          <w:tcPr>
            <w:tcW w:w="2173" w:type="dxa"/>
            <w:tcBorders>
              <w:top w:val="single" w:sz="4" w:space="0" w:color="auto"/>
              <w:left w:val="single" w:sz="4" w:space="0" w:color="auto"/>
              <w:bottom w:val="single" w:sz="4" w:space="0" w:color="auto"/>
              <w:right w:val="single" w:sz="4" w:space="0" w:color="auto"/>
            </w:tcBorders>
            <w:hideMark/>
          </w:tcPr>
          <w:p w14:paraId="485AE8D9" w14:textId="77777777" w:rsidR="00F4307B" w:rsidRPr="004E6DBC" w:rsidRDefault="00F4307B" w:rsidP="00DE17CF">
            <w:pPr>
              <w:pStyle w:val="TableTextColHead"/>
              <w:keepNext/>
              <w:rPr>
                <w:rFonts w:ascii="Times New Roman" w:hAnsi="Times New Roman" w:cs="Times New Roman"/>
                <w:sz w:val="22"/>
                <w:szCs w:val="22"/>
                <w:lang w:val="en-GB" w:eastAsia="zh-CN"/>
              </w:rPr>
            </w:pPr>
            <w:r w:rsidRPr="004E6DBC">
              <w:rPr>
                <w:rFonts w:ascii="Times New Roman" w:hAnsi="Times New Roman" w:cs="Times New Roman"/>
                <w:sz w:val="22"/>
                <w:szCs w:val="22"/>
                <w:lang w:val="en-GB"/>
              </w:rPr>
              <w:t>Uncommon</w:t>
            </w:r>
          </w:p>
          <w:p w14:paraId="62A3B1C2" w14:textId="77777777" w:rsidR="00F4307B" w:rsidRPr="004E6DBC" w:rsidRDefault="00F4307B" w:rsidP="00DE17CF">
            <w:pPr>
              <w:pStyle w:val="TableTextColHead"/>
              <w:keepNext/>
              <w:keepLines/>
              <w:rPr>
                <w:rFonts w:ascii="Times New Roman" w:hAnsi="Times New Roman" w:cs="Times New Roman"/>
                <w:sz w:val="22"/>
                <w:szCs w:val="22"/>
                <w:lang w:val="en-GB" w:eastAsia="zh-CN"/>
              </w:rPr>
            </w:pPr>
            <w:r w:rsidRPr="004E6DBC">
              <w:rPr>
                <w:rFonts w:ascii="Times New Roman" w:hAnsi="Times New Roman" w:cs="Times New Roman"/>
                <w:sz w:val="22"/>
                <w:szCs w:val="22"/>
                <w:lang w:val="en-GB"/>
              </w:rPr>
              <w:t>≥1/1,000 to &lt;1/100</w:t>
            </w:r>
          </w:p>
        </w:tc>
        <w:tc>
          <w:tcPr>
            <w:tcW w:w="1383" w:type="dxa"/>
            <w:tcBorders>
              <w:top w:val="single" w:sz="4" w:space="0" w:color="auto"/>
              <w:left w:val="single" w:sz="4" w:space="0" w:color="auto"/>
              <w:bottom w:val="single" w:sz="4" w:space="0" w:color="auto"/>
              <w:right w:val="single" w:sz="4" w:space="0" w:color="auto"/>
            </w:tcBorders>
          </w:tcPr>
          <w:p w14:paraId="3CE75304" w14:textId="77777777" w:rsidR="00F4307B" w:rsidRPr="004E6DBC" w:rsidRDefault="00F4307B" w:rsidP="00DE17CF">
            <w:pPr>
              <w:pStyle w:val="TableTextColHead"/>
              <w:keepNext/>
              <w:rPr>
                <w:rFonts w:ascii="Times New Roman" w:hAnsi="Times New Roman" w:cs="Times New Roman"/>
                <w:sz w:val="22"/>
                <w:szCs w:val="22"/>
                <w:lang w:val="en-GB"/>
              </w:rPr>
            </w:pPr>
            <w:r w:rsidRPr="00F4307B">
              <w:rPr>
                <w:rFonts w:ascii="Times New Roman" w:hAnsi="Times New Roman" w:cs="Times New Roman"/>
                <w:sz w:val="22"/>
                <w:szCs w:val="22"/>
                <w:lang w:val="en-GB"/>
              </w:rPr>
              <w:t>Not known (cannot be estimated from the available data)</w:t>
            </w:r>
          </w:p>
        </w:tc>
      </w:tr>
      <w:tr w:rsidR="00F4307B" w:rsidRPr="004E6DBC" w14:paraId="3B13E464" w14:textId="77777777" w:rsidTr="00805C5B">
        <w:trPr>
          <w:trHeight w:val="287"/>
        </w:trPr>
        <w:tc>
          <w:tcPr>
            <w:tcW w:w="1714" w:type="dxa"/>
            <w:tcBorders>
              <w:top w:val="single" w:sz="4" w:space="0" w:color="auto"/>
              <w:left w:val="single" w:sz="4" w:space="0" w:color="auto"/>
              <w:bottom w:val="single" w:sz="4" w:space="0" w:color="auto"/>
              <w:right w:val="single" w:sz="4" w:space="0" w:color="auto"/>
            </w:tcBorders>
            <w:hideMark/>
          </w:tcPr>
          <w:p w14:paraId="75783AF7" w14:textId="77777777" w:rsidR="00F4307B" w:rsidRPr="004E6DBC" w:rsidRDefault="00F4307B" w:rsidP="00DE17CF">
            <w:pPr>
              <w:pStyle w:val="Paragraph"/>
              <w:rPr>
                <w:sz w:val="22"/>
                <w:szCs w:val="22"/>
              </w:rPr>
            </w:pPr>
            <w:r w:rsidRPr="004E6DBC">
              <w:rPr>
                <w:sz w:val="22"/>
                <w:szCs w:val="22"/>
              </w:rPr>
              <w:t>Infections and infestations</w:t>
            </w:r>
          </w:p>
        </w:tc>
        <w:tc>
          <w:tcPr>
            <w:tcW w:w="1358" w:type="dxa"/>
            <w:tcBorders>
              <w:top w:val="single" w:sz="4" w:space="0" w:color="auto"/>
              <w:left w:val="single" w:sz="4" w:space="0" w:color="auto"/>
              <w:bottom w:val="single" w:sz="4" w:space="0" w:color="auto"/>
              <w:right w:val="single" w:sz="4" w:space="0" w:color="auto"/>
            </w:tcBorders>
          </w:tcPr>
          <w:p w14:paraId="207B17BC"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2D4A4078"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149805C7" w14:textId="77777777" w:rsidR="00F4307B" w:rsidRPr="004E6DBC" w:rsidRDefault="00F4307B" w:rsidP="00DE17CF">
            <w:pPr>
              <w:rPr>
                <w:sz w:val="22"/>
                <w:szCs w:val="22"/>
              </w:rPr>
            </w:pPr>
            <w:r w:rsidRPr="004E6DBC">
              <w:rPr>
                <w:sz w:val="22"/>
                <w:szCs w:val="22"/>
              </w:rPr>
              <w:t xml:space="preserve">Fungal infection, </w:t>
            </w:r>
          </w:p>
          <w:p w14:paraId="27225007" w14:textId="77777777" w:rsidR="00F4307B" w:rsidRPr="004E6DBC" w:rsidRDefault="00F4307B" w:rsidP="00DE17CF">
            <w:pPr>
              <w:rPr>
                <w:sz w:val="22"/>
                <w:szCs w:val="22"/>
              </w:rPr>
            </w:pPr>
            <w:r w:rsidRPr="004E6DBC">
              <w:rPr>
                <w:sz w:val="22"/>
                <w:szCs w:val="22"/>
              </w:rPr>
              <w:t>Common cold</w:t>
            </w:r>
          </w:p>
        </w:tc>
        <w:tc>
          <w:tcPr>
            <w:tcW w:w="1383" w:type="dxa"/>
            <w:tcBorders>
              <w:top w:val="single" w:sz="4" w:space="0" w:color="auto"/>
              <w:left w:val="single" w:sz="4" w:space="0" w:color="auto"/>
              <w:bottom w:val="single" w:sz="4" w:space="0" w:color="auto"/>
              <w:right w:val="single" w:sz="4" w:space="0" w:color="auto"/>
            </w:tcBorders>
          </w:tcPr>
          <w:p w14:paraId="6A64E0E0" w14:textId="77777777" w:rsidR="00F4307B" w:rsidRPr="004E6DBC" w:rsidRDefault="00F4307B" w:rsidP="00DE17CF">
            <w:pPr>
              <w:rPr>
                <w:sz w:val="22"/>
                <w:szCs w:val="22"/>
              </w:rPr>
            </w:pPr>
          </w:p>
        </w:tc>
      </w:tr>
      <w:tr w:rsidR="00F4307B" w:rsidRPr="004E6DBC" w14:paraId="3D58C815" w14:textId="77777777" w:rsidTr="00805C5B">
        <w:trPr>
          <w:trHeight w:val="521"/>
        </w:trPr>
        <w:tc>
          <w:tcPr>
            <w:tcW w:w="1714" w:type="dxa"/>
            <w:tcBorders>
              <w:top w:val="single" w:sz="4" w:space="0" w:color="auto"/>
              <w:left w:val="single" w:sz="4" w:space="0" w:color="auto"/>
              <w:bottom w:val="single" w:sz="4" w:space="0" w:color="auto"/>
              <w:right w:val="single" w:sz="4" w:space="0" w:color="auto"/>
            </w:tcBorders>
          </w:tcPr>
          <w:p w14:paraId="052DA334" w14:textId="77777777" w:rsidR="00F4307B" w:rsidRPr="004E6DBC" w:rsidRDefault="00F4307B" w:rsidP="00DE17CF">
            <w:pPr>
              <w:pStyle w:val="Paragraph"/>
              <w:rPr>
                <w:rFonts w:eastAsia="Calibri"/>
                <w:sz w:val="22"/>
                <w:szCs w:val="22"/>
              </w:rPr>
            </w:pPr>
            <w:r w:rsidRPr="004E6DBC">
              <w:rPr>
                <w:sz w:val="22"/>
                <w:szCs w:val="22"/>
              </w:rPr>
              <w:t>Nervous system disorders</w:t>
            </w:r>
          </w:p>
          <w:p w14:paraId="42DAB152" w14:textId="77777777" w:rsidR="00F4307B" w:rsidRPr="004E6DBC" w:rsidRDefault="00F4307B" w:rsidP="00DE17CF">
            <w:pPr>
              <w:ind w:left="72"/>
              <w:rPr>
                <w:b/>
                <w:bCs/>
                <w:color w:val="000000"/>
                <w:sz w:val="22"/>
                <w:szCs w:val="22"/>
              </w:rPr>
            </w:pPr>
          </w:p>
        </w:tc>
        <w:tc>
          <w:tcPr>
            <w:tcW w:w="1358" w:type="dxa"/>
            <w:tcBorders>
              <w:top w:val="single" w:sz="4" w:space="0" w:color="auto"/>
              <w:left w:val="single" w:sz="4" w:space="0" w:color="auto"/>
              <w:bottom w:val="single" w:sz="4" w:space="0" w:color="auto"/>
              <w:right w:val="single" w:sz="4" w:space="0" w:color="auto"/>
            </w:tcBorders>
          </w:tcPr>
          <w:p w14:paraId="5AD16FCD"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2FBB0396"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34854B7D" w14:textId="77777777" w:rsidR="00F4307B" w:rsidRPr="004E6DBC" w:rsidRDefault="00F4307B" w:rsidP="00DE17CF">
            <w:pPr>
              <w:rPr>
                <w:sz w:val="22"/>
                <w:szCs w:val="22"/>
              </w:rPr>
            </w:pPr>
            <w:r w:rsidRPr="004E6DBC">
              <w:rPr>
                <w:sz w:val="22"/>
                <w:szCs w:val="22"/>
              </w:rPr>
              <w:t>Presyncope, Hypoaesthesia, Hyperaesthesia</w:t>
            </w:r>
          </w:p>
        </w:tc>
        <w:tc>
          <w:tcPr>
            <w:tcW w:w="1383" w:type="dxa"/>
            <w:tcBorders>
              <w:top w:val="single" w:sz="4" w:space="0" w:color="auto"/>
              <w:left w:val="single" w:sz="4" w:space="0" w:color="auto"/>
              <w:bottom w:val="single" w:sz="4" w:space="0" w:color="auto"/>
              <w:right w:val="single" w:sz="4" w:space="0" w:color="auto"/>
            </w:tcBorders>
          </w:tcPr>
          <w:p w14:paraId="78ADC483" w14:textId="77777777" w:rsidR="00F4307B" w:rsidRPr="004E6DBC" w:rsidRDefault="00F4307B" w:rsidP="00DE17CF">
            <w:pPr>
              <w:rPr>
                <w:sz w:val="22"/>
                <w:szCs w:val="22"/>
              </w:rPr>
            </w:pPr>
            <w:r w:rsidRPr="00F4307B">
              <w:rPr>
                <w:sz w:val="22"/>
                <w:szCs w:val="22"/>
              </w:rPr>
              <w:t>Cerebrovascular accident</w:t>
            </w:r>
          </w:p>
        </w:tc>
      </w:tr>
      <w:tr w:rsidR="00F4307B" w:rsidRPr="004E6DBC" w14:paraId="31D67CCE" w14:textId="77777777" w:rsidTr="00805C5B">
        <w:trPr>
          <w:trHeight w:val="323"/>
        </w:trPr>
        <w:tc>
          <w:tcPr>
            <w:tcW w:w="1714" w:type="dxa"/>
            <w:tcBorders>
              <w:top w:val="single" w:sz="4" w:space="0" w:color="auto"/>
              <w:left w:val="single" w:sz="4" w:space="0" w:color="auto"/>
              <w:bottom w:val="single" w:sz="4" w:space="0" w:color="auto"/>
              <w:right w:val="single" w:sz="4" w:space="0" w:color="auto"/>
            </w:tcBorders>
            <w:hideMark/>
          </w:tcPr>
          <w:p w14:paraId="12009616" w14:textId="77777777" w:rsidR="00F4307B" w:rsidRPr="004E6DBC" w:rsidRDefault="00F4307B" w:rsidP="00DE17CF">
            <w:pPr>
              <w:pStyle w:val="Paragraph"/>
              <w:rPr>
                <w:sz w:val="22"/>
                <w:szCs w:val="22"/>
              </w:rPr>
            </w:pPr>
            <w:r w:rsidRPr="004E6DBC">
              <w:rPr>
                <w:sz w:val="22"/>
                <w:szCs w:val="22"/>
              </w:rPr>
              <w:t>Eye disorders</w:t>
            </w:r>
          </w:p>
        </w:tc>
        <w:tc>
          <w:tcPr>
            <w:tcW w:w="1358" w:type="dxa"/>
            <w:tcBorders>
              <w:top w:val="single" w:sz="4" w:space="0" w:color="auto"/>
              <w:left w:val="single" w:sz="4" w:space="0" w:color="auto"/>
              <w:bottom w:val="single" w:sz="4" w:space="0" w:color="auto"/>
              <w:right w:val="single" w:sz="4" w:space="0" w:color="auto"/>
            </w:tcBorders>
          </w:tcPr>
          <w:p w14:paraId="3B8A9645"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4EB3AB75"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5DC591E7" w14:textId="77777777" w:rsidR="00F4307B" w:rsidRPr="004E6DBC" w:rsidRDefault="00F4307B" w:rsidP="00DE17CF">
            <w:pPr>
              <w:rPr>
                <w:sz w:val="22"/>
                <w:szCs w:val="22"/>
              </w:rPr>
            </w:pPr>
            <w:r w:rsidRPr="004E6DBC">
              <w:rPr>
                <w:sz w:val="22"/>
                <w:szCs w:val="22"/>
              </w:rPr>
              <w:t>Mydriasis</w:t>
            </w:r>
          </w:p>
        </w:tc>
        <w:tc>
          <w:tcPr>
            <w:tcW w:w="1383" w:type="dxa"/>
            <w:tcBorders>
              <w:top w:val="single" w:sz="4" w:space="0" w:color="auto"/>
              <w:left w:val="single" w:sz="4" w:space="0" w:color="auto"/>
              <w:bottom w:val="single" w:sz="4" w:space="0" w:color="auto"/>
              <w:right w:val="single" w:sz="4" w:space="0" w:color="auto"/>
            </w:tcBorders>
          </w:tcPr>
          <w:p w14:paraId="7F7B220E" w14:textId="77777777" w:rsidR="00F4307B" w:rsidRPr="004E6DBC" w:rsidRDefault="00F4307B" w:rsidP="00DE17CF">
            <w:pPr>
              <w:rPr>
                <w:sz w:val="22"/>
                <w:szCs w:val="22"/>
              </w:rPr>
            </w:pPr>
          </w:p>
        </w:tc>
      </w:tr>
      <w:tr w:rsidR="00F4307B" w:rsidRPr="004E6DBC" w14:paraId="3340ADCB" w14:textId="77777777" w:rsidTr="00805C5B">
        <w:trPr>
          <w:trHeight w:val="269"/>
        </w:trPr>
        <w:tc>
          <w:tcPr>
            <w:tcW w:w="1714" w:type="dxa"/>
            <w:tcBorders>
              <w:top w:val="single" w:sz="4" w:space="0" w:color="auto"/>
              <w:left w:val="single" w:sz="4" w:space="0" w:color="auto"/>
              <w:bottom w:val="single" w:sz="4" w:space="0" w:color="auto"/>
              <w:right w:val="single" w:sz="4" w:space="0" w:color="auto"/>
            </w:tcBorders>
            <w:hideMark/>
          </w:tcPr>
          <w:p w14:paraId="0C7EBF49" w14:textId="77777777" w:rsidR="00F4307B" w:rsidRPr="004E6DBC" w:rsidRDefault="00F4307B" w:rsidP="00DE17CF">
            <w:pPr>
              <w:pStyle w:val="Paragraph"/>
              <w:rPr>
                <w:sz w:val="22"/>
                <w:szCs w:val="22"/>
              </w:rPr>
            </w:pPr>
            <w:r w:rsidRPr="004E6DBC">
              <w:rPr>
                <w:sz w:val="22"/>
                <w:szCs w:val="22"/>
              </w:rPr>
              <w:t>Cardiac disorders</w:t>
            </w:r>
          </w:p>
        </w:tc>
        <w:tc>
          <w:tcPr>
            <w:tcW w:w="1358" w:type="dxa"/>
            <w:tcBorders>
              <w:top w:val="single" w:sz="4" w:space="0" w:color="auto"/>
              <w:left w:val="single" w:sz="4" w:space="0" w:color="auto"/>
              <w:bottom w:val="single" w:sz="4" w:space="0" w:color="auto"/>
              <w:right w:val="single" w:sz="4" w:space="0" w:color="auto"/>
            </w:tcBorders>
          </w:tcPr>
          <w:p w14:paraId="757CFBD4"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56D5E994"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676EAC74" w14:textId="77777777" w:rsidR="00F4307B" w:rsidRPr="004E6DBC" w:rsidRDefault="00F4307B" w:rsidP="00DE17CF">
            <w:pPr>
              <w:rPr>
                <w:sz w:val="22"/>
                <w:szCs w:val="22"/>
              </w:rPr>
            </w:pPr>
            <w:r w:rsidRPr="004E6DBC">
              <w:rPr>
                <w:sz w:val="22"/>
                <w:szCs w:val="22"/>
              </w:rPr>
              <w:t>Supraventricular extrasystoles</w:t>
            </w:r>
          </w:p>
        </w:tc>
        <w:tc>
          <w:tcPr>
            <w:tcW w:w="1383" w:type="dxa"/>
            <w:tcBorders>
              <w:top w:val="single" w:sz="4" w:space="0" w:color="auto"/>
              <w:left w:val="single" w:sz="4" w:space="0" w:color="auto"/>
              <w:bottom w:val="single" w:sz="4" w:space="0" w:color="auto"/>
              <w:right w:val="single" w:sz="4" w:space="0" w:color="auto"/>
            </w:tcBorders>
          </w:tcPr>
          <w:p w14:paraId="1BDAC83E" w14:textId="77777777" w:rsidR="00F4307B" w:rsidRPr="004E6DBC" w:rsidRDefault="001A542E" w:rsidP="00DE17CF">
            <w:pPr>
              <w:rPr>
                <w:sz w:val="22"/>
                <w:szCs w:val="22"/>
              </w:rPr>
            </w:pPr>
            <w:r w:rsidRPr="001A542E">
              <w:rPr>
                <w:sz w:val="22"/>
                <w:szCs w:val="22"/>
              </w:rPr>
              <w:t>Myocardial ischaemia</w:t>
            </w:r>
          </w:p>
        </w:tc>
      </w:tr>
      <w:tr w:rsidR="00F4307B" w:rsidRPr="004E6DBC" w14:paraId="0190B77F" w14:textId="77777777" w:rsidTr="00805C5B">
        <w:trPr>
          <w:trHeight w:val="850"/>
        </w:trPr>
        <w:tc>
          <w:tcPr>
            <w:tcW w:w="1714" w:type="dxa"/>
            <w:tcBorders>
              <w:top w:val="single" w:sz="4" w:space="0" w:color="auto"/>
              <w:left w:val="single" w:sz="4" w:space="0" w:color="auto"/>
              <w:bottom w:val="single" w:sz="4" w:space="0" w:color="auto"/>
              <w:right w:val="single" w:sz="4" w:space="0" w:color="auto"/>
            </w:tcBorders>
            <w:hideMark/>
          </w:tcPr>
          <w:p w14:paraId="53581239" w14:textId="77777777" w:rsidR="00F4307B" w:rsidRPr="004E6DBC" w:rsidRDefault="00F4307B" w:rsidP="00DE17CF">
            <w:pPr>
              <w:ind w:left="72"/>
              <w:rPr>
                <w:bCs/>
                <w:color w:val="000000"/>
                <w:sz w:val="22"/>
                <w:szCs w:val="22"/>
              </w:rPr>
            </w:pPr>
            <w:r w:rsidRPr="004E6DBC">
              <w:rPr>
                <w:bCs/>
                <w:color w:val="000000"/>
                <w:sz w:val="22"/>
                <w:szCs w:val="22"/>
              </w:rPr>
              <w:t>Vascular disorders</w:t>
            </w:r>
          </w:p>
        </w:tc>
        <w:tc>
          <w:tcPr>
            <w:tcW w:w="1358" w:type="dxa"/>
            <w:tcBorders>
              <w:top w:val="single" w:sz="4" w:space="0" w:color="auto"/>
              <w:left w:val="single" w:sz="4" w:space="0" w:color="auto"/>
              <w:bottom w:val="single" w:sz="4" w:space="0" w:color="auto"/>
              <w:right w:val="single" w:sz="4" w:space="0" w:color="auto"/>
            </w:tcBorders>
          </w:tcPr>
          <w:p w14:paraId="74BFE780"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01210EB1"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6C3D5312" w14:textId="77777777" w:rsidR="00F4307B" w:rsidRPr="004E6DBC" w:rsidRDefault="00F4307B" w:rsidP="00DE17CF">
            <w:pPr>
              <w:rPr>
                <w:sz w:val="22"/>
                <w:szCs w:val="22"/>
              </w:rPr>
            </w:pPr>
            <w:r w:rsidRPr="004E6DBC">
              <w:rPr>
                <w:sz w:val="22"/>
                <w:szCs w:val="22"/>
              </w:rPr>
              <w:t>Venous haemorrhage,</w:t>
            </w:r>
          </w:p>
          <w:p w14:paraId="07A8D148" w14:textId="77777777" w:rsidR="00F4307B" w:rsidRPr="004E6DBC" w:rsidRDefault="00F4307B" w:rsidP="00DE17CF">
            <w:pPr>
              <w:rPr>
                <w:sz w:val="22"/>
                <w:szCs w:val="22"/>
              </w:rPr>
            </w:pPr>
            <w:r w:rsidRPr="004E6DBC">
              <w:rPr>
                <w:sz w:val="22"/>
                <w:szCs w:val="22"/>
              </w:rPr>
              <w:t>Hypotension, Vasodilatation, Peripheral vascular disorder, Vein disorder</w:t>
            </w:r>
          </w:p>
        </w:tc>
        <w:tc>
          <w:tcPr>
            <w:tcW w:w="1383" w:type="dxa"/>
            <w:tcBorders>
              <w:top w:val="single" w:sz="4" w:space="0" w:color="auto"/>
              <w:left w:val="single" w:sz="4" w:space="0" w:color="auto"/>
              <w:bottom w:val="single" w:sz="4" w:space="0" w:color="auto"/>
              <w:right w:val="single" w:sz="4" w:space="0" w:color="auto"/>
            </w:tcBorders>
          </w:tcPr>
          <w:p w14:paraId="727159D8" w14:textId="77777777" w:rsidR="00F4307B" w:rsidRPr="004E6DBC" w:rsidRDefault="00F4307B" w:rsidP="00DE17CF">
            <w:pPr>
              <w:rPr>
                <w:sz w:val="22"/>
                <w:szCs w:val="22"/>
              </w:rPr>
            </w:pPr>
          </w:p>
        </w:tc>
      </w:tr>
      <w:tr w:rsidR="00F4307B" w:rsidRPr="004E6DBC" w14:paraId="54A06DCD" w14:textId="77777777" w:rsidTr="00805C5B">
        <w:trPr>
          <w:trHeight w:val="305"/>
        </w:trPr>
        <w:tc>
          <w:tcPr>
            <w:tcW w:w="1714" w:type="dxa"/>
            <w:tcBorders>
              <w:top w:val="single" w:sz="4" w:space="0" w:color="auto"/>
              <w:left w:val="single" w:sz="4" w:space="0" w:color="auto"/>
              <w:bottom w:val="single" w:sz="4" w:space="0" w:color="auto"/>
              <w:right w:val="single" w:sz="4" w:space="0" w:color="auto"/>
            </w:tcBorders>
            <w:hideMark/>
          </w:tcPr>
          <w:p w14:paraId="27DC38B6" w14:textId="77777777" w:rsidR="00F4307B" w:rsidRPr="004E6DBC" w:rsidRDefault="00F4307B" w:rsidP="00DE17CF">
            <w:pPr>
              <w:pStyle w:val="Paragraph"/>
              <w:rPr>
                <w:sz w:val="22"/>
                <w:szCs w:val="22"/>
              </w:rPr>
            </w:pPr>
            <w:r w:rsidRPr="004E6DBC">
              <w:rPr>
                <w:sz w:val="22"/>
                <w:szCs w:val="22"/>
              </w:rPr>
              <w:t>Gastrointestinal disorders</w:t>
            </w:r>
          </w:p>
        </w:tc>
        <w:tc>
          <w:tcPr>
            <w:tcW w:w="1358" w:type="dxa"/>
            <w:tcBorders>
              <w:top w:val="single" w:sz="4" w:space="0" w:color="auto"/>
              <w:left w:val="single" w:sz="4" w:space="0" w:color="auto"/>
              <w:bottom w:val="single" w:sz="4" w:space="0" w:color="auto"/>
              <w:right w:val="single" w:sz="4" w:space="0" w:color="auto"/>
            </w:tcBorders>
          </w:tcPr>
          <w:p w14:paraId="46787316"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15E3F796"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659DF687" w14:textId="77777777" w:rsidR="00F4307B" w:rsidRPr="004E6DBC" w:rsidRDefault="00F4307B" w:rsidP="00DE17CF">
            <w:pPr>
              <w:rPr>
                <w:sz w:val="22"/>
                <w:szCs w:val="22"/>
              </w:rPr>
            </w:pPr>
            <w:r w:rsidRPr="004E6DBC">
              <w:rPr>
                <w:sz w:val="22"/>
                <w:szCs w:val="22"/>
              </w:rPr>
              <w:t>Nausea, Dry mouth</w:t>
            </w:r>
          </w:p>
        </w:tc>
        <w:tc>
          <w:tcPr>
            <w:tcW w:w="1383" w:type="dxa"/>
            <w:tcBorders>
              <w:top w:val="single" w:sz="4" w:space="0" w:color="auto"/>
              <w:left w:val="single" w:sz="4" w:space="0" w:color="auto"/>
              <w:bottom w:val="single" w:sz="4" w:space="0" w:color="auto"/>
              <w:right w:val="single" w:sz="4" w:space="0" w:color="auto"/>
            </w:tcBorders>
          </w:tcPr>
          <w:p w14:paraId="78078C5B" w14:textId="77777777" w:rsidR="00F4307B" w:rsidRPr="004E6DBC" w:rsidRDefault="00F4307B" w:rsidP="00DE17CF">
            <w:pPr>
              <w:rPr>
                <w:sz w:val="22"/>
                <w:szCs w:val="22"/>
              </w:rPr>
            </w:pPr>
          </w:p>
        </w:tc>
      </w:tr>
      <w:tr w:rsidR="00F4307B" w:rsidRPr="004E6DBC" w14:paraId="53C56820" w14:textId="77777777" w:rsidTr="00805C5B">
        <w:trPr>
          <w:trHeight w:val="1095"/>
        </w:trPr>
        <w:tc>
          <w:tcPr>
            <w:tcW w:w="1714" w:type="dxa"/>
            <w:tcBorders>
              <w:top w:val="single" w:sz="4" w:space="0" w:color="auto"/>
              <w:left w:val="single" w:sz="4" w:space="0" w:color="auto"/>
              <w:bottom w:val="single" w:sz="4" w:space="0" w:color="auto"/>
              <w:right w:val="single" w:sz="4" w:space="0" w:color="auto"/>
            </w:tcBorders>
          </w:tcPr>
          <w:p w14:paraId="29A13D4C" w14:textId="77777777" w:rsidR="00F4307B" w:rsidRPr="004E6DBC" w:rsidRDefault="00F4307B" w:rsidP="00DE17CF">
            <w:pPr>
              <w:pStyle w:val="Paragraph"/>
              <w:rPr>
                <w:rFonts w:eastAsia="Calibri"/>
                <w:sz w:val="22"/>
                <w:szCs w:val="22"/>
              </w:rPr>
            </w:pPr>
            <w:r w:rsidRPr="004E6DBC">
              <w:rPr>
                <w:sz w:val="22"/>
                <w:szCs w:val="22"/>
              </w:rPr>
              <w:t>Skin and subcutaneous tissue disorders</w:t>
            </w:r>
          </w:p>
          <w:p w14:paraId="29B94EB3" w14:textId="77777777" w:rsidR="00F4307B" w:rsidRPr="004E6DBC" w:rsidRDefault="00F4307B" w:rsidP="00DE17CF">
            <w:pPr>
              <w:ind w:left="72"/>
              <w:rPr>
                <w:sz w:val="22"/>
                <w:szCs w:val="22"/>
              </w:rPr>
            </w:pPr>
          </w:p>
        </w:tc>
        <w:tc>
          <w:tcPr>
            <w:tcW w:w="1358" w:type="dxa"/>
            <w:tcBorders>
              <w:top w:val="single" w:sz="4" w:space="0" w:color="auto"/>
              <w:left w:val="single" w:sz="4" w:space="0" w:color="auto"/>
              <w:bottom w:val="single" w:sz="4" w:space="0" w:color="auto"/>
              <w:right w:val="single" w:sz="4" w:space="0" w:color="auto"/>
            </w:tcBorders>
          </w:tcPr>
          <w:p w14:paraId="450CE472"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hideMark/>
          </w:tcPr>
          <w:p w14:paraId="1AA4C4D4"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3E1FC392" w14:textId="77777777" w:rsidR="00F4307B" w:rsidRPr="004E6DBC" w:rsidRDefault="00F4307B" w:rsidP="00DE17CF">
            <w:pPr>
              <w:rPr>
                <w:sz w:val="22"/>
                <w:szCs w:val="22"/>
              </w:rPr>
            </w:pPr>
            <w:r w:rsidRPr="004E6DBC">
              <w:rPr>
                <w:sz w:val="22"/>
                <w:szCs w:val="22"/>
              </w:rPr>
              <w:t>Rash, Hyperhidrosis, Pruritus</w:t>
            </w:r>
            <w:r>
              <w:rPr>
                <w:sz w:val="22"/>
                <w:szCs w:val="22"/>
              </w:rPr>
              <w:t xml:space="preserve">, </w:t>
            </w:r>
            <w:r w:rsidRPr="004E6DBC">
              <w:rPr>
                <w:sz w:val="22"/>
                <w:szCs w:val="22"/>
              </w:rPr>
              <w:t>Erythema</w:t>
            </w:r>
          </w:p>
        </w:tc>
        <w:tc>
          <w:tcPr>
            <w:tcW w:w="1383" w:type="dxa"/>
            <w:tcBorders>
              <w:top w:val="single" w:sz="4" w:space="0" w:color="auto"/>
              <w:left w:val="single" w:sz="4" w:space="0" w:color="auto"/>
              <w:bottom w:val="single" w:sz="4" w:space="0" w:color="auto"/>
              <w:right w:val="single" w:sz="4" w:space="0" w:color="auto"/>
            </w:tcBorders>
          </w:tcPr>
          <w:p w14:paraId="639E879C" w14:textId="77777777" w:rsidR="00F4307B" w:rsidRPr="004E6DBC" w:rsidRDefault="00F4307B" w:rsidP="00DE17CF">
            <w:pPr>
              <w:rPr>
                <w:sz w:val="22"/>
                <w:szCs w:val="22"/>
              </w:rPr>
            </w:pPr>
          </w:p>
        </w:tc>
      </w:tr>
      <w:tr w:rsidR="00F4307B" w:rsidRPr="004E6DBC" w14:paraId="4315E945" w14:textId="77777777" w:rsidTr="00805C5B">
        <w:trPr>
          <w:trHeight w:val="850"/>
        </w:trPr>
        <w:tc>
          <w:tcPr>
            <w:tcW w:w="1714" w:type="dxa"/>
            <w:tcBorders>
              <w:top w:val="single" w:sz="4" w:space="0" w:color="auto"/>
              <w:left w:val="single" w:sz="4" w:space="0" w:color="auto"/>
              <w:bottom w:val="single" w:sz="4" w:space="0" w:color="auto"/>
              <w:right w:val="single" w:sz="4" w:space="0" w:color="auto"/>
            </w:tcBorders>
            <w:hideMark/>
          </w:tcPr>
          <w:p w14:paraId="57388883" w14:textId="77777777" w:rsidR="00F4307B" w:rsidRPr="004E6DBC" w:rsidRDefault="00F4307B" w:rsidP="00DE17CF">
            <w:pPr>
              <w:pStyle w:val="Paragraph"/>
              <w:rPr>
                <w:b/>
                <w:bCs/>
                <w:color w:val="000000"/>
                <w:sz w:val="22"/>
                <w:szCs w:val="22"/>
                <w:lang w:val="en-GB"/>
              </w:rPr>
            </w:pPr>
            <w:r w:rsidRPr="004E6DBC">
              <w:rPr>
                <w:sz w:val="22"/>
                <w:szCs w:val="22"/>
              </w:rPr>
              <w:t>Musculoskeletal and connective tissue disorders</w:t>
            </w:r>
          </w:p>
        </w:tc>
        <w:tc>
          <w:tcPr>
            <w:tcW w:w="1358" w:type="dxa"/>
            <w:tcBorders>
              <w:top w:val="single" w:sz="4" w:space="0" w:color="auto"/>
              <w:left w:val="single" w:sz="4" w:space="0" w:color="auto"/>
              <w:bottom w:val="single" w:sz="4" w:space="0" w:color="auto"/>
              <w:right w:val="single" w:sz="4" w:space="0" w:color="auto"/>
            </w:tcBorders>
          </w:tcPr>
          <w:p w14:paraId="2ED9F138"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hideMark/>
          </w:tcPr>
          <w:p w14:paraId="7A07ACD5" w14:textId="77777777" w:rsidR="00F4307B" w:rsidRPr="004E6DBC" w:rsidRDefault="00F4307B" w:rsidP="00DE17CF">
            <w:pPr>
              <w:rPr>
                <w:sz w:val="22"/>
                <w:szCs w:val="22"/>
              </w:rPr>
            </w:pPr>
            <w:r w:rsidRPr="004E6DBC">
              <w:rPr>
                <w:sz w:val="22"/>
                <w:szCs w:val="22"/>
              </w:rPr>
              <w:t>Muscle spasms</w:t>
            </w:r>
          </w:p>
        </w:tc>
        <w:tc>
          <w:tcPr>
            <w:tcW w:w="2173" w:type="dxa"/>
            <w:tcBorders>
              <w:top w:val="single" w:sz="4" w:space="0" w:color="auto"/>
              <w:left w:val="single" w:sz="4" w:space="0" w:color="auto"/>
              <w:bottom w:val="single" w:sz="4" w:space="0" w:color="auto"/>
              <w:right w:val="single" w:sz="4" w:space="0" w:color="auto"/>
            </w:tcBorders>
            <w:hideMark/>
          </w:tcPr>
          <w:p w14:paraId="137E7020" w14:textId="77777777" w:rsidR="00F4307B" w:rsidRPr="004E6DBC" w:rsidRDefault="00F4307B" w:rsidP="00DE17CF">
            <w:pPr>
              <w:rPr>
                <w:sz w:val="22"/>
                <w:szCs w:val="22"/>
              </w:rPr>
            </w:pPr>
          </w:p>
        </w:tc>
        <w:tc>
          <w:tcPr>
            <w:tcW w:w="1383" w:type="dxa"/>
            <w:tcBorders>
              <w:top w:val="single" w:sz="4" w:space="0" w:color="auto"/>
              <w:left w:val="single" w:sz="4" w:space="0" w:color="auto"/>
              <w:bottom w:val="single" w:sz="4" w:space="0" w:color="auto"/>
              <w:right w:val="single" w:sz="4" w:space="0" w:color="auto"/>
            </w:tcBorders>
          </w:tcPr>
          <w:p w14:paraId="74A04221" w14:textId="77777777" w:rsidR="00F4307B" w:rsidRPr="004E6DBC" w:rsidRDefault="00F4307B" w:rsidP="00DE17CF">
            <w:pPr>
              <w:rPr>
                <w:sz w:val="22"/>
                <w:szCs w:val="22"/>
              </w:rPr>
            </w:pPr>
          </w:p>
        </w:tc>
      </w:tr>
      <w:tr w:rsidR="00F4307B" w:rsidRPr="004E6DBC" w14:paraId="20BF344C" w14:textId="77777777" w:rsidTr="00805C5B">
        <w:trPr>
          <w:trHeight w:val="850"/>
        </w:trPr>
        <w:tc>
          <w:tcPr>
            <w:tcW w:w="1714" w:type="dxa"/>
            <w:tcBorders>
              <w:top w:val="single" w:sz="4" w:space="0" w:color="auto"/>
              <w:left w:val="single" w:sz="4" w:space="0" w:color="auto"/>
              <w:bottom w:val="single" w:sz="4" w:space="0" w:color="auto"/>
              <w:right w:val="single" w:sz="4" w:space="0" w:color="auto"/>
            </w:tcBorders>
          </w:tcPr>
          <w:p w14:paraId="3AA2CA84" w14:textId="77777777" w:rsidR="00F4307B" w:rsidRPr="004E6DBC" w:rsidRDefault="00F4307B" w:rsidP="00DE17CF">
            <w:pPr>
              <w:pStyle w:val="Paragraph"/>
              <w:rPr>
                <w:rFonts w:eastAsia="Calibri"/>
                <w:sz w:val="22"/>
                <w:szCs w:val="22"/>
              </w:rPr>
            </w:pPr>
            <w:r w:rsidRPr="004E6DBC">
              <w:rPr>
                <w:sz w:val="22"/>
                <w:szCs w:val="22"/>
              </w:rPr>
              <w:t>Renal and urinary disorders</w:t>
            </w:r>
          </w:p>
          <w:p w14:paraId="12400A9D" w14:textId="77777777" w:rsidR="00F4307B" w:rsidRPr="004E6DBC" w:rsidRDefault="00F4307B" w:rsidP="00DE17CF">
            <w:pPr>
              <w:ind w:left="72"/>
              <w:rPr>
                <w:b/>
                <w:bCs/>
                <w:color w:val="000000"/>
                <w:sz w:val="22"/>
                <w:szCs w:val="22"/>
              </w:rPr>
            </w:pPr>
          </w:p>
        </w:tc>
        <w:tc>
          <w:tcPr>
            <w:tcW w:w="1358" w:type="dxa"/>
            <w:tcBorders>
              <w:top w:val="single" w:sz="4" w:space="0" w:color="auto"/>
              <w:left w:val="single" w:sz="4" w:space="0" w:color="auto"/>
              <w:bottom w:val="single" w:sz="4" w:space="0" w:color="auto"/>
              <w:right w:val="single" w:sz="4" w:space="0" w:color="auto"/>
            </w:tcBorders>
          </w:tcPr>
          <w:p w14:paraId="3DE3E8A6"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6B610A4F"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04D56905" w14:textId="77777777" w:rsidR="00F4307B" w:rsidRPr="004E6DBC" w:rsidRDefault="00F4307B" w:rsidP="00DE17CF">
            <w:pPr>
              <w:rPr>
                <w:sz w:val="22"/>
                <w:szCs w:val="22"/>
              </w:rPr>
            </w:pPr>
            <w:r w:rsidRPr="004E6DBC">
              <w:rPr>
                <w:sz w:val="22"/>
                <w:szCs w:val="22"/>
              </w:rPr>
              <w:t>Urethral haemorrhage, Haematuria, Dysuria, Pollakiuria, Micturition urgency</w:t>
            </w:r>
          </w:p>
        </w:tc>
        <w:tc>
          <w:tcPr>
            <w:tcW w:w="1383" w:type="dxa"/>
            <w:tcBorders>
              <w:top w:val="single" w:sz="4" w:space="0" w:color="auto"/>
              <w:left w:val="single" w:sz="4" w:space="0" w:color="auto"/>
              <w:bottom w:val="single" w:sz="4" w:space="0" w:color="auto"/>
              <w:right w:val="single" w:sz="4" w:space="0" w:color="auto"/>
            </w:tcBorders>
          </w:tcPr>
          <w:p w14:paraId="0A2AA316" w14:textId="77777777" w:rsidR="00F4307B" w:rsidRPr="004E6DBC" w:rsidRDefault="00F4307B" w:rsidP="00DE17CF">
            <w:pPr>
              <w:rPr>
                <w:sz w:val="22"/>
                <w:szCs w:val="22"/>
              </w:rPr>
            </w:pPr>
          </w:p>
        </w:tc>
      </w:tr>
      <w:tr w:rsidR="00F4307B" w:rsidRPr="004E6DBC" w14:paraId="4FE43A30" w14:textId="77777777" w:rsidTr="00805C5B">
        <w:trPr>
          <w:trHeight w:val="2168"/>
        </w:trPr>
        <w:tc>
          <w:tcPr>
            <w:tcW w:w="1714" w:type="dxa"/>
            <w:tcBorders>
              <w:top w:val="single" w:sz="4" w:space="0" w:color="auto"/>
              <w:left w:val="single" w:sz="4" w:space="0" w:color="auto"/>
              <w:bottom w:val="single" w:sz="4" w:space="0" w:color="auto"/>
              <w:right w:val="single" w:sz="4" w:space="0" w:color="auto"/>
            </w:tcBorders>
          </w:tcPr>
          <w:p w14:paraId="62460F04" w14:textId="77777777" w:rsidR="00F4307B" w:rsidRPr="004E6DBC" w:rsidRDefault="00F4307B" w:rsidP="00DE17CF">
            <w:pPr>
              <w:pStyle w:val="Paragraph"/>
              <w:rPr>
                <w:rFonts w:eastAsia="Calibri"/>
                <w:sz w:val="22"/>
                <w:szCs w:val="22"/>
              </w:rPr>
            </w:pPr>
            <w:r w:rsidRPr="004E6DBC">
              <w:rPr>
                <w:sz w:val="22"/>
                <w:szCs w:val="22"/>
              </w:rPr>
              <w:lastRenderedPageBreak/>
              <w:t>Reproductive system and breast disorders</w:t>
            </w:r>
          </w:p>
          <w:p w14:paraId="34BAEA44" w14:textId="77777777" w:rsidR="00F4307B" w:rsidRPr="004E6DBC" w:rsidRDefault="00F4307B" w:rsidP="00DE17CF">
            <w:pPr>
              <w:ind w:left="72"/>
              <w:rPr>
                <w:b/>
                <w:bCs/>
                <w:color w:val="000000"/>
                <w:sz w:val="22"/>
                <w:szCs w:val="22"/>
              </w:rPr>
            </w:pPr>
          </w:p>
        </w:tc>
        <w:tc>
          <w:tcPr>
            <w:tcW w:w="1358" w:type="dxa"/>
            <w:tcBorders>
              <w:top w:val="single" w:sz="4" w:space="0" w:color="auto"/>
              <w:left w:val="single" w:sz="4" w:space="0" w:color="auto"/>
              <w:bottom w:val="single" w:sz="4" w:space="0" w:color="auto"/>
              <w:right w:val="single" w:sz="4" w:space="0" w:color="auto"/>
            </w:tcBorders>
          </w:tcPr>
          <w:p w14:paraId="01B9F611" w14:textId="77777777" w:rsidR="00F4307B" w:rsidRPr="004E6DBC" w:rsidRDefault="00F4307B" w:rsidP="00DE17CF">
            <w:pPr>
              <w:rPr>
                <w:rFonts w:eastAsia="Calibri"/>
                <w:sz w:val="22"/>
                <w:szCs w:val="22"/>
              </w:rPr>
            </w:pPr>
            <w:r w:rsidRPr="004E6DBC">
              <w:rPr>
                <w:sz w:val="22"/>
                <w:szCs w:val="22"/>
              </w:rPr>
              <w:t xml:space="preserve">Penile pain </w:t>
            </w:r>
          </w:p>
          <w:p w14:paraId="5621A8F7"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hideMark/>
          </w:tcPr>
          <w:p w14:paraId="645BEDD0" w14:textId="77777777" w:rsidR="00F4307B" w:rsidRPr="004E6DBC" w:rsidRDefault="00F4307B" w:rsidP="00DE17CF">
            <w:pPr>
              <w:rPr>
                <w:sz w:val="22"/>
                <w:szCs w:val="22"/>
              </w:rPr>
            </w:pPr>
            <w:r w:rsidRPr="004E6DBC">
              <w:rPr>
                <w:sz w:val="22"/>
                <w:szCs w:val="22"/>
              </w:rPr>
              <w:t>Peyronie’s disease, Penis disorders (including penile fibrosis, angulation and fibrotic nodules), Erection increased</w:t>
            </w:r>
          </w:p>
        </w:tc>
        <w:tc>
          <w:tcPr>
            <w:tcW w:w="2173" w:type="dxa"/>
            <w:tcBorders>
              <w:top w:val="single" w:sz="4" w:space="0" w:color="auto"/>
              <w:left w:val="single" w:sz="4" w:space="0" w:color="auto"/>
              <w:bottom w:val="single" w:sz="4" w:space="0" w:color="auto"/>
              <w:right w:val="single" w:sz="4" w:space="0" w:color="auto"/>
            </w:tcBorders>
            <w:hideMark/>
          </w:tcPr>
          <w:p w14:paraId="35BF2C7D" w14:textId="77777777" w:rsidR="00F4307B" w:rsidRPr="004E6DBC" w:rsidRDefault="00F4307B" w:rsidP="00DE17CF">
            <w:pPr>
              <w:rPr>
                <w:sz w:val="22"/>
                <w:szCs w:val="22"/>
              </w:rPr>
            </w:pPr>
            <w:r w:rsidRPr="004E6DBC">
              <w:rPr>
                <w:sz w:val="22"/>
                <w:szCs w:val="22"/>
              </w:rPr>
              <w:t>Priapism, Pelvic pain, Testicular mass, Spermatocele, Testicular swelling, Testicular oedema, Testicular disorder, Scrotal pain, Scrotal erythema, Scrotal oedema, Testicular pain, Scrotal disorder, Painful erection, Balanitis, Phimosis, Erectile dysfunction, Ejaculation disorder</w:t>
            </w:r>
          </w:p>
        </w:tc>
        <w:tc>
          <w:tcPr>
            <w:tcW w:w="1383" w:type="dxa"/>
            <w:tcBorders>
              <w:top w:val="single" w:sz="4" w:space="0" w:color="auto"/>
              <w:left w:val="single" w:sz="4" w:space="0" w:color="auto"/>
              <w:bottom w:val="single" w:sz="4" w:space="0" w:color="auto"/>
              <w:right w:val="single" w:sz="4" w:space="0" w:color="auto"/>
            </w:tcBorders>
          </w:tcPr>
          <w:p w14:paraId="021A8EC8" w14:textId="77777777" w:rsidR="00F4307B" w:rsidRPr="004E6DBC" w:rsidRDefault="00F4307B" w:rsidP="00DE17CF">
            <w:pPr>
              <w:rPr>
                <w:sz w:val="22"/>
                <w:szCs w:val="22"/>
              </w:rPr>
            </w:pPr>
          </w:p>
        </w:tc>
      </w:tr>
      <w:tr w:rsidR="00F4307B" w:rsidRPr="004E6DBC" w14:paraId="06B1B3F2" w14:textId="77777777" w:rsidTr="00805C5B">
        <w:trPr>
          <w:trHeight w:val="2753"/>
        </w:trPr>
        <w:tc>
          <w:tcPr>
            <w:tcW w:w="1714" w:type="dxa"/>
            <w:tcBorders>
              <w:top w:val="single" w:sz="4" w:space="0" w:color="auto"/>
              <w:left w:val="single" w:sz="4" w:space="0" w:color="auto"/>
              <w:bottom w:val="single" w:sz="4" w:space="0" w:color="auto"/>
              <w:right w:val="single" w:sz="4" w:space="0" w:color="auto"/>
            </w:tcBorders>
          </w:tcPr>
          <w:p w14:paraId="019931BD" w14:textId="77777777" w:rsidR="00F4307B" w:rsidRPr="004E6DBC" w:rsidRDefault="00F4307B" w:rsidP="00DE17CF">
            <w:pPr>
              <w:pStyle w:val="Paragraph"/>
              <w:rPr>
                <w:rFonts w:eastAsia="Calibri"/>
                <w:sz w:val="22"/>
                <w:szCs w:val="22"/>
              </w:rPr>
            </w:pPr>
            <w:r w:rsidRPr="004E6DBC">
              <w:rPr>
                <w:sz w:val="22"/>
                <w:szCs w:val="22"/>
              </w:rPr>
              <w:t>General disorders and administration site conditions</w:t>
            </w:r>
          </w:p>
          <w:p w14:paraId="6D15D229" w14:textId="77777777" w:rsidR="00F4307B" w:rsidRPr="004E6DBC" w:rsidRDefault="00F4307B" w:rsidP="00DE17CF">
            <w:pPr>
              <w:ind w:left="72"/>
              <w:rPr>
                <w:b/>
                <w:bCs/>
                <w:color w:val="000000"/>
                <w:sz w:val="22"/>
                <w:szCs w:val="22"/>
              </w:rPr>
            </w:pPr>
          </w:p>
        </w:tc>
        <w:tc>
          <w:tcPr>
            <w:tcW w:w="1358" w:type="dxa"/>
            <w:tcBorders>
              <w:top w:val="single" w:sz="4" w:space="0" w:color="auto"/>
              <w:left w:val="single" w:sz="4" w:space="0" w:color="auto"/>
              <w:bottom w:val="single" w:sz="4" w:space="0" w:color="auto"/>
              <w:right w:val="single" w:sz="4" w:space="0" w:color="auto"/>
            </w:tcBorders>
          </w:tcPr>
          <w:p w14:paraId="792C5911" w14:textId="77777777" w:rsidR="00F4307B" w:rsidRPr="004E6DBC" w:rsidRDefault="00F4307B" w:rsidP="00DE17CF">
            <w:pPr>
              <w:rPr>
                <w:sz w:val="22"/>
                <w:szCs w:val="22"/>
                <w:lang w:val="it-IT"/>
              </w:rPr>
            </w:pPr>
          </w:p>
        </w:tc>
        <w:tc>
          <w:tcPr>
            <w:tcW w:w="1581" w:type="dxa"/>
            <w:tcBorders>
              <w:top w:val="single" w:sz="4" w:space="0" w:color="auto"/>
              <w:left w:val="single" w:sz="4" w:space="0" w:color="auto"/>
              <w:bottom w:val="single" w:sz="4" w:space="0" w:color="auto"/>
              <w:right w:val="single" w:sz="4" w:space="0" w:color="auto"/>
            </w:tcBorders>
            <w:hideMark/>
          </w:tcPr>
          <w:p w14:paraId="3561D564" w14:textId="77777777" w:rsidR="00F4307B" w:rsidRPr="004E6DBC" w:rsidRDefault="00F4307B" w:rsidP="00DE17CF">
            <w:pPr>
              <w:rPr>
                <w:sz w:val="22"/>
                <w:szCs w:val="22"/>
                <w:lang w:val="it-IT"/>
              </w:rPr>
            </w:pPr>
            <w:r w:rsidRPr="004E6DBC">
              <w:rPr>
                <w:sz w:val="22"/>
                <w:szCs w:val="22"/>
                <w:lang w:val="it-IT"/>
              </w:rPr>
              <w:t>Injection site haematoma, Ecchymosis</w:t>
            </w:r>
          </w:p>
        </w:tc>
        <w:tc>
          <w:tcPr>
            <w:tcW w:w="2173" w:type="dxa"/>
            <w:tcBorders>
              <w:top w:val="single" w:sz="4" w:space="0" w:color="auto"/>
              <w:left w:val="single" w:sz="4" w:space="0" w:color="auto"/>
              <w:bottom w:val="single" w:sz="4" w:space="0" w:color="auto"/>
              <w:right w:val="single" w:sz="4" w:space="0" w:color="auto"/>
            </w:tcBorders>
            <w:hideMark/>
          </w:tcPr>
          <w:p w14:paraId="05442CAE" w14:textId="77777777" w:rsidR="00F4307B" w:rsidRPr="004E6DBC" w:rsidRDefault="00F4307B" w:rsidP="00DE17CF">
            <w:pPr>
              <w:rPr>
                <w:sz w:val="22"/>
                <w:szCs w:val="22"/>
                <w:lang w:val="it-IT"/>
              </w:rPr>
            </w:pPr>
            <w:r w:rsidRPr="004E6DBC">
              <w:rPr>
                <w:sz w:val="22"/>
                <w:szCs w:val="22"/>
              </w:rPr>
              <w:t>Haemorrhage, Injection site haemorrhage, Inflammation, Injection site inflammation, Injection site warmth, Injection site oedema, Injection site swelling, Injection site pain, Injection site irritation, Asthenia, Injection site anaesthesia, Oedema, Oedema peripheral, Injection site pruritus</w:t>
            </w:r>
          </w:p>
        </w:tc>
        <w:tc>
          <w:tcPr>
            <w:tcW w:w="1383" w:type="dxa"/>
            <w:tcBorders>
              <w:top w:val="single" w:sz="4" w:space="0" w:color="auto"/>
              <w:left w:val="single" w:sz="4" w:space="0" w:color="auto"/>
              <w:bottom w:val="single" w:sz="4" w:space="0" w:color="auto"/>
              <w:right w:val="single" w:sz="4" w:space="0" w:color="auto"/>
            </w:tcBorders>
          </w:tcPr>
          <w:p w14:paraId="2372D067" w14:textId="77777777" w:rsidR="00F4307B" w:rsidRPr="004E6DBC" w:rsidRDefault="00F4307B" w:rsidP="00DE17CF">
            <w:pPr>
              <w:rPr>
                <w:sz w:val="22"/>
                <w:szCs w:val="22"/>
              </w:rPr>
            </w:pPr>
          </w:p>
        </w:tc>
      </w:tr>
      <w:tr w:rsidR="00F4307B" w:rsidRPr="004E6DBC" w14:paraId="7713FA1D" w14:textId="77777777" w:rsidTr="00805C5B">
        <w:trPr>
          <w:trHeight w:val="850"/>
        </w:trPr>
        <w:tc>
          <w:tcPr>
            <w:tcW w:w="1714" w:type="dxa"/>
            <w:tcBorders>
              <w:top w:val="single" w:sz="4" w:space="0" w:color="auto"/>
              <w:left w:val="single" w:sz="4" w:space="0" w:color="auto"/>
              <w:bottom w:val="single" w:sz="4" w:space="0" w:color="auto"/>
              <w:right w:val="single" w:sz="4" w:space="0" w:color="auto"/>
            </w:tcBorders>
          </w:tcPr>
          <w:p w14:paraId="6A510B0D" w14:textId="77777777" w:rsidR="00F4307B" w:rsidRPr="004E6DBC" w:rsidRDefault="00F4307B" w:rsidP="00DE17CF">
            <w:pPr>
              <w:pStyle w:val="Paragraph"/>
              <w:rPr>
                <w:rFonts w:eastAsia="Calibri"/>
                <w:sz w:val="22"/>
                <w:szCs w:val="22"/>
              </w:rPr>
            </w:pPr>
            <w:r w:rsidRPr="004E6DBC">
              <w:rPr>
                <w:sz w:val="22"/>
                <w:szCs w:val="22"/>
              </w:rPr>
              <w:t>Investigations</w:t>
            </w:r>
          </w:p>
          <w:p w14:paraId="4221DE25" w14:textId="77777777" w:rsidR="00F4307B" w:rsidRPr="004E6DBC" w:rsidRDefault="00F4307B" w:rsidP="00DE17CF">
            <w:pPr>
              <w:ind w:left="72"/>
              <w:rPr>
                <w:b/>
                <w:bCs/>
                <w:color w:val="000000"/>
                <w:sz w:val="22"/>
                <w:szCs w:val="22"/>
              </w:rPr>
            </w:pPr>
          </w:p>
        </w:tc>
        <w:tc>
          <w:tcPr>
            <w:tcW w:w="1358" w:type="dxa"/>
            <w:tcBorders>
              <w:top w:val="single" w:sz="4" w:space="0" w:color="auto"/>
              <w:left w:val="single" w:sz="4" w:space="0" w:color="auto"/>
              <w:bottom w:val="single" w:sz="4" w:space="0" w:color="auto"/>
              <w:right w:val="single" w:sz="4" w:space="0" w:color="auto"/>
            </w:tcBorders>
          </w:tcPr>
          <w:p w14:paraId="285404EA" w14:textId="77777777" w:rsidR="00F4307B" w:rsidRPr="004E6DBC" w:rsidRDefault="00F4307B" w:rsidP="00DE17CF">
            <w:pPr>
              <w:rPr>
                <w:sz w:val="22"/>
                <w:szCs w:val="22"/>
              </w:rPr>
            </w:pPr>
          </w:p>
        </w:tc>
        <w:tc>
          <w:tcPr>
            <w:tcW w:w="1581" w:type="dxa"/>
            <w:tcBorders>
              <w:top w:val="single" w:sz="4" w:space="0" w:color="auto"/>
              <w:left w:val="single" w:sz="4" w:space="0" w:color="auto"/>
              <w:bottom w:val="single" w:sz="4" w:space="0" w:color="auto"/>
              <w:right w:val="single" w:sz="4" w:space="0" w:color="auto"/>
            </w:tcBorders>
          </w:tcPr>
          <w:p w14:paraId="3A4D45D2" w14:textId="77777777" w:rsidR="00F4307B" w:rsidRPr="004E6DBC" w:rsidRDefault="00F4307B" w:rsidP="00DE17CF">
            <w:pPr>
              <w:rPr>
                <w:sz w:val="22"/>
                <w:szCs w:val="22"/>
              </w:rPr>
            </w:pPr>
          </w:p>
        </w:tc>
        <w:tc>
          <w:tcPr>
            <w:tcW w:w="2173" w:type="dxa"/>
            <w:tcBorders>
              <w:top w:val="single" w:sz="4" w:space="0" w:color="auto"/>
              <w:left w:val="single" w:sz="4" w:space="0" w:color="auto"/>
              <w:bottom w:val="single" w:sz="4" w:space="0" w:color="auto"/>
              <w:right w:val="single" w:sz="4" w:space="0" w:color="auto"/>
            </w:tcBorders>
            <w:hideMark/>
          </w:tcPr>
          <w:p w14:paraId="417C67B3" w14:textId="77777777" w:rsidR="00F4307B" w:rsidRPr="004E6DBC" w:rsidRDefault="00F4307B" w:rsidP="00DE17CF">
            <w:pPr>
              <w:rPr>
                <w:sz w:val="22"/>
                <w:szCs w:val="22"/>
              </w:rPr>
            </w:pPr>
            <w:r w:rsidRPr="004E6DBC">
              <w:rPr>
                <w:sz w:val="22"/>
                <w:szCs w:val="22"/>
              </w:rPr>
              <w:t>Blood creatinine increased, Blood pressure decreased, Heart rate increased</w:t>
            </w:r>
          </w:p>
        </w:tc>
        <w:tc>
          <w:tcPr>
            <w:tcW w:w="1383" w:type="dxa"/>
            <w:tcBorders>
              <w:top w:val="single" w:sz="4" w:space="0" w:color="auto"/>
              <w:left w:val="single" w:sz="4" w:space="0" w:color="auto"/>
              <w:bottom w:val="single" w:sz="4" w:space="0" w:color="auto"/>
              <w:right w:val="single" w:sz="4" w:space="0" w:color="auto"/>
            </w:tcBorders>
          </w:tcPr>
          <w:p w14:paraId="5CA312C5" w14:textId="77777777" w:rsidR="00F4307B" w:rsidRPr="004E6DBC" w:rsidRDefault="00F4307B" w:rsidP="00DE17CF">
            <w:pPr>
              <w:rPr>
                <w:sz w:val="22"/>
                <w:szCs w:val="22"/>
              </w:rPr>
            </w:pPr>
          </w:p>
        </w:tc>
      </w:tr>
    </w:tbl>
    <w:p w14:paraId="546F0F9D" w14:textId="77777777" w:rsidR="000979F9" w:rsidRDefault="000979F9" w:rsidP="003E6A11">
      <w:pPr>
        <w:ind w:right="-514"/>
        <w:rPr>
          <w:lang w:val="sv-SE"/>
        </w:rPr>
      </w:pPr>
    </w:p>
    <w:p w14:paraId="43B6D539" w14:textId="77777777" w:rsidR="000979F9" w:rsidRPr="000979F9" w:rsidRDefault="000979F9" w:rsidP="000979F9">
      <w:pPr>
        <w:autoSpaceDE w:val="0"/>
        <w:autoSpaceDN w:val="0"/>
        <w:adjustRightInd w:val="0"/>
        <w:ind w:left="709"/>
        <w:rPr>
          <w:sz w:val="22"/>
          <w:szCs w:val="22"/>
          <w:u w:val="single"/>
        </w:rPr>
      </w:pPr>
      <w:r w:rsidRPr="000979F9">
        <w:rPr>
          <w:sz w:val="22"/>
          <w:szCs w:val="22"/>
          <w:u w:val="single"/>
        </w:rPr>
        <w:t>Reporting of suspected adverse reactions</w:t>
      </w:r>
    </w:p>
    <w:p w14:paraId="581EC7B8" w14:textId="77777777" w:rsidR="00A6158D" w:rsidRPr="00CF1508" w:rsidRDefault="000979F9" w:rsidP="00A6158D">
      <w:pPr>
        <w:ind w:left="709"/>
        <w:rPr>
          <w:sz w:val="22"/>
          <w:szCs w:val="22"/>
        </w:rPr>
      </w:pPr>
      <w:r w:rsidRPr="000979F9">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the Yellow Card Scheme at </w:t>
      </w:r>
      <w:hyperlink r:id="rId10" w:history="1">
        <w:r w:rsidRPr="000979F9">
          <w:rPr>
            <w:color w:val="0000FF"/>
            <w:sz w:val="22"/>
            <w:szCs w:val="22"/>
            <w:u w:val="single"/>
          </w:rPr>
          <w:t>www.mhra.gov.uk/yellowcard</w:t>
        </w:r>
      </w:hyperlink>
      <w:r w:rsidR="00A6158D">
        <w:rPr>
          <w:rFonts w:ascii="Calibri" w:hAnsi="Calibri" w:cs="Calibri"/>
          <w:b/>
          <w:sz w:val="18"/>
          <w:szCs w:val="18"/>
          <w:lang w:eastAsia="en-GB"/>
        </w:rPr>
        <w:t xml:space="preserve"> </w:t>
      </w:r>
      <w:r w:rsidR="00A6158D" w:rsidRPr="002B7FE2">
        <w:rPr>
          <w:sz w:val="22"/>
          <w:szCs w:val="22"/>
          <w:lang w:eastAsia="en-GB"/>
        </w:rPr>
        <w:t>or</w:t>
      </w:r>
      <w:r w:rsidR="00A6158D" w:rsidRPr="00CF1508">
        <w:rPr>
          <w:sz w:val="22"/>
          <w:szCs w:val="22"/>
        </w:rPr>
        <w:t xml:space="preserve"> search for MHRA Yellow Card in the Google Play or Apple App Store.</w:t>
      </w:r>
    </w:p>
    <w:p w14:paraId="2FE0B9C8" w14:textId="77777777" w:rsidR="000979F9" w:rsidRPr="000979F9" w:rsidRDefault="000979F9" w:rsidP="000979F9">
      <w:pPr>
        <w:ind w:left="709"/>
        <w:rPr>
          <w:b/>
          <w:szCs w:val="24"/>
          <w:lang w:val="sv-SE"/>
        </w:rPr>
      </w:pPr>
    </w:p>
    <w:p w14:paraId="5B4402A0" w14:textId="77777777" w:rsidR="000979F9" w:rsidRDefault="000979F9" w:rsidP="006675C4">
      <w:pPr>
        <w:ind w:left="709" w:right="-514"/>
        <w:rPr>
          <w:lang w:val="sv-SE"/>
        </w:rPr>
      </w:pPr>
    </w:p>
    <w:p w14:paraId="5B258D37" w14:textId="77777777" w:rsidR="003D0A75" w:rsidRDefault="003D0A75" w:rsidP="003E6A11">
      <w:pPr>
        <w:ind w:right="-514"/>
        <w:rPr>
          <w:b/>
          <w:lang w:val="sv-SE"/>
        </w:rPr>
      </w:pPr>
      <w:r>
        <w:rPr>
          <w:b/>
          <w:lang w:val="sv-SE"/>
        </w:rPr>
        <w:t xml:space="preserve">4.9. </w:t>
      </w:r>
      <w:r>
        <w:rPr>
          <w:b/>
          <w:lang w:val="sv-SE"/>
        </w:rPr>
        <w:tab/>
        <w:t>Overdose</w:t>
      </w:r>
    </w:p>
    <w:p w14:paraId="4AA74FB2" w14:textId="77777777" w:rsidR="003D0A75" w:rsidRDefault="003D0A75" w:rsidP="003E6A11">
      <w:pPr>
        <w:ind w:left="720" w:right="-514"/>
        <w:rPr>
          <w:b/>
          <w:lang w:val="sv-SE"/>
        </w:rPr>
      </w:pPr>
    </w:p>
    <w:p w14:paraId="0FA93BE7" w14:textId="77777777" w:rsidR="003D0A75" w:rsidRDefault="003D0A75" w:rsidP="003E6A11">
      <w:pPr>
        <w:pStyle w:val="BodyTextIndent"/>
        <w:ind w:right="-514"/>
        <w:rPr>
          <w:lang w:val="en-GB"/>
        </w:rPr>
      </w:pPr>
      <w:r>
        <w:rPr>
          <w:lang w:val="en-GB"/>
        </w:rPr>
        <w:t xml:space="preserve">Overdosage was not observed in clinical trials with alprostadil. If intracavernous overdose of Caverject Dual Chamber occurs, the patient should be placed under medical supervision </w:t>
      </w:r>
      <w:r>
        <w:rPr>
          <w:lang w:val="en-GB"/>
        </w:rPr>
        <w:lastRenderedPageBreak/>
        <w:t>until any systemic effects have resolved and/or until penile detumescence has occurred.  Symptomatic treatment of any systemic symptoms would be appropriate.</w:t>
      </w:r>
    </w:p>
    <w:p w14:paraId="6A6BD765" w14:textId="77777777" w:rsidR="003D0A75" w:rsidRDefault="003D0A75" w:rsidP="003E6A11">
      <w:pPr>
        <w:ind w:left="720" w:right="-514"/>
        <w:rPr>
          <w:lang w:val="sv-SE"/>
        </w:rPr>
      </w:pPr>
    </w:p>
    <w:p w14:paraId="46332CA9" w14:textId="77777777" w:rsidR="003D0A75" w:rsidRDefault="003D0A75" w:rsidP="003E6A11">
      <w:pPr>
        <w:pStyle w:val="BodyTextIndent"/>
        <w:ind w:right="-514"/>
        <w:rPr>
          <w:lang w:val="en-GB"/>
        </w:rPr>
      </w:pPr>
      <w:r>
        <w:rPr>
          <w:lang w:val="en-GB"/>
        </w:rPr>
        <w:t>The treatment of priapism (prolonged erection) should not be delayed more than 6 hours.</w:t>
      </w:r>
      <w:r w:rsidR="002B4D0E">
        <w:rPr>
          <w:lang w:val="en-GB"/>
        </w:rPr>
        <w:t xml:space="preserve"> </w:t>
      </w:r>
      <w:r>
        <w:rPr>
          <w:lang w:val="en-GB"/>
        </w:rPr>
        <w:t>Initial therapy should be by penile aspiration. Using aseptic technique, insert a 19</w:t>
      </w:r>
      <w:r w:rsidR="002B4D0E">
        <w:rPr>
          <w:lang w:val="en-GB"/>
        </w:rPr>
        <w:t xml:space="preserve"> to </w:t>
      </w:r>
      <w:r>
        <w:rPr>
          <w:lang w:val="en-GB"/>
        </w:rPr>
        <w:t>21 gauge butterfly needle into the corpus cavernosum and aspirate 20</w:t>
      </w:r>
      <w:r w:rsidR="002B4D0E">
        <w:rPr>
          <w:lang w:val="en-GB"/>
        </w:rPr>
        <w:t xml:space="preserve"> to </w:t>
      </w:r>
      <w:r>
        <w:rPr>
          <w:lang w:val="en-GB"/>
        </w:rPr>
        <w:t>50 ml of blood.  This may detumesce the penis. If necessary, the procedure may be repeated on the opposite side of the penis until a total of up to 100 ml blood has been aspirated. If still unsuccessful, intracavernous injection of alpha</w:t>
      </w:r>
      <w:r>
        <w:rPr>
          <w:lang w:val="en-GB"/>
        </w:rPr>
        <w:noBreakHyphen/>
        <w:t>adrenergic medication is recommended. Although the usual contraindication to intrapenile administration of a vasoconstrictor does not apply in the treatment of priapism,</w:t>
      </w:r>
      <w:r w:rsidR="002B4D0E">
        <w:rPr>
          <w:lang w:val="en-GB"/>
        </w:rPr>
        <w:t xml:space="preserve"> </w:t>
      </w:r>
      <w:r>
        <w:rPr>
          <w:lang w:val="en-GB"/>
        </w:rPr>
        <w:t xml:space="preserve">caution is advised when this option is exercised. Blood pressure and pulse should be continuously monitored during the procedure. Extreme caution is required in patients with coronary heart disease, uncontrolled hypertension, cerebral ischaemia, and in </w:t>
      </w:r>
      <w:r w:rsidR="000719DF">
        <w:rPr>
          <w:lang w:val="en-GB"/>
        </w:rPr>
        <w:t xml:space="preserve">patients </w:t>
      </w:r>
      <w:r>
        <w:rPr>
          <w:lang w:val="en-GB"/>
        </w:rPr>
        <w:t>taking monoamine oxidase inhibitors. In the latter case, facilities should be available to manage a hypertensive crisis.  A 200 microgram/ml solution of phenylephrine should be prepared, and 0.5 to 1.0 ml of the solution injected every 5 to 10 minutes. Alternatively, a 20 microgram/ml solution of epinephrine should be used.  If necessary, this may be followed by further aspiration of blood through the same butterfly needle.  The maximum dose of phenylephrine should be 1 mg, or epinephrine 100 micrograms (5 ml of the solution). As an alternative metaraminol may be used, but it should be noted that fatal hypertensive crises have been reported. If this still fails to resolve the priapism, urgent surgical referral for further management, which may include a shunt procedure is required.</w:t>
      </w:r>
    </w:p>
    <w:p w14:paraId="3445299C" w14:textId="77777777" w:rsidR="003D0A75" w:rsidRDefault="003D0A75" w:rsidP="003E6A11">
      <w:pPr>
        <w:ind w:right="-514"/>
      </w:pPr>
      <w:bookmarkStart w:id="0" w:name="_Toc367689668"/>
      <w:bookmarkStart w:id="1" w:name="_Toc367759037"/>
      <w:bookmarkStart w:id="2" w:name="_Toc367759321"/>
      <w:bookmarkStart w:id="3" w:name="_Toc367759390"/>
      <w:bookmarkStart w:id="4" w:name="_Toc367759784"/>
      <w:bookmarkStart w:id="5" w:name="_Toc367759877"/>
      <w:bookmarkStart w:id="6" w:name="_Toc367850983"/>
      <w:bookmarkStart w:id="7" w:name="_Toc367861821"/>
      <w:bookmarkStart w:id="8" w:name="_Toc367862081"/>
      <w:bookmarkStart w:id="9" w:name="_Toc367862944"/>
      <w:bookmarkStart w:id="10" w:name="_Toc367863089"/>
      <w:bookmarkStart w:id="11" w:name="_Toc367863143"/>
    </w:p>
    <w:p w14:paraId="5C5A13D2" w14:textId="77777777" w:rsidR="00851A61" w:rsidRDefault="00851A61" w:rsidP="00851A61">
      <w:pPr>
        <w:ind w:right="-514"/>
        <w:rPr>
          <w:b/>
        </w:rPr>
      </w:pPr>
      <w:r>
        <w:rPr>
          <w:b/>
        </w:rPr>
        <w:t>5.</w:t>
      </w:r>
      <w:r>
        <w:rPr>
          <w:b/>
        </w:rPr>
        <w:tab/>
        <w:t>PHARMACOLOGICAL PROPERTIES</w:t>
      </w:r>
    </w:p>
    <w:p w14:paraId="06B74A71" w14:textId="77777777" w:rsidR="003D0A75" w:rsidRDefault="003D0A75" w:rsidP="003E6A11">
      <w:pPr>
        <w:ind w:right="-514"/>
        <w:rPr>
          <w:b/>
          <w:lang w:val="sv-SE"/>
        </w:rPr>
      </w:pPr>
    </w:p>
    <w:p w14:paraId="40AF7AC9" w14:textId="77777777" w:rsidR="003D0A75" w:rsidRDefault="003D0A75" w:rsidP="003E6A11">
      <w:pPr>
        <w:ind w:right="-514"/>
        <w:rPr>
          <w:b/>
          <w:lang w:val="sv-SE"/>
        </w:rPr>
      </w:pPr>
      <w:r>
        <w:rPr>
          <w:b/>
          <w:lang w:val="sv-SE"/>
        </w:rPr>
        <w:t>5.1</w:t>
      </w:r>
      <w:r>
        <w:rPr>
          <w:b/>
          <w:lang w:val="sv-SE"/>
        </w:rPr>
        <w:tab/>
        <w:t xml:space="preserve">Pharmacodynamic </w:t>
      </w:r>
      <w:r w:rsidR="00851A61">
        <w:rPr>
          <w:b/>
          <w:lang w:val="sv-SE"/>
        </w:rPr>
        <w:t>p</w:t>
      </w:r>
      <w:r>
        <w:rPr>
          <w:b/>
          <w:lang w:val="sv-SE"/>
        </w:rPr>
        <w:t>roperties</w:t>
      </w:r>
    </w:p>
    <w:p w14:paraId="27065187" w14:textId="77777777" w:rsidR="003D0A75" w:rsidRDefault="003D0A75" w:rsidP="003E6A11">
      <w:pPr>
        <w:ind w:right="-514"/>
        <w:rPr>
          <w:b/>
          <w:lang w:val="sv-SE"/>
        </w:rPr>
      </w:pPr>
    </w:p>
    <w:p w14:paraId="38728016" w14:textId="77777777" w:rsidR="003D0A75" w:rsidRPr="002B7FE2" w:rsidRDefault="003D0A75" w:rsidP="003E6A11">
      <w:pPr>
        <w:pStyle w:val="Heading6"/>
        <w:ind w:right="-514"/>
        <w:rPr>
          <w:b w:val="0"/>
        </w:rPr>
      </w:pPr>
      <w:r w:rsidRPr="002B7FE2">
        <w:rPr>
          <w:b w:val="0"/>
        </w:rPr>
        <w:t xml:space="preserve">Pharmacotherapeutic group:  Drugs used in erectile dysfunction </w:t>
      </w:r>
    </w:p>
    <w:p w14:paraId="1BA88FE1" w14:textId="77777777" w:rsidR="003D0A75" w:rsidRPr="002B7FE2" w:rsidRDefault="003D0A75" w:rsidP="003E6A11">
      <w:pPr>
        <w:pStyle w:val="Heading6"/>
        <w:ind w:right="-514"/>
        <w:rPr>
          <w:b w:val="0"/>
        </w:rPr>
      </w:pPr>
      <w:r w:rsidRPr="002B7FE2">
        <w:rPr>
          <w:b w:val="0"/>
        </w:rPr>
        <w:t>ATC code: G04B E01</w:t>
      </w:r>
    </w:p>
    <w:p w14:paraId="2CA473F2" w14:textId="77777777" w:rsidR="003D0A75" w:rsidRDefault="003D0A75" w:rsidP="003E6A11">
      <w:pPr>
        <w:ind w:left="720" w:right="-514"/>
        <w:rPr>
          <w:b/>
          <w:lang w:val="sv-SE"/>
        </w:rPr>
      </w:pPr>
    </w:p>
    <w:p w14:paraId="3C00D026" w14:textId="77777777" w:rsidR="003D0A75" w:rsidRDefault="003D0A75" w:rsidP="003E6A11">
      <w:pPr>
        <w:widowControl w:val="0"/>
        <w:tabs>
          <w:tab w:val="left" w:pos="-1440"/>
          <w:tab w:val="left" w:pos="-720"/>
        </w:tabs>
        <w:ind w:left="720" w:right="-514"/>
      </w:pPr>
      <w:r>
        <w:t>Alprostadil is the naturally occurring form of prostaglandin E</w:t>
      </w:r>
      <w:r>
        <w:rPr>
          <w:vertAlign w:val="subscript"/>
        </w:rPr>
        <w:t>1</w:t>
      </w:r>
      <w:r>
        <w:t xml:space="preserve"> (PGE</w:t>
      </w:r>
      <w:r>
        <w:rPr>
          <w:vertAlign w:val="subscript"/>
        </w:rPr>
        <w:t>1</w:t>
      </w:r>
      <w:r>
        <w:t xml:space="preserve">). Alprostadil has a wide variety of pharmacological actions; vasodilation and inhibition of platelet aggregation are among the most notable of these effects. In most animal species tested, alprostadil relaxed retractor penis and corpus cavernosum urethrae </w:t>
      </w:r>
      <w:r w:rsidRPr="002B7FE2">
        <w:rPr>
          <w:i/>
        </w:rPr>
        <w:t>in vitro</w:t>
      </w:r>
      <w:r>
        <w:t>.  Alprostadil also relaxed isolated preparations of human corpus cavernosum and spongiosum, as well as cavernous arterial segments contracted by either phenylephrine or PGF</w:t>
      </w:r>
      <w:r>
        <w:rPr>
          <w:vertAlign w:val="subscript"/>
        </w:rPr>
        <w:t>2</w:t>
      </w:r>
      <w:r>
        <w:rPr>
          <w:vertAlign w:val="subscript"/>
        </w:rPr>
        <w:sym w:font="Symbol" w:char="F061"/>
      </w:r>
      <w:r>
        <w:t xml:space="preserve"> </w:t>
      </w:r>
      <w:r w:rsidRPr="002B7FE2">
        <w:rPr>
          <w:i/>
        </w:rPr>
        <w:t>in vitro</w:t>
      </w:r>
      <w:r>
        <w:t>. In pigtail monkeys (</w:t>
      </w:r>
      <w:r w:rsidRPr="002B7FE2">
        <w:rPr>
          <w:i/>
        </w:rPr>
        <w:t>Macaca nemestrina</w:t>
      </w:r>
      <w:r>
        <w:t xml:space="preserve">), alprostadil increased cavernous arterial blood flow </w:t>
      </w:r>
      <w:r w:rsidRPr="002B7FE2">
        <w:rPr>
          <w:i/>
        </w:rPr>
        <w:t>in vivo</w:t>
      </w:r>
      <w:r>
        <w:rPr>
          <w:b/>
        </w:rPr>
        <w:t>.</w:t>
      </w:r>
      <w:r>
        <w:t xml:space="preserve">  The degree and duration of cavernous smooth muscle relaxation in this animal model was dose-dependent.</w:t>
      </w:r>
    </w:p>
    <w:p w14:paraId="063E155B" w14:textId="77777777" w:rsidR="003D0A75" w:rsidRDefault="003D0A75" w:rsidP="003E6A11">
      <w:pPr>
        <w:widowControl w:val="0"/>
        <w:tabs>
          <w:tab w:val="left" w:pos="-1440"/>
          <w:tab w:val="left" w:pos="-720"/>
        </w:tabs>
        <w:ind w:left="720" w:right="-514"/>
      </w:pPr>
    </w:p>
    <w:p w14:paraId="16C5E57B" w14:textId="77777777" w:rsidR="003D0A75" w:rsidRDefault="003D0A75" w:rsidP="003E6A11">
      <w:pPr>
        <w:pStyle w:val="BodyTextIndent"/>
        <w:widowControl w:val="0"/>
        <w:tabs>
          <w:tab w:val="left" w:pos="-1440"/>
          <w:tab w:val="left" w:pos="-720"/>
        </w:tabs>
        <w:ind w:right="-514"/>
        <w:rPr>
          <w:lang w:val="en-GB"/>
        </w:rPr>
      </w:pPr>
      <w:r>
        <w:rPr>
          <w:lang w:val="en-GB"/>
        </w:rPr>
        <w:t>Alprostadil induces erection by relaxation of trabecular smooth muscle and by dilation of cavernosal arteries. This leads to expansion of lacunar spaces and entrapment of blood by compressing the venules against the tunica albuginea, a process referred to as the cor</w:t>
      </w:r>
      <w:bookmarkStart w:id="12" w:name="_Toc367689688"/>
      <w:bookmarkStart w:id="13" w:name="_Toc367759060"/>
      <w:bookmarkStart w:id="14" w:name="_Toc367759344"/>
      <w:bookmarkStart w:id="15" w:name="_Toc367759413"/>
      <w:bookmarkStart w:id="16" w:name="_Toc367759807"/>
      <w:bookmarkStart w:id="17" w:name="_Toc367759900"/>
      <w:bookmarkStart w:id="18" w:name="_Toc367851006"/>
      <w:bookmarkStart w:id="19" w:name="_Toc367861844"/>
      <w:bookmarkStart w:id="20" w:name="_Toc367862104"/>
      <w:bookmarkStart w:id="21" w:name="_Toc367862967"/>
      <w:bookmarkStart w:id="22" w:name="_Toc367863112"/>
      <w:bookmarkStart w:id="23" w:name="_Toc367863166"/>
      <w:r>
        <w:rPr>
          <w:lang w:val="en-GB"/>
        </w:rPr>
        <w:t>poral veno-occlusive mechanism. Erection usually occurs 5 to 15 minutes after injection. Its duration is dose dependent.</w:t>
      </w:r>
    </w:p>
    <w:p w14:paraId="4101539C" w14:textId="77777777" w:rsidR="003D0A75" w:rsidRDefault="003D0A75" w:rsidP="003E6A11">
      <w:pPr>
        <w:pStyle w:val="BodyTextIndent"/>
        <w:widowControl w:val="0"/>
        <w:tabs>
          <w:tab w:val="left" w:pos="-1440"/>
          <w:tab w:val="left" w:pos="-720"/>
        </w:tabs>
        <w:ind w:right="-514"/>
        <w:rPr>
          <w:lang w:val="en-GB"/>
        </w:rPr>
      </w:pPr>
    </w:p>
    <w:bookmarkEnd w:id="12"/>
    <w:bookmarkEnd w:id="13"/>
    <w:bookmarkEnd w:id="14"/>
    <w:bookmarkEnd w:id="15"/>
    <w:bookmarkEnd w:id="16"/>
    <w:bookmarkEnd w:id="17"/>
    <w:bookmarkEnd w:id="18"/>
    <w:bookmarkEnd w:id="19"/>
    <w:bookmarkEnd w:id="20"/>
    <w:bookmarkEnd w:id="21"/>
    <w:bookmarkEnd w:id="22"/>
    <w:bookmarkEnd w:id="23"/>
    <w:p w14:paraId="6AF15CCA" w14:textId="77777777" w:rsidR="003D0A75" w:rsidRDefault="003D0A75" w:rsidP="003E6A11">
      <w:pPr>
        <w:widowControl w:val="0"/>
        <w:ind w:right="-514"/>
      </w:pPr>
    </w:p>
    <w:p w14:paraId="48819869" w14:textId="77777777" w:rsidR="003D0A75" w:rsidRDefault="003D0A75" w:rsidP="003E6A11">
      <w:pPr>
        <w:ind w:right="-514"/>
        <w:rPr>
          <w:b/>
          <w:lang w:val="sv-SE"/>
        </w:rPr>
      </w:pPr>
      <w:r>
        <w:rPr>
          <w:b/>
          <w:lang w:val="sv-SE"/>
        </w:rPr>
        <w:t>5.2</w:t>
      </w:r>
      <w:r>
        <w:rPr>
          <w:b/>
          <w:lang w:val="sv-SE"/>
        </w:rPr>
        <w:tab/>
        <w:t xml:space="preserve">Pharmacokinetic </w:t>
      </w:r>
      <w:r w:rsidR="00851A61">
        <w:rPr>
          <w:b/>
          <w:lang w:val="sv-SE"/>
        </w:rPr>
        <w:t>p</w:t>
      </w:r>
      <w:r>
        <w:rPr>
          <w:b/>
          <w:lang w:val="sv-SE"/>
        </w:rPr>
        <w:t>roperties</w:t>
      </w:r>
    </w:p>
    <w:p w14:paraId="2EC0C4B2" w14:textId="77777777" w:rsidR="003D0A75" w:rsidRDefault="003D0A75" w:rsidP="003E6A11">
      <w:pPr>
        <w:ind w:left="720" w:right="-514"/>
      </w:pPr>
    </w:p>
    <w:p w14:paraId="34469E42" w14:textId="77777777" w:rsidR="003D0A75" w:rsidRDefault="003D0A75" w:rsidP="003E6A11">
      <w:pPr>
        <w:pStyle w:val="BodyTextIndent"/>
        <w:ind w:right="-514"/>
        <w:rPr>
          <w:lang w:val="en-GB"/>
        </w:rPr>
      </w:pPr>
      <w:r>
        <w:rPr>
          <w:lang w:val="en-GB"/>
        </w:rPr>
        <w:lastRenderedPageBreak/>
        <w:t>Caverject Dual Chamber contains alprostadil as the active ingredient in a complex with alfadex. At reconstitution, the complex is immediately dissociated into alprostadil and alfadex. The pharmacokinetics of alprostadil is therefore unchanged in Caverject Dual Chamber in comparison with Caverject Powder for Injection.</w:t>
      </w:r>
    </w:p>
    <w:p w14:paraId="1432094B" w14:textId="77777777" w:rsidR="003D0A75" w:rsidRDefault="003D0A75" w:rsidP="003E6A11">
      <w:pPr>
        <w:pStyle w:val="Footer"/>
        <w:tabs>
          <w:tab w:val="clear" w:pos="4536"/>
          <w:tab w:val="clear" w:pos="9072"/>
        </w:tabs>
        <w:ind w:left="720" w:right="-514"/>
        <w:rPr>
          <w:rFonts w:ascii="Times New Roman" w:hAnsi="Times New Roman"/>
          <w:lang w:val="en-GB"/>
        </w:rPr>
      </w:pPr>
    </w:p>
    <w:p w14:paraId="5E9B4861" w14:textId="77777777" w:rsidR="000719DF" w:rsidRPr="002B7FE2" w:rsidRDefault="003D0A75" w:rsidP="003E6A11">
      <w:pPr>
        <w:widowControl w:val="0"/>
        <w:tabs>
          <w:tab w:val="left" w:pos="-1440"/>
          <w:tab w:val="left" w:pos="-720"/>
        </w:tabs>
        <w:ind w:left="720" w:right="-514"/>
        <w:rPr>
          <w:u w:val="single"/>
        </w:rPr>
      </w:pPr>
      <w:bookmarkStart w:id="24" w:name="_Toc367689694"/>
      <w:bookmarkStart w:id="25" w:name="_Toc367759066"/>
      <w:bookmarkStart w:id="26" w:name="_Toc367759350"/>
      <w:bookmarkStart w:id="27" w:name="_Toc367759419"/>
      <w:bookmarkStart w:id="28" w:name="_Toc367759813"/>
      <w:bookmarkStart w:id="29" w:name="_Toc367759906"/>
      <w:bookmarkStart w:id="30" w:name="_Toc367851012"/>
      <w:bookmarkStart w:id="31" w:name="_Toc367861850"/>
      <w:bookmarkStart w:id="32" w:name="_Toc367862110"/>
      <w:bookmarkStart w:id="33" w:name="_Toc367862973"/>
      <w:bookmarkStart w:id="34" w:name="_Toc367863118"/>
      <w:bookmarkStart w:id="35" w:name="_Toc367863172"/>
      <w:r w:rsidRPr="002B7FE2">
        <w:rPr>
          <w:u w:val="single"/>
        </w:rPr>
        <w:t>Absorption</w:t>
      </w:r>
    </w:p>
    <w:p w14:paraId="06348BAE" w14:textId="77777777" w:rsidR="000719DF" w:rsidRDefault="000719DF" w:rsidP="003E6A11">
      <w:pPr>
        <w:widowControl w:val="0"/>
        <w:tabs>
          <w:tab w:val="left" w:pos="-1440"/>
          <w:tab w:val="left" w:pos="-720"/>
        </w:tabs>
        <w:ind w:left="720" w:right="-514"/>
      </w:pPr>
    </w:p>
    <w:p w14:paraId="28DF4EE8" w14:textId="77777777" w:rsidR="003D0A75" w:rsidRDefault="003D0A75" w:rsidP="003E6A11">
      <w:pPr>
        <w:widowControl w:val="0"/>
        <w:tabs>
          <w:tab w:val="left" w:pos="-1440"/>
          <w:tab w:val="left" w:pos="-720"/>
        </w:tabs>
        <w:ind w:left="720" w:right="-514"/>
      </w:pPr>
      <w:r>
        <w:t>For the treatment of erectile dysfunction, alprostadil is administered by injection into the corpora cavernosa.</w:t>
      </w:r>
    </w:p>
    <w:p w14:paraId="19E2D2B4" w14:textId="77777777" w:rsidR="003D0A75" w:rsidRDefault="003D0A75" w:rsidP="003E6A11">
      <w:pPr>
        <w:widowControl w:val="0"/>
        <w:tabs>
          <w:tab w:val="left" w:pos="-1440"/>
          <w:tab w:val="left" w:pos="-720"/>
        </w:tabs>
        <w:ind w:left="720" w:right="-514"/>
      </w:pPr>
    </w:p>
    <w:p w14:paraId="2DBA149D" w14:textId="77777777" w:rsidR="000719DF" w:rsidRPr="002B7FE2" w:rsidRDefault="003D0A75" w:rsidP="003E6A11">
      <w:pPr>
        <w:widowControl w:val="0"/>
        <w:tabs>
          <w:tab w:val="left" w:pos="-1440"/>
          <w:tab w:val="left" w:pos="-720"/>
        </w:tabs>
        <w:ind w:left="720" w:right="-514"/>
        <w:rPr>
          <w:u w:val="single"/>
        </w:rPr>
      </w:pPr>
      <w:r w:rsidRPr="002B7FE2">
        <w:rPr>
          <w:u w:val="single"/>
        </w:rPr>
        <w:t xml:space="preserve">Distribution </w:t>
      </w:r>
    </w:p>
    <w:p w14:paraId="56B5A0FA" w14:textId="77777777" w:rsidR="000719DF" w:rsidRDefault="000719DF" w:rsidP="003E6A11">
      <w:pPr>
        <w:widowControl w:val="0"/>
        <w:tabs>
          <w:tab w:val="left" w:pos="-1440"/>
          <w:tab w:val="left" w:pos="-720"/>
        </w:tabs>
        <w:ind w:left="720" w:right="-514"/>
      </w:pPr>
    </w:p>
    <w:p w14:paraId="10ED7DC6" w14:textId="77777777" w:rsidR="003D0A75" w:rsidRDefault="003D0A75" w:rsidP="003E6A11">
      <w:pPr>
        <w:widowControl w:val="0"/>
        <w:tabs>
          <w:tab w:val="left" w:pos="-1440"/>
          <w:tab w:val="left" w:pos="-720"/>
        </w:tabs>
        <w:ind w:left="720" w:right="-514"/>
      </w:pPr>
      <w:r>
        <w:t xml:space="preserve">Following intracavernosal injection of 20 micrograms alprostadil, mean plasma concentrations of alprostadil increased 22 fold from the baseline endogenous levels approximately 5 minutes post-injection. Alprostadil concentrations then returned to endogenous levels within 2 hours after injection.  Alprostadil is bound in plasma primarily to albumin (81% bound) and to a lesser extent </w:t>
      </w:r>
      <w:r>
        <w:sym w:font="Symbol" w:char="F061"/>
      </w:r>
      <w:r>
        <w:t>-globulin IV-4 fraction (55% bound). No significant binding to erythrocytes or white blood cells was observed.</w:t>
      </w:r>
    </w:p>
    <w:p w14:paraId="01FEDE70" w14:textId="77777777" w:rsidR="003D0A75" w:rsidRDefault="003D0A75" w:rsidP="003E6A11">
      <w:pPr>
        <w:widowControl w:val="0"/>
        <w:tabs>
          <w:tab w:val="left" w:pos="-1440"/>
          <w:tab w:val="left" w:pos="-720"/>
        </w:tabs>
        <w:ind w:left="720" w:right="-514"/>
        <w:rPr>
          <w:b/>
        </w:rPr>
      </w:pPr>
    </w:p>
    <w:p w14:paraId="29A8296F" w14:textId="77777777" w:rsidR="000719DF" w:rsidRPr="002B7FE2" w:rsidRDefault="000719DF" w:rsidP="003E6A11">
      <w:pPr>
        <w:tabs>
          <w:tab w:val="left" w:pos="-90"/>
          <w:tab w:val="left" w:pos="720"/>
        </w:tabs>
        <w:suppressAutoHyphens/>
        <w:ind w:left="720" w:right="-514"/>
        <w:rPr>
          <w:u w:val="single"/>
        </w:rPr>
      </w:pPr>
      <w:r w:rsidRPr="000719DF">
        <w:rPr>
          <w:u w:val="single"/>
        </w:rPr>
        <w:t>Biotransformation</w:t>
      </w:r>
    </w:p>
    <w:p w14:paraId="334A4A63" w14:textId="77777777" w:rsidR="000719DF" w:rsidRDefault="000719DF" w:rsidP="003E6A11">
      <w:pPr>
        <w:tabs>
          <w:tab w:val="left" w:pos="-90"/>
          <w:tab w:val="left" w:pos="720"/>
        </w:tabs>
        <w:suppressAutoHyphens/>
        <w:ind w:left="720" w:right="-514"/>
        <w:rPr>
          <w:i/>
        </w:rPr>
      </w:pPr>
    </w:p>
    <w:p w14:paraId="4414983F" w14:textId="77777777" w:rsidR="003D0A75" w:rsidRDefault="003D0A75" w:rsidP="003E6A11">
      <w:pPr>
        <w:tabs>
          <w:tab w:val="left" w:pos="-90"/>
          <w:tab w:val="left" w:pos="720"/>
        </w:tabs>
        <w:suppressAutoHyphens/>
        <w:ind w:left="720" w:right="-514"/>
      </w:pPr>
      <w:r>
        <w:t>Alprostadil is rapidly converted to compounds that are further metaboli</w:t>
      </w:r>
      <w:r w:rsidR="000719DF">
        <w:t>s</w:t>
      </w:r>
      <w:r>
        <w:t>ed prior to excretion. Following intravenous administration, approximately 80% of circulating alprostadil is metaboli</w:t>
      </w:r>
      <w:r w:rsidR="00CF1508">
        <w:t>s</w:t>
      </w:r>
      <w:r>
        <w:t>ed in one pass through the lungs, primarily by beta- and omega-oxidation. Hence, any alprostadil entering the systemic circulation following intracavernosal injection is rapidly metabolized. The primary metabolites of alprostadil are 15-keto-PGE</w:t>
      </w:r>
      <w:r>
        <w:rPr>
          <w:vertAlign w:val="subscript"/>
        </w:rPr>
        <w:t>1</w:t>
      </w:r>
      <w:r>
        <w:t>, 15-keto-13,14-dihydro-PGE</w:t>
      </w:r>
      <w:r>
        <w:rPr>
          <w:vertAlign w:val="subscript"/>
        </w:rPr>
        <w:t>1</w:t>
      </w:r>
      <w:r>
        <w:t>, and 13,14-dihydro-PGE</w:t>
      </w:r>
      <w:r>
        <w:rPr>
          <w:vertAlign w:val="subscript"/>
        </w:rPr>
        <w:t>1</w:t>
      </w:r>
      <w:r>
        <w:t>. In contrast to 15-keto-PGE</w:t>
      </w:r>
      <w:r>
        <w:rPr>
          <w:vertAlign w:val="subscript"/>
        </w:rPr>
        <w:t>1</w:t>
      </w:r>
      <w:r>
        <w:t xml:space="preserve"> and 15-keto-13,14-dihydro-PGE</w:t>
      </w:r>
      <w:r>
        <w:rPr>
          <w:vertAlign w:val="subscript"/>
        </w:rPr>
        <w:t>1</w:t>
      </w:r>
      <w:r>
        <w:t>, which lack almost completely biological activity, 13,14-dihydro-PGE</w:t>
      </w:r>
      <w:r>
        <w:rPr>
          <w:vertAlign w:val="subscript"/>
        </w:rPr>
        <w:t>1</w:t>
      </w:r>
      <w:r>
        <w:t xml:space="preserve"> has been shown to lower blood pressure and inhibit platelet aggregation. Plasma concentrations of the major circulating metabolite (15-keto-13,14-dihydro-PGE</w:t>
      </w:r>
      <w:r>
        <w:rPr>
          <w:vertAlign w:val="subscript"/>
        </w:rPr>
        <w:t>1</w:t>
      </w:r>
      <w:r>
        <w:t>) increased 34 fold from the baseline endogenous levels 10 minutes after the injection and returned to baseline levels 2 hours post-injection. Plasma concentrations of 13,14-dihydro-PGE</w:t>
      </w:r>
      <w:r>
        <w:rPr>
          <w:vertAlign w:val="subscript"/>
        </w:rPr>
        <w:t>1</w:t>
      </w:r>
      <w:r>
        <w:t xml:space="preserve"> increased 7 fold, 20 minutes after injection.</w:t>
      </w:r>
    </w:p>
    <w:p w14:paraId="65219262" w14:textId="77777777" w:rsidR="003D0A75" w:rsidRDefault="003D0A75" w:rsidP="003E6A11">
      <w:pPr>
        <w:widowControl w:val="0"/>
        <w:tabs>
          <w:tab w:val="left" w:pos="-1440"/>
          <w:tab w:val="left" w:pos="-720"/>
          <w:tab w:val="left" w:pos="-90"/>
        </w:tabs>
        <w:ind w:left="720" w:right="-514"/>
      </w:pPr>
    </w:p>
    <w:p w14:paraId="53F9B036" w14:textId="77777777" w:rsidR="000719DF" w:rsidRPr="002B7FE2" w:rsidRDefault="003D0A75" w:rsidP="003E6A11">
      <w:pPr>
        <w:widowControl w:val="0"/>
        <w:tabs>
          <w:tab w:val="left" w:pos="-1440"/>
          <w:tab w:val="left" w:pos="-720"/>
        </w:tabs>
        <w:ind w:left="720" w:right="-514"/>
        <w:rPr>
          <w:u w:val="single"/>
        </w:rPr>
      </w:pPr>
      <w:r w:rsidRPr="002B7FE2">
        <w:rPr>
          <w:u w:val="single"/>
        </w:rPr>
        <w:t>Elimination</w:t>
      </w:r>
    </w:p>
    <w:p w14:paraId="2CE9F610" w14:textId="77777777" w:rsidR="000719DF" w:rsidRDefault="000719DF" w:rsidP="003E6A11">
      <w:pPr>
        <w:widowControl w:val="0"/>
        <w:tabs>
          <w:tab w:val="left" w:pos="-1440"/>
          <w:tab w:val="left" w:pos="-720"/>
        </w:tabs>
        <w:ind w:left="720" w:right="-514"/>
      </w:pPr>
    </w:p>
    <w:p w14:paraId="2691939D" w14:textId="77777777" w:rsidR="003D0A75" w:rsidRDefault="003D0A75" w:rsidP="003E6A11">
      <w:pPr>
        <w:widowControl w:val="0"/>
        <w:tabs>
          <w:tab w:val="left" w:pos="-1440"/>
          <w:tab w:val="left" w:pos="-720"/>
        </w:tabs>
        <w:ind w:left="720" w:right="-514"/>
      </w:pPr>
      <w:r>
        <w:t>The metabolites of alprostadil are excreted primarily by the kidney, with almost 90% of an administered intravenous dose excreted in urine within 24 hours. The remainder of the dose is excreted in the faeces. There is no evidence of tissue retention of alprostadil or its metabolites following intravenous administration. In healthy volunteers, 70% to 90% of alprostadil is extensively extracted and metaboli</w:t>
      </w:r>
      <w:r w:rsidR="00CF1508">
        <w:t>s</w:t>
      </w:r>
      <w:r>
        <w:t>ed in a single pass through the lungs, resulting in a short elimination half-life of less than one minute</w:t>
      </w:r>
      <w:r w:rsidRPr="002B7FE2">
        <w:t>.</w:t>
      </w:r>
    </w:p>
    <w:bookmarkEnd w:id="24"/>
    <w:bookmarkEnd w:id="25"/>
    <w:bookmarkEnd w:id="26"/>
    <w:bookmarkEnd w:id="27"/>
    <w:bookmarkEnd w:id="28"/>
    <w:bookmarkEnd w:id="29"/>
    <w:bookmarkEnd w:id="30"/>
    <w:bookmarkEnd w:id="31"/>
    <w:bookmarkEnd w:id="32"/>
    <w:bookmarkEnd w:id="33"/>
    <w:bookmarkEnd w:id="34"/>
    <w:bookmarkEnd w:id="35"/>
    <w:p w14:paraId="39D8B2AC" w14:textId="77777777" w:rsidR="003D0A75" w:rsidRDefault="003D0A75" w:rsidP="003E6A11">
      <w:pPr>
        <w:pStyle w:val="Heading3"/>
        <w:widowControl w:val="0"/>
        <w:ind w:left="720" w:right="-514"/>
        <w:rPr>
          <w:rFonts w:ascii="Times New Roman" w:hAnsi="Times New Roman"/>
          <w:i w:val="0"/>
          <w:smallCaps w:val="0"/>
          <w:sz w:val="24"/>
          <w:lang w:val="en-GB"/>
        </w:rPr>
      </w:pPr>
    </w:p>
    <w:p w14:paraId="494B32A5" w14:textId="77777777" w:rsidR="000719DF" w:rsidRDefault="000719DF" w:rsidP="003E6A11">
      <w:pPr>
        <w:widowControl w:val="0"/>
        <w:tabs>
          <w:tab w:val="left" w:pos="-1440"/>
          <w:tab w:val="left" w:pos="-720"/>
        </w:tabs>
        <w:ind w:left="720" w:right="-514"/>
        <w:rPr>
          <w:u w:val="single"/>
        </w:rPr>
      </w:pPr>
      <w:r w:rsidRPr="002B7FE2">
        <w:rPr>
          <w:u w:val="single"/>
        </w:rPr>
        <w:t>R</w:t>
      </w:r>
      <w:r w:rsidR="003D0A75" w:rsidRPr="002B7FE2">
        <w:rPr>
          <w:u w:val="single"/>
        </w:rPr>
        <w:t>enal or hepatic impairment</w:t>
      </w:r>
    </w:p>
    <w:p w14:paraId="64E2CCB0" w14:textId="77777777" w:rsidR="000719DF" w:rsidRPr="002B7FE2" w:rsidRDefault="000719DF" w:rsidP="003E6A11">
      <w:pPr>
        <w:widowControl w:val="0"/>
        <w:tabs>
          <w:tab w:val="left" w:pos="-1440"/>
          <w:tab w:val="left" w:pos="-720"/>
        </w:tabs>
        <w:ind w:left="720" w:right="-514"/>
        <w:rPr>
          <w:u w:val="single"/>
        </w:rPr>
      </w:pPr>
    </w:p>
    <w:p w14:paraId="6BD37997" w14:textId="77777777" w:rsidR="003D0A75" w:rsidRDefault="003D0A75" w:rsidP="003E6A11">
      <w:pPr>
        <w:widowControl w:val="0"/>
        <w:tabs>
          <w:tab w:val="left" w:pos="-1440"/>
          <w:tab w:val="left" w:pos="-720"/>
        </w:tabs>
        <w:ind w:left="720" w:right="-514"/>
      </w:pPr>
      <w:r>
        <w:t>Pulmonary first-pass metabolism is the primary factor influencing the systemic clearance of alprostadil. Although the pharmacokinetics of alprostadil have not been formally examined in patients with renal or hepatic</w:t>
      </w:r>
      <w:r w:rsidR="000719DF">
        <w:t xml:space="preserve"> impairment</w:t>
      </w:r>
      <w:r>
        <w:t>, alterations in renal or hepatic function would not be expected to have a major influence on the pharmacokinetics of alprostadil.</w:t>
      </w:r>
    </w:p>
    <w:p w14:paraId="2AEC8726" w14:textId="77777777" w:rsidR="003D0A75" w:rsidRDefault="003D0A75" w:rsidP="003E6A11">
      <w:pPr>
        <w:pStyle w:val="Footer"/>
        <w:tabs>
          <w:tab w:val="clear" w:pos="4536"/>
          <w:tab w:val="clear" w:pos="9072"/>
        </w:tabs>
        <w:ind w:left="720" w:right="-514"/>
        <w:rPr>
          <w:rFonts w:ascii="Times New Roman" w:hAnsi="Times New Roman"/>
          <w:lang w:val="en-GB"/>
        </w:rPr>
      </w:pPr>
    </w:p>
    <w:p w14:paraId="4F0988DB" w14:textId="77777777" w:rsidR="003D0A75" w:rsidRDefault="003D0A75" w:rsidP="003E6A11">
      <w:pPr>
        <w:ind w:right="-514"/>
        <w:rPr>
          <w:b/>
          <w:lang w:val="sv-SE"/>
        </w:rPr>
      </w:pPr>
    </w:p>
    <w:p w14:paraId="3BD42169" w14:textId="77777777" w:rsidR="003D0A75" w:rsidRDefault="003D0A75" w:rsidP="003E6A11">
      <w:pPr>
        <w:ind w:right="-514"/>
        <w:rPr>
          <w:b/>
          <w:lang w:val="sv-SE"/>
        </w:rPr>
      </w:pPr>
      <w:r>
        <w:rPr>
          <w:b/>
          <w:lang w:val="sv-SE"/>
        </w:rPr>
        <w:t xml:space="preserve">5.3 </w:t>
      </w:r>
      <w:r>
        <w:rPr>
          <w:b/>
          <w:lang w:val="sv-SE"/>
        </w:rPr>
        <w:tab/>
        <w:t xml:space="preserve">Preclinical </w:t>
      </w:r>
      <w:r w:rsidR="00851A61">
        <w:rPr>
          <w:b/>
          <w:lang w:val="sv-SE"/>
        </w:rPr>
        <w:t>s</w:t>
      </w:r>
      <w:r>
        <w:rPr>
          <w:b/>
          <w:lang w:val="sv-SE"/>
        </w:rPr>
        <w:t xml:space="preserve">afety </w:t>
      </w:r>
      <w:r w:rsidR="00851A61">
        <w:rPr>
          <w:b/>
          <w:lang w:val="sv-SE"/>
        </w:rPr>
        <w:t>d</w:t>
      </w:r>
      <w:r>
        <w:rPr>
          <w:b/>
          <w:lang w:val="sv-SE"/>
        </w:rPr>
        <w:t>ata</w:t>
      </w:r>
    </w:p>
    <w:p w14:paraId="5412898B" w14:textId="77777777" w:rsidR="003D0A75" w:rsidRDefault="003D0A75" w:rsidP="003E6A11">
      <w:pPr>
        <w:pStyle w:val="Heading2"/>
        <w:keepLines/>
        <w:tabs>
          <w:tab w:val="left" w:pos="-1440"/>
          <w:tab w:val="left" w:pos="-720"/>
        </w:tabs>
        <w:ind w:left="720" w:right="-514"/>
        <w:rPr>
          <w:i w:val="0"/>
          <w:u w:val="single"/>
        </w:rPr>
      </w:pPr>
    </w:p>
    <w:p w14:paraId="66336F83" w14:textId="77777777" w:rsidR="003D0A75" w:rsidRDefault="003D0A75" w:rsidP="003E6A11">
      <w:pPr>
        <w:autoSpaceDE w:val="0"/>
        <w:autoSpaceDN w:val="0"/>
        <w:adjustRightInd w:val="0"/>
        <w:ind w:left="709" w:right="-514"/>
      </w:pPr>
      <w:r>
        <w:t>Preclinical effects were observed only at exposures considered sufficiently in excess of the maximum human exposure indicating little relevance to clinical use.</w:t>
      </w:r>
    </w:p>
    <w:p w14:paraId="5E49E282" w14:textId="77777777" w:rsidR="003D0A75" w:rsidRDefault="003D0A75" w:rsidP="003E6A11">
      <w:pPr>
        <w:autoSpaceDE w:val="0"/>
        <w:autoSpaceDN w:val="0"/>
        <w:adjustRightInd w:val="0"/>
        <w:ind w:right="-514"/>
      </w:pPr>
    </w:p>
    <w:p w14:paraId="538380F9" w14:textId="77777777" w:rsidR="003D0A75" w:rsidRDefault="003D0A75" w:rsidP="003E6A11">
      <w:pPr>
        <w:widowControl w:val="0"/>
        <w:tabs>
          <w:tab w:val="left" w:pos="-1440"/>
          <w:tab w:val="left" w:pos="-720"/>
        </w:tabs>
        <w:ind w:left="720" w:right="-514"/>
      </w:pPr>
      <w:r>
        <w:t>Alprostadil at subcutaneous doses of up to 0.2 mg/kg/day had no adverse effect on the reproductive function in male rats</w:t>
      </w:r>
      <w:r w:rsidR="000719DF">
        <w:t>.</w:t>
      </w:r>
    </w:p>
    <w:p w14:paraId="76F7B1F0" w14:textId="77777777" w:rsidR="003D0A75" w:rsidRDefault="003D0A75" w:rsidP="003E6A11">
      <w:pPr>
        <w:widowControl w:val="0"/>
        <w:tabs>
          <w:tab w:val="left" w:pos="-1440"/>
          <w:tab w:val="left" w:pos="-720"/>
        </w:tabs>
        <w:ind w:left="720" w:right="-514"/>
      </w:pPr>
    </w:p>
    <w:p w14:paraId="17722A18" w14:textId="77777777" w:rsidR="003D0A75" w:rsidRDefault="003D0A75" w:rsidP="003E6A11">
      <w:pPr>
        <w:widowControl w:val="0"/>
        <w:tabs>
          <w:tab w:val="left" w:pos="-1440"/>
          <w:tab w:val="left" w:pos="-720"/>
        </w:tabs>
        <w:ind w:left="720" w:right="-514"/>
      </w:pPr>
      <w:r>
        <w:t>A standard battery of genotoxicity studies revealed no mutagenic potential of alprostadil or alprostadil/alfadex.</w:t>
      </w:r>
    </w:p>
    <w:p w14:paraId="11C58F66" w14:textId="77777777" w:rsidR="003D0A75" w:rsidRDefault="003D0A75" w:rsidP="003E6A11">
      <w:pPr>
        <w:ind w:right="-514"/>
      </w:pPr>
    </w:p>
    <w:p w14:paraId="631AE3C4" w14:textId="77777777" w:rsidR="003D0A75" w:rsidRDefault="003D0A75" w:rsidP="003E6A11">
      <w:pPr>
        <w:ind w:right="-514"/>
      </w:pPr>
    </w:p>
    <w:p w14:paraId="19A0BA63" w14:textId="77777777" w:rsidR="00851A61" w:rsidRDefault="00851A61" w:rsidP="00851A61">
      <w:pPr>
        <w:ind w:right="-514"/>
        <w:rPr>
          <w:b/>
        </w:rPr>
      </w:pPr>
      <w:bookmarkStart w:id="36" w:name="_Toc367689687"/>
      <w:bookmarkStart w:id="37" w:name="_Toc367759059"/>
      <w:bookmarkStart w:id="38" w:name="_Toc367759343"/>
      <w:bookmarkStart w:id="39" w:name="_Toc367759412"/>
      <w:bookmarkStart w:id="40" w:name="_Toc367759806"/>
      <w:bookmarkStart w:id="41" w:name="_Toc367759899"/>
      <w:bookmarkStart w:id="42" w:name="_Toc367851005"/>
      <w:bookmarkStart w:id="43" w:name="_Toc367861843"/>
      <w:bookmarkStart w:id="44" w:name="_Toc367862103"/>
      <w:bookmarkStart w:id="45" w:name="_Toc367862966"/>
      <w:bookmarkStart w:id="46" w:name="_Toc367863111"/>
      <w:bookmarkStart w:id="47" w:name="_Toc367863165"/>
      <w:bookmarkStart w:id="48" w:name="_Toc367689695"/>
      <w:bookmarkStart w:id="49" w:name="_Toc367759067"/>
      <w:bookmarkStart w:id="50" w:name="_Toc367759351"/>
      <w:bookmarkStart w:id="51" w:name="_Toc367759420"/>
      <w:bookmarkStart w:id="52" w:name="_Toc367759814"/>
      <w:bookmarkStart w:id="53" w:name="_Toc367759907"/>
      <w:bookmarkStart w:id="54" w:name="_Toc367851013"/>
      <w:bookmarkStart w:id="55" w:name="_Toc367861851"/>
      <w:bookmarkStart w:id="56" w:name="_Toc367862111"/>
      <w:bookmarkStart w:id="57" w:name="_Toc367862974"/>
      <w:bookmarkStart w:id="58" w:name="_Toc367863119"/>
      <w:bookmarkStart w:id="59" w:name="_Toc367863173"/>
      <w:bookmarkEnd w:id="0"/>
      <w:bookmarkEnd w:id="1"/>
      <w:bookmarkEnd w:id="2"/>
      <w:bookmarkEnd w:id="3"/>
      <w:bookmarkEnd w:id="4"/>
      <w:bookmarkEnd w:id="5"/>
      <w:bookmarkEnd w:id="6"/>
      <w:bookmarkEnd w:id="7"/>
      <w:bookmarkEnd w:id="8"/>
      <w:bookmarkEnd w:id="9"/>
      <w:bookmarkEnd w:id="10"/>
      <w:bookmarkEnd w:id="11"/>
      <w:r>
        <w:rPr>
          <w:b/>
        </w:rPr>
        <w:t>6.</w:t>
      </w:r>
      <w:r>
        <w:rPr>
          <w:b/>
        </w:rPr>
        <w:tab/>
        <w:t>PHARMACEUTICAL PARTICULARS</w:t>
      </w:r>
    </w:p>
    <w:p w14:paraId="461B15D2" w14:textId="77777777" w:rsidR="003D0A75" w:rsidRDefault="003D0A75" w:rsidP="003E6A11">
      <w:pPr>
        <w:ind w:right="-514"/>
        <w:rPr>
          <w:b/>
        </w:rPr>
      </w:pPr>
    </w:p>
    <w:p w14:paraId="1820F96D" w14:textId="77777777" w:rsidR="003D0A75" w:rsidRDefault="003D0A75" w:rsidP="003E6A11">
      <w:pPr>
        <w:ind w:right="-514"/>
        <w:rPr>
          <w:b/>
        </w:rPr>
      </w:pPr>
      <w:r>
        <w:rPr>
          <w:b/>
        </w:rPr>
        <w:t>6.1</w:t>
      </w:r>
      <w:r>
        <w:rPr>
          <w:b/>
        </w:rPr>
        <w:tab/>
        <w:t xml:space="preserve">List of </w:t>
      </w:r>
      <w:r w:rsidR="00851A61">
        <w:rPr>
          <w:b/>
        </w:rPr>
        <w:t>e</w:t>
      </w:r>
      <w:r>
        <w:rPr>
          <w:b/>
        </w:rPr>
        <w:t>xcipients</w:t>
      </w:r>
    </w:p>
    <w:p w14:paraId="440D7FCC" w14:textId="77777777" w:rsidR="003D0A75" w:rsidRDefault="003D0A75" w:rsidP="003E6A11">
      <w:pPr>
        <w:pStyle w:val="Footer"/>
        <w:tabs>
          <w:tab w:val="clear" w:pos="4536"/>
          <w:tab w:val="clear" w:pos="9072"/>
        </w:tabs>
        <w:ind w:right="-514"/>
        <w:rPr>
          <w:rFonts w:ascii="Times New Roman" w:hAnsi="Times New Roman"/>
          <w:lang w:val="en-GB"/>
        </w:rPr>
      </w:pPr>
    </w:p>
    <w:p w14:paraId="54EC8D99" w14:textId="77777777" w:rsidR="003D0A75" w:rsidRDefault="003D0A75" w:rsidP="003E6A11">
      <w:pPr>
        <w:pStyle w:val="BodyTextIndent"/>
        <w:tabs>
          <w:tab w:val="left" w:pos="2340"/>
        </w:tabs>
        <w:ind w:right="-514"/>
        <w:rPr>
          <w:lang w:val="en-GB"/>
        </w:rPr>
      </w:pPr>
      <w:r>
        <w:rPr>
          <w:lang w:val="en-GB"/>
        </w:rPr>
        <w:t>Caverject Dual Chamber powder:</w:t>
      </w:r>
      <w:r>
        <w:rPr>
          <w:lang w:val="en-GB"/>
        </w:rPr>
        <w:tab/>
        <w:t xml:space="preserve">Lactose </w:t>
      </w:r>
      <w:r w:rsidR="000719DF">
        <w:rPr>
          <w:lang w:val="en-GB"/>
        </w:rPr>
        <w:t>m</w:t>
      </w:r>
      <w:r>
        <w:rPr>
          <w:lang w:val="en-GB"/>
        </w:rPr>
        <w:t>onohydrate</w:t>
      </w:r>
    </w:p>
    <w:p w14:paraId="12011448" w14:textId="77777777" w:rsidR="003D0A75" w:rsidRDefault="003D0A75" w:rsidP="003E6A11">
      <w:pPr>
        <w:pStyle w:val="BodyTextIndent"/>
        <w:tabs>
          <w:tab w:val="left" w:pos="2340"/>
        </w:tabs>
        <w:ind w:left="4320" w:right="-514"/>
        <w:rPr>
          <w:lang w:val="en-GB"/>
        </w:rPr>
      </w:pPr>
      <w:r>
        <w:rPr>
          <w:lang w:val="en-GB"/>
        </w:rPr>
        <w:t>Sodium citrate</w:t>
      </w:r>
    </w:p>
    <w:p w14:paraId="4E73BEA2" w14:textId="77777777" w:rsidR="003D0A75" w:rsidRDefault="003D0A75" w:rsidP="003E6A11">
      <w:pPr>
        <w:tabs>
          <w:tab w:val="left" w:pos="2340"/>
        </w:tabs>
        <w:ind w:left="4320" w:right="-514"/>
      </w:pPr>
      <w:r>
        <w:t>Alfadex</w:t>
      </w:r>
    </w:p>
    <w:p w14:paraId="49653AB2" w14:textId="77777777" w:rsidR="003D0A75" w:rsidRDefault="003D0A75" w:rsidP="003E6A11">
      <w:pPr>
        <w:tabs>
          <w:tab w:val="left" w:pos="2340"/>
        </w:tabs>
        <w:ind w:left="4320" w:right="-514"/>
      </w:pPr>
      <w:r>
        <w:t>Hydrochloric acid</w:t>
      </w:r>
      <w:r w:rsidR="000719DF">
        <w:t xml:space="preserve"> </w:t>
      </w:r>
      <w:r w:rsidR="00CF1508">
        <w:t>(for pH-</w:t>
      </w:r>
      <w:r w:rsidR="000719DF" w:rsidRPr="000719DF">
        <w:t>adjustment)</w:t>
      </w:r>
    </w:p>
    <w:p w14:paraId="4B89A371" w14:textId="77777777" w:rsidR="003D0A75" w:rsidRDefault="003D0A75" w:rsidP="003E6A11">
      <w:pPr>
        <w:tabs>
          <w:tab w:val="left" w:pos="2340"/>
        </w:tabs>
        <w:ind w:left="4320" w:right="-514"/>
      </w:pPr>
      <w:r>
        <w:t>Sodium hydroxide</w:t>
      </w:r>
      <w:r w:rsidR="000719DF">
        <w:t xml:space="preserve"> </w:t>
      </w:r>
      <w:r w:rsidR="00CF1508">
        <w:t>(for pH-</w:t>
      </w:r>
      <w:r w:rsidR="000719DF" w:rsidRPr="000719DF">
        <w:t>adjustment)</w:t>
      </w:r>
    </w:p>
    <w:p w14:paraId="7A500BA6" w14:textId="77777777" w:rsidR="003D0A75" w:rsidRDefault="003D0A75" w:rsidP="003E6A11">
      <w:pPr>
        <w:pStyle w:val="BodyTextIndent"/>
        <w:tabs>
          <w:tab w:val="left" w:pos="2340"/>
        </w:tabs>
        <w:ind w:right="-514"/>
        <w:rPr>
          <w:lang w:val="en-GB"/>
        </w:rPr>
      </w:pPr>
    </w:p>
    <w:p w14:paraId="6BDBEB32" w14:textId="77777777" w:rsidR="003D0A75" w:rsidRDefault="003D0A75" w:rsidP="003E6A11">
      <w:pPr>
        <w:pStyle w:val="BodyTextIndent"/>
        <w:tabs>
          <w:tab w:val="left" w:pos="2340"/>
        </w:tabs>
        <w:ind w:right="-514"/>
        <w:rPr>
          <w:lang w:val="en-GB"/>
        </w:rPr>
      </w:pPr>
      <w:r>
        <w:rPr>
          <w:lang w:val="en-GB"/>
        </w:rPr>
        <w:t>Diluent:</w:t>
      </w:r>
      <w:r>
        <w:rPr>
          <w:lang w:val="en-GB"/>
        </w:rPr>
        <w:tab/>
      </w:r>
      <w:r>
        <w:rPr>
          <w:lang w:val="en-GB"/>
        </w:rPr>
        <w:tab/>
      </w:r>
      <w:r>
        <w:rPr>
          <w:lang w:val="en-GB"/>
        </w:rPr>
        <w:tab/>
      </w:r>
      <w:r>
        <w:rPr>
          <w:lang w:val="en-GB"/>
        </w:rPr>
        <w:tab/>
        <w:t>Benzyl alcohol</w:t>
      </w:r>
      <w:r w:rsidR="000719DF" w:rsidRPr="000719DF">
        <w:rPr>
          <w:lang w:val="en-GB"/>
        </w:rPr>
        <w:t xml:space="preserve"> </w:t>
      </w:r>
    </w:p>
    <w:p w14:paraId="6EDABBCC" w14:textId="77777777" w:rsidR="003D0A75" w:rsidRDefault="003D0A75" w:rsidP="003E6A11">
      <w:pPr>
        <w:tabs>
          <w:tab w:val="left" w:pos="2340"/>
        </w:tabs>
        <w:ind w:left="4320" w:right="-514"/>
      </w:pPr>
      <w:r>
        <w:t>Water for injections</w:t>
      </w:r>
      <w:r w:rsidR="000719DF" w:rsidRPr="000719DF">
        <w:t xml:space="preserve"> </w:t>
      </w:r>
    </w:p>
    <w:p w14:paraId="58636AD5" w14:textId="77777777" w:rsidR="003D0A75" w:rsidRDefault="003D0A75" w:rsidP="003E6A11">
      <w:pPr>
        <w:ind w:right="-514"/>
        <w:rPr>
          <w:b/>
        </w:rPr>
      </w:pPr>
    </w:p>
    <w:p w14:paraId="7906529B" w14:textId="77777777" w:rsidR="003D0A75" w:rsidRDefault="003D0A75" w:rsidP="003E6A11">
      <w:pPr>
        <w:ind w:right="-514"/>
        <w:rPr>
          <w:b/>
        </w:rPr>
      </w:pPr>
      <w:r>
        <w:rPr>
          <w:b/>
        </w:rPr>
        <w:t>6.2</w:t>
      </w:r>
      <w:r>
        <w:rPr>
          <w:b/>
        </w:rPr>
        <w:tab/>
        <w:t>Incompatibilities</w:t>
      </w:r>
    </w:p>
    <w:p w14:paraId="029BED5D" w14:textId="77777777" w:rsidR="003D0A75" w:rsidRDefault="003D0A75" w:rsidP="003E6A11">
      <w:pPr>
        <w:ind w:left="720" w:right="-514"/>
      </w:pPr>
    </w:p>
    <w:p w14:paraId="32EDAF60" w14:textId="77777777" w:rsidR="003D0A75" w:rsidRDefault="003D0A75" w:rsidP="003E6A11">
      <w:pPr>
        <w:pStyle w:val="BodyTextIndent"/>
        <w:ind w:right="-514"/>
        <w:rPr>
          <w:lang w:val="en-GB"/>
        </w:rPr>
      </w:pPr>
      <w:r>
        <w:rPr>
          <w:lang w:val="en-GB"/>
        </w:rPr>
        <w:t>Not applicable.</w:t>
      </w:r>
    </w:p>
    <w:p w14:paraId="636DBE42" w14:textId="77777777" w:rsidR="003D0A75" w:rsidRDefault="003D0A75" w:rsidP="003E6A11">
      <w:pPr>
        <w:ind w:right="-514"/>
      </w:pPr>
    </w:p>
    <w:p w14:paraId="0428C64B" w14:textId="77777777" w:rsidR="003D0A75" w:rsidRDefault="003D0A75" w:rsidP="003E6A11">
      <w:pPr>
        <w:ind w:right="-514"/>
        <w:rPr>
          <w:b/>
        </w:rPr>
      </w:pPr>
      <w:r>
        <w:rPr>
          <w:b/>
        </w:rPr>
        <w:t>6.3</w:t>
      </w:r>
      <w:r>
        <w:rPr>
          <w:b/>
        </w:rPr>
        <w:tab/>
        <w:t>Shelf life</w:t>
      </w:r>
    </w:p>
    <w:p w14:paraId="2B4BD655" w14:textId="77777777" w:rsidR="003D0A75" w:rsidRDefault="003D0A75" w:rsidP="003E6A11">
      <w:pPr>
        <w:ind w:left="720" w:right="-514"/>
      </w:pPr>
    </w:p>
    <w:p w14:paraId="176A3F5E" w14:textId="77777777" w:rsidR="003D0A75" w:rsidRDefault="003D0A75" w:rsidP="003E6A11">
      <w:pPr>
        <w:pStyle w:val="BodyTextIndent"/>
        <w:ind w:right="-514"/>
        <w:rPr>
          <w:u w:val="single"/>
          <w:lang w:val="en-GB"/>
        </w:rPr>
      </w:pPr>
      <w:r>
        <w:rPr>
          <w:u w:val="single"/>
          <w:lang w:val="en-GB"/>
        </w:rPr>
        <w:t>Shelf life of the medicinal product as packaged for sale</w:t>
      </w:r>
    </w:p>
    <w:p w14:paraId="620DAD5F" w14:textId="77777777" w:rsidR="003D0A75" w:rsidRDefault="003D0A75" w:rsidP="003E6A11">
      <w:pPr>
        <w:pStyle w:val="BodyTextIndent"/>
        <w:ind w:right="-514"/>
        <w:rPr>
          <w:lang w:val="en-GB"/>
        </w:rPr>
      </w:pPr>
      <w:r>
        <w:rPr>
          <w:lang w:val="en-GB"/>
        </w:rPr>
        <w:t>36 months.</w:t>
      </w:r>
    </w:p>
    <w:p w14:paraId="41C10681" w14:textId="77777777" w:rsidR="003D0A75" w:rsidRDefault="003D0A75" w:rsidP="003E6A11">
      <w:pPr>
        <w:pStyle w:val="BodyTextIndent"/>
        <w:ind w:right="-514"/>
        <w:rPr>
          <w:lang w:val="en-GB"/>
        </w:rPr>
      </w:pPr>
    </w:p>
    <w:p w14:paraId="25235968" w14:textId="77777777" w:rsidR="003D0A75" w:rsidRDefault="003D0A75" w:rsidP="003E6A11">
      <w:pPr>
        <w:pStyle w:val="BodyTextIndent"/>
        <w:ind w:right="-514"/>
        <w:rPr>
          <w:u w:val="single"/>
          <w:lang w:val="en-GB"/>
        </w:rPr>
      </w:pPr>
      <w:r>
        <w:rPr>
          <w:u w:val="single"/>
          <w:lang w:val="en-GB"/>
        </w:rPr>
        <w:t xml:space="preserve">Shelf life of the medicinal product after </w:t>
      </w:r>
      <w:r>
        <w:rPr>
          <w:u w:val="single"/>
        </w:rPr>
        <w:t>reconstitution</w:t>
      </w:r>
    </w:p>
    <w:p w14:paraId="5829BCC0" w14:textId="77777777" w:rsidR="003D0A75" w:rsidRDefault="003D0A75" w:rsidP="003E6A11">
      <w:pPr>
        <w:ind w:left="720" w:right="-514"/>
        <w:rPr>
          <w:b/>
        </w:rPr>
      </w:pPr>
      <w:r>
        <w:t>Chemical and physical in-use stability has been demonstrated for 24 hours at 25</w:t>
      </w:r>
      <w:r>
        <w:sym w:font="Symbol" w:char="F0B0"/>
      </w:r>
      <w:r>
        <w:t>C</w:t>
      </w:r>
      <w:r w:rsidR="00CF1508">
        <w:t>.</w:t>
      </w:r>
    </w:p>
    <w:p w14:paraId="543B0703" w14:textId="77777777" w:rsidR="003D0A75" w:rsidRDefault="003D0A75" w:rsidP="003E6A11">
      <w:pPr>
        <w:ind w:right="-514"/>
      </w:pPr>
    </w:p>
    <w:p w14:paraId="7788E231" w14:textId="77777777" w:rsidR="003D0A75" w:rsidRDefault="003D0A75" w:rsidP="003E6A11">
      <w:pPr>
        <w:ind w:right="-514"/>
        <w:rPr>
          <w:b/>
        </w:rPr>
      </w:pPr>
      <w:r>
        <w:rPr>
          <w:b/>
        </w:rPr>
        <w:t>6.4</w:t>
      </w:r>
      <w:r>
        <w:rPr>
          <w:b/>
        </w:rPr>
        <w:tab/>
        <w:t xml:space="preserve">Special </w:t>
      </w:r>
      <w:r w:rsidR="00851A61">
        <w:rPr>
          <w:b/>
        </w:rPr>
        <w:t>p</w:t>
      </w:r>
      <w:r>
        <w:rPr>
          <w:b/>
        </w:rPr>
        <w:t xml:space="preserve">recautions for </w:t>
      </w:r>
      <w:r w:rsidR="00851A61">
        <w:rPr>
          <w:b/>
        </w:rPr>
        <w:t>s</w:t>
      </w:r>
      <w:r>
        <w:rPr>
          <w:b/>
        </w:rPr>
        <w:t>torage</w:t>
      </w:r>
    </w:p>
    <w:p w14:paraId="595A656A" w14:textId="77777777" w:rsidR="003D0A75" w:rsidRDefault="003D0A75" w:rsidP="003E6A11">
      <w:pPr>
        <w:ind w:left="720" w:right="-514"/>
      </w:pPr>
    </w:p>
    <w:p w14:paraId="7BF177D5" w14:textId="77777777" w:rsidR="000719DF" w:rsidRDefault="000719DF" w:rsidP="003E6A11">
      <w:pPr>
        <w:pStyle w:val="BodyTextIndent"/>
        <w:ind w:right="-514"/>
        <w:rPr>
          <w:lang w:val="en-GB"/>
        </w:rPr>
      </w:pPr>
      <w:r w:rsidRPr="000719DF">
        <w:rPr>
          <w:lang w:val="en-GB"/>
        </w:rPr>
        <w:t xml:space="preserve">This medicinal product does not require any special storage conditions. </w:t>
      </w:r>
    </w:p>
    <w:p w14:paraId="798F2EE5" w14:textId="77777777" w:rsidR="000719DF" w:rsidRDefault="000719DF" w:rsidP="003E6A11">
      <w:pPr>
        <w:pStyle w:val="BodyTextIndent"/>
        <w:ind w:right="-514"/>
        <w:rPr>
          <w:lang w:val="en-GB"/>
        </w:rPr>
      </w:pPr>
    </w:p>
    <w:p w14:paraId="05070599" w14:textId="77777777" w:rsidR="003D0A75" w:rsidRDefault="000719DF" w:rsidP="003E6A11">
      <w:pPr>
        <w:pStyle w:val="BodyTextIndent"/>
        <w:ind w:right="-514"/>
        <w:rPr>
          <w:lang w:val="en-GB"/>
        </w:rPr>
      </w:pPr>
      <w:r w:rsidRPr="000719DF">
        <w:rPr>
          <w:lang w:val="en-GB"/>
        </w:rPr>
        <w:t>For storage conditions after reconstitution of the medicinal product, see section 6.3.</w:t>
      </w:r>
    </w:p>
    <w:p w14:paraId="796E828A" w14:textId="77777777" w:rsidR="003D0A75" w:rsidRDefault="003D0A75" w:rsidP="003E6A11">
      <w:pPr>
        <w:ind w:right="-514"/>
      </w:pPr>
    </w:p>
    <w:p w14:paraId="1F92DEAC" w14:textId="77777777" w:rsidR="003D0A75" w:rsidRDefault="003D0A75" w:rsidP="003E6A11">
      <w:pPr>
        <w:ind w:right="-514"/>
        <w:rPr>
          <w:b/>
        </w:rPr>
      </w:pPr>
      <w:r>
        <w:rPr>
          <w:b/>
        </w:rPr>
        <w:t>6.5</w:t>
      </w:r>
      <w:r>
        <w:rPr>
          <w:b/>
        </w:rPr>
        <w:tab/>
        <w:t xml:space="preserve">Nature and </w:t>
      </w:r>
      <w:r w:rsidR="00851A61">
        <w:rPr>
          <w:b/>
        </w:rPr>
        <w:t>c</w:t>
      </w:r>
      <w:r>
        <w:rPr>
          <w:b/>
        </w:rPr>
        <w:t xml:space="preserve">ontents of </w:t>
      </w:r>
      <w:r w:rsidR="00851A61">
        <w:rPr>
          <w:b/>
        </w:rPr>
        <w:t>c</w:t>
      </w:r>
      <w:r>
        <w:rPr>
          <w:b/>
        </w:rPr>
        <w:t>ontainer</w:t>
      </w:r>
    </w:p>
    <w:p w14:paraId="60752DBF" w14:textId="77777777" w:rsidR="003D0A75" w:rsidRDefault="003D0A75" w:rsidP="003E6A11">
      <w:pPr>
        <w:ind w:left="720" w:right="-514"/>
      </w:pPr>
    </w:p>
    <w:p w14:paraId="0A68DA3F" w14:textId="77777777" w:rsidR="003D0A75" w:rsidRDefault="003D0A75" w:rsidP="003E6A11">
      <w:pPr>
        <w:ind w:left="720" w:right="-514"/>
      </w:pPr>
      <w:r>
        <w:t>Two or ten*, Type I, Ph. Eur, clear, borosilicate glass cartridges divided into two compartments and sealed with a bromobutyl rubber plunger.  The cartridge is sealed with an aluminium cap containing a bromobutyl rubber disc.</w:t>
      </w:r>
    </w:p>
    <w:p w14:paraId="73895EE7" w14:textId="77777777" w:rsidR="003D0A75" w:rsidRDefault="003D0A75" w:rsidP="003E6A11">
      <w:pPr>
        <w:ind w:left="720" w:right="-514"/>
      </w:pPr>
    </w:p>
    <w:p w14:paraId="780AB0B6" w14:textId="77777777" w:rsidR="003D0A75" w:rsidRDefault="003D0A75" w:rsidP="003E6A11">
      <w:pPr>
        <w:ind w:left="720" w:right="-514"/>
      </w:pPr>
      <w:r>
        <w:t>Two or ten* 29 G injection needles.</w:t>
      </w:r>
    </w:p>
    <w:p w14:paraId="4D2A2C6E" w14:textId="77777777" w:rsidR="003D0A75" w:rsidRDefault="003D0A75" w:rsidP="003E6A11">
      <w:pPr>
        <w:pStyle w:val="BodyTextIndent"/>
        <w:ind w:right="-514"/>
        <w:rPr>
          <w:lang w:val="en-GB"/>
        </w:rPr>
      </w:pPr>
      <w:r>
        <w:rPr>
          <w:lang w:val="en-GB"/>
        </w:rPr>
        <w:t>Four or twenty*, pouches containing isopropyl cleansing tissues.</w:t>
      </w:r>
    </w:p>
    <w:p w14:paraId="65F74A9B" w14:textId="77777777" w:rsidR="003D0A75" w:rsidRDefault="003D0A75" w:rsidP="003E6A11">
      <w:pPr>
        <w:ind w:left="720" w:right="-514"/>
        <w:rPr>
          <w:b/>
          <w:bCs/>
        </w:rPr>
      </w:pPr>
    </w:p>
    <w:p w14:paraId="5AF6038F" w14:textId="77777777" w:rsidR="003D0A75" w:rsidRDefault="003D0A75" w:rsidP="00C002BA">
      <w:pPr>
        <w:pStyle w:val="BodyTextIndent"/>
        <w:ind w:right="-514"/>
        <w:rPr>
          <w:lang w:val="en-GB"/>
        </w:rPr>
      </w:pPr>
      <w:r>
        <w:rPr>
          <w:lang w:val="en-GB"/>
        </w:rPr>
        <w:t>*Not all pack sizes may be marketed.</w:t>
      </w:r>
    </w:p>
    <w:p w14:paraId="2AF36A54" w14:textId="77777777" w:rsidR="003D0A75" w:rsidRDefault="003D0A75" w:rsidP="003E6A11">
      <w:pPr>
        <w:pStyle w:val="Footer"/>
        <w:tabs>
          <w:tab w:val="clear" w:pos="4536"/>
          <w:tab w:val="clear" w:pos="9072"/>
        </w:tabs>
        <w:ind w:right="-514"/>
        <w:rPr>
          <w:rFonts w:ascii="Times New Roman" w:hAnsi="Times New Roman"/>
          <w:lang w:val="en-GB"/>
        </w:rPr>
      </w:pPr>
    </w:p>
    <w:p w14:paraId="5742E923" w14:textId="77777777" w:rsidR="003D0A75" w:rsidRDefault="003D0A75" w:rsidP="003E6A11">
      <w:pPr>
        <w:ind w:right="-514"/>
        <w:rPr>
          <w:b/>
        </w:rPr>
      </w:pPr>
      <w:r>
        <w:rPr>
          <w:b/>
        </w:rPr>
        <w:t xml:space="preserve">6.6  </w:t>
      </w:r>
      <w:r>
        <w:rPr>
          <w:b/>
        </w:rPr>
        <w:tab/>
      </w:r>
      <w:r w:rsidR="00851A61">
        <w:rPr>
          <w:b/>
        </w:rPr>
        <w:t xml:space="preserve">Special precautions for </w:t>
      </w:r>
      <w:r w:rsidR="0029652D">
        <w:rPr>
          <w:b/>
        </w:rPr>
        <w:t>disposal</w:t>
      </w:r>
      <w:r w:rsidR="000719DF">
        <w:rPr>
          <w:b/>
        </w:rPr>
        <w:t xml:space="preserve"> </w:t>
      </w:r>
      <w:r w:rsidR="000719DF" w:rsidRPr="000719DF">
        <w:rPr>
          <w:b/>
        </w:rPr>
        <w:t>and other handling</w:t>
      </w:r>
    </w:p>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14:paraId="3CF6CEA3" w14:textId="77777777" w:rsidR="003D0A75" w:rsidRDefault="003D0A75" w:rsidP="003E6A11">
      <w:pPr>
        <w:ind w:left="720" w:right="-514"/>
      </w:pPr>
    </w:p>
    <w:p w14:paraId="636224C5" w14:textId="77777777" w:rsidR="003D0A75" w:rsidRDefault="003D0A75" w:rsidP="003E6A11">
      <w:pPr>
        <w:pStyle w:val="Heading5"/>
        <w:ind w:right="-514"/>
        <w:rPr>
          <w:lang w:val="sv-SE"/>
        </w:rPr>
      </w:pPr>
      <w:r>
        <w:rPr>
          <w:lang w:val="sv-SE"/>
        </w:rPr>
        <w:t>Instructions for use</w:t>
      </w:r>
    </w:p>
    <w:p w14:paraId="47298670" w14:textId="77777777" w:rsidR="000719DF" w:rsidRPr="000719DF" w:rsidRDefault="000719DF" w:rsidP="002B7FE2">
      <w:pPr>
        <w:rPr>
          <w:lang w:val="sv-SE"/>
        </w:rPr>
      </w:pPr>
    </w:p>
    <w:p w14:paraId="1F174D9B" w14:textId="77777777" w:rsidR="003D0A75" w:rsidRDefault="003D0A75" w:rsidP="003E6A11">
      <w:pPr>
        <w:ind w:left="720" w:right="-514"/>
      </w:pPr>
      <w:r>
        <w:t>To perform the reconstitution, attach the needle to the device by pressing the needle onto the tip of the device and turning clockwise until it stops. Remove the outer protective cap of the needle. Turn the plunger rod clockwise until it stops to reconstitute the alprostadil powder. Invert the device twice in order to make sure the solution is evenly mixed. The solution should be clear. Carefully remove the inner protective cap from the needle.  Holding the device upright, press the plunger rod as far as it will go. A few drops will appear at the needle tip. Turn the end of the plunger rod clockwise to select the desired dose.</w:t>
      </w:r>
    </w:p>
    <w:p w14:paraId="5C0901C2" w14:textId="77777777" w:rsidR="003D0A75" w:rsidRDefault="003D0A75" w:rsidP="003E6A11">
      <w:pPr>
        <w:ind w:left="720" w:right="-514"/>
      </w:pPr>
    </w:p>
    <w:p w14:paraId="60955022" w14:textId="77777777" w:rsidR="003D0A75" w:rsidRDefault="003D0A75" w:rsidP="003E6A11">
      <w:pPr>
        <w:ind w:left="720" w:right="-514"/>
      </w:pPr>
      <w:r>
        <w:t xml:space="preserve">The package insert provides full instructions on reconstitution, cleansing </w:t>
      </w:r>
      <w:r w:rsidR="000719DF">
        <w:t xml:space="preserve">of </w:t>
      </w:r>
      <w:r>
        <w:t>the injection site, and also how to perform the injection.</w:t>
      </w:r>
    </w:p>
    <w:p w14:paraId="5B300E54" w14:textId="77777777" w:rsidR="000719DF" w:rsidRDefault="000719DF" w:rsidP="002B7FE2">
      <w:pPr>
        <w:ind w:right="-514"/>
      </w:pPr>
    </w:p>
    <w:p w14:paraId="5DA28E85" w14:textId="77777777" w:rsidR="003D0A75" w:rsidRDefault="000719DF" w:rsidP="002B7FE2">
      <w:pPr>
        <w:ind w:left="720" w:right="-514"/>
      </w:pPr>
      <w:r w:rsidRPr="000719DF">
        <w:t>Any unused medicinal product or waste material should be disposed of in accordance with local requirements.</w:t>
      </w:r>
    </w:p>
    <w:p w14:paraId="404274A2" w14:textId="77777777" w:rsidR="000719DF" w:rsidRDefault="000719DF" w:rsidP="002B7FE2">
      <w:pPr>
        <w:ind w:left="720" w:right="-514"/>
      </w:pPr>
    </w:p>
    <w:p w14:paraId="50814F68" w14:textId="77777777" w:rsidR="003D0A75" w:rsidRDefault="003D0A75" w:rsidP="003E6A11">
      <w:pPr>
        <w:ind w:right="-514"/>
      </w:pPr>
    </w:p>
    <w:p w14:paraId="0BD0197C" w14:textId="77777777" w:rsidR="00851A61" w:rsidRDefault="00851A61" w:rsidP="00851A61">
      <w:pPr>
        <w:ind w:right="-514"/>
        <w:rPr>
          <w:b/>
        </w:rPr>
      </w:pPr>
      <w:r>
        <w:rPr>
          <w:b/>
        </w:rPr>
        <w:t>7.</w:t>
      </w:r>
      <w:r>
        <w:rPr>
          <w:b/>
        </w:rPr>
        <w:tab/>
        <w:t>MARKETING AUTHORISATION HOLDER</w:t>
      </w:r>
    </w:p>
    <w:p w14:paraId="496E4F36" w14:textId="77777777" w:rsidR="003D0A75" w:rsidRDefault="003D0A75" w:rsidP="003E6A11">
      <w:pPr>
        <w:pStyle w:val="Footer"/>
        <w:tabs>
          <w:tab w:val="clear" w:pos="4536"/>
          <w:tab w:val="clear" w:pos="9072"/>
        </w:tabs>
        <w:ind w:left="720" w:right="-514"/>
        <w:rPr>
          <w:rFonts w:ascii="Times New Roman" w:hAnsi="Times New Roman"/>
          <w:lang w:val="en-GB"/>
        </w:rPr>
      </w:pPr>
    </w:p>
    <w:p w14:paraId="27E1A80E" w14:textId="77777777" w:rsidR="003D0A75" w:rsidRDefault="003D0A75" w:rsidP="003E6A11">
      <w:pPr>
        <w:ind w:left="709" w:right="-514"/>
      </w:pPr>
      <w:r>
        <w:t>Pfizer Limited</w:t>
      </w:r>
    </w:p>
    <w:p w14:paraId="16F8E7F9" w14:textId="77777777" w:rsidR="003D0A75" w:rsidRDefault="003D0A75" w:rsidP="003E6A11">
      <w:pPr>
        <w:ind w:left="709" w:right="-514"/>
      </w:pPr>
      <w:r>
        <w:t>Ramsgate Road</w:t>
      </w:r>
    </w:p>
    <w:p w14:paraId="65E7E87D" w14:textId="77777777" w:rsidR="003D0A75" w:rsidRDefault="003D0A75" w:rsidP="003E6A11">
      <w:pPr>
        <w:ind w:left="709" w:right="-514"/>
      </w:pPr>
      <w:r>
        <w:t>Sandwich</w:t>
      </w:r>
    </w:p>
    <w:p w14:paraId="0CCEE39F" w14:textId="77777777" w:rsidR="003D0A75" w:rsidRDefault="003D0A75" w:rsidP="003E6A11">
      <w:pPr>
        <w:ind w:left="709" w:right="-514"/>
      </w:pPr>
      <w:r>
        <w:t>Kent</w:t>
      </w:r>
    </w:p>
    <w:p w14:paraId="77FF06ED" w14:textId="77777777" w:rsidR="003D0A75" w:rsidRDefault="003D0A75" w:rsidP="003E6A11">
      <w:pPr>
        <w:ind w:left="709" w:right="-514"/>
      </w:pPr>
      <w:r>
        <w:t>CT13 9NJ</w:t>
      </w:r>
    </w:p>
    <w:p w14:paraId="0DB9ACD5" w14:textId="77777777" w:rsidR="003D0A75" w:rsidRDefault="003D0A75" w:rsidP="003E6A11">
      <w:pPr>
        <w:ind w:left="709" w:right="-514"/>
      </w:pPr>
      <w:r>
        <w:t>United Kingdom</w:t>
      </w:r>
    </w:p>
    <w:p w14:paraId="27282F3D" w14:textId="77777777" w:rsidR="003D0A75" w:rsidRDefault="003D0A75" w:rsidP="003E6A11">
      <w:pPr>
        <w:ind w:right="-514"/>
        <w:rPr>
          <w:b/>
        </w:rPr>
      </w:pPr>
    </w:p>
    <w:p w14:paraId="4BA8F20E" w14:textId="77777777" w:rsidR="00851A61" w:rsidRDefault="00851A61" w:rsidP="003E6A11">
      <w:pPr>
        <w:ind w:right="-514"/>
        <w:rPr>
          <w:b/>
        </w:rPr>
      </w:pPr>
    </w:p>
    <w:p w14:paraId="2B5AD416" w14:textId="77777777" w:rsidR="00851A61" w:rsidRDefault="00851A61" w:rsidP="00851A61">
      <w:pPr>
        <w:ind w:right="-514"/>
        <w:rPr>
          <w:b/>
        </w:rPr>
      </w:pPr>
      <w:r>
        <w:rPr>
          <w:b/>
        </w:rPr>
        <w:t>8.</w:t>
      </w:r>
      <w:r>
        <w:rPr>
          <w:b/>
        </w:rPr>
        <w:tab/>
        <w:t>MARKETING AUTHORISATION NUMBER(S)</w:t>
      </w:r>
    </w:p>
    <w:p w14:paraId="56871107" w14:textId="77777777" w:rsidR="003D0A75" w:rsidRDefault="003D0A75" w:rsidP="003E6A11">
      <w:pPr>
        <w:pStyle w:val="Footer"/>
        <w:tabs>
          <w:tab w:val="clear" w:pos="4536"/>
          <w:tab w:val="clear" w:pos="9072"/>
        </w:tabs>
        <w:ind w:left="720" w:right="-514"/>
        <w:rPr>
          <w:rFonts w:ascii="Times New Roman" w:hAnsi="Times New Roman"/>
          <w:lang w:val="en-GB"/>
        </w:rPr>
      </w:pPr>
    </w:p>
    <w:p w14:paraId="16A52CDC" w14:textId="77777777" w:rsidR="003D0A75" w:rsidRDefault="003D0A75" w:rsidP="003E6A11">
      <w:pPr>
        <w:pStyle w:val="Footer"/>
        <w:tabs>
          <w:tab w:val="clear" w:pos="4536"/>
          <w:tab w:val="clear" w:pos="9072"/>
        </w:tabs>
        <w:ind w:left="720" w:right="-514"/>
        <w:rPr>
          <w:rFonts w:ascii="Times New Roman" w:hAnsi="Times New Roman"/>
          <w:lang w:val="en-GB"/>
        </w:rPr>
      </w:pPr>
      <w:r>
        <w:rPr>
          <w:rFonts w:ascii="Times New Roman" w:hAnsi="Times New Roman"/>
          <w:lang w:val="en-GB"/>
        </w:rPr>
        <w:t>PL 00057/0940</w:t>
      </w:r>
    </w:p>
    <w:p w14:paraId="59B6BC4D" w14:textId="77777777" w:rsidR="003D0A75" w:rsidRDefault="003D0A75" w:rsidP="003E6A11">
      <w:pPr>
        <w:pStyle w:val="Footer"/>
        <w:tabs>
          <w:tab w:val="clear" w:pos="4536"/>
          <w:tab w:val="clear" w:pos="9072"/>
        </w:tabs>
        <w:ind w:left="720" w:right="-514"/>
        <w:rPr>
          <w:rFonts w:ascii="Times New Roman" w:hAnsi="Times New Roman"/>
          <w:lang w:val="en-GB"/>
        </w:rPr>
      </w:pPr>
    </w:p>
    <w:p w14:paraId="5262C1A5" w14:textId="77777777" w:rsidR="003D0A75" w:rsidRDefault="003D0A75" w:rsidP="003E6A11">
      <w:pPr>
        <w:ind w:right="-514"/>
      </w:pPr>
    </w:p>
    <w:p w14:paraId="31ABB175" w14:textId="77777777" w:rsidR="00851A61" w:rsidRDefault="00851A61" w:rsidP="00851A61">
      <w:pPr>
        <w:ind w:left="709" w:right="-514" w:hanging="709"/>
        <w:rPr>
          <w:b/>
        </w:rPr>
      </w:pPr>
      <w:r>
        <w:rPr>
          <w:b/>
        </w:rPr>
        <w:t>9.</w:t>
      </w:r>
      <w:r>
        <w:rPr>
          <w:b/>
        </w:rPr>
        <w:tab/>
        <w:t>DATE OF FIRST AUTHORISATION/RENEWAL OF THE AUTHORISATION</w:t>
      </w:r>
    </w:p>
    <w:p w14:paraId="22C3992B" w14:textId="77777777" w:rsidR="003D0A75" w:rsidRDefault="003D0A75" w:rsidP="003E6A11">
      <w:pPr>
        <w:ind w:right="-514"/>
      </w:pPr>
    </w:p>
    <w:p w14:paraId="44D7BAEC" w14:textId="77777777" w:rsidR="003D0A75" w:rsidRDefault="00851A61" w:rsidP="003E6A11">
      <w:pPr>
        <w:pStyle w:val="Heading6"/>
        <w:ind w:right="-514"/>
        <w:rPr>
          <w:b w:val="0"/>
          <w:lang w:val="en-GB"/>
        </w:rPr>
      </w:pPr>
      <w:r>
        <w:rPr>
          <w:b w:val="0"/>
          <w:lang w:val="en-GB"/>
        </w:rPr>
        <w:t xml:space="preserve">Date of first authorisation: </w:t>
      </w:r>
      <w:r w:rsidR="0029652D">
        <w:rPr>
          <w:b w:val="0"/>
          <w:lang w:val="en-GB"/>
        </w:rPr>
        <w:t>13 July 2000</w:t>
      </w:r>
    </w:p>
    <w:p w14:paraId="232AC155" w14:textId="77777777" w:rsidR="00851A61" w:rsidRPr="00851A61" w:rsidRDefault="00851A61" w:rsidP="00851A61">
      <w:r>
        <w:tab/>
        <w:t>Date of latest renewal:</w:t>
      </w:r>
      <w:r w:rsidR="005D7F9E">
        <w:t xml:space="preserve"> 13 July 2010</w:t>
      </w:r>
    </w:p>
    <w:p w14:paraId="3A47AC4D" w14:textId="77777777" w:rsidR="003D0A75" w:rsidRDefault="003D0A75" w:rsidP="003E6A11">
      <w:pPr>
        <w:ind w:right="-514"/>
      </w:pPr>
    </w:p>
    <w:p w14:paraId="6AA9D851" w14:textId="77777777" w:rsidR="00C002BA" w:rsidRDefault="00C002BA" w:rsidP="003E6A11">
      <w:pPr>
        <w:ind w:right="-514"/>
      </w:pPr>
    </w:p>
    <w:p w14:paraId="10DC8D2C" w14:textId="77777777" w:rsidR="00851A61" w:rsidRDefault="00851A61" w:rsidP="00851A61">
      <w:pPr>
        <w:ind w:right="-514"/>
        <w:rPr>
          <w:b/>
        </w:rPr>
      </w:pPr>
      <w:r>
        <w:rPr>
          <w:b/>
        </w:rPr>
        <w:t>10.</w:t>
      </w:r>
      <w:r>
        <w:rPr>
          <w:b/>
        </w:rPr>
        <w:tab/>
      </w:r>
      <w:r w:rsidR="00253421">
        <w:rPr>
          <w:b/>
        </w:rPr>
        <w:t>DATE OF REVISION OF THE TEXT</w:t>
      </w:r>
    </w:p>
    <w:p w14:paraId="78207A1E" w14:textId="77777777" w:rsidR="003D0A75" w:rsidRDefault="003D0A75" w:rsidP="003E6A11">
      <w:pPr>
        <w:ind w:left="720" w:right="-514"/>
      </w:pPr>
    </w:p>
    <w:p w14:paraId="10F9C664" w14:textId="77777777" w:rsidR="003D0A75" w:rsidRDefault="003C2AC9" w:rsidP="003E6A11">
      <w:pPr>
        <w:ind w:left="720" w:right="-514"/>
      </w:pPr>
      <w:r>
        <w:rPr>
          <w:bCs/>
        </w:rPr>
        <w:t>03</w:t>
      </w:r>
      <w:r w:rsidR="000719DF">
        <w:rPr>
          <w:bCs/>
        </w:rPr>
        <w:t>/</w:t>
      </w:r>
      <w:r>
        <w:rPr>
          <w:bCs/>
        </w:rPr>
        <w:t>2019</w:t>
      </w:r>
    </w:p>
    <w:p w14:paraId="593C969C" w14:textId="77777777" w:rsidR="003D0A75" w:rsidRDefault="003D0A75" w:rsidP="003E6A11">
      <w:pPr>
        <w:ind w:left="720" w:right="-514"/>
      </w:pPr>
    </w:p>
    <w:p w14:paraId="046AC5ED" w14:textId="77777777" w:rsidR="003D0A75" w:rsidRDefault="003D0A75"/>
    <w:p w14:paraId="0F37D41E" w14:textId="77777777" w:rsidR="00477B1E" w:rsidRDefault="00477B1E">
      <w:r>
        <w:t xml:space="preserve">Ref: CJDC </w:t>
      </w:r>
      <w:r w:rsidR="001A542E">
        <w:t>1</w:t>
      </w:r>
      <w:r w:rsidR="000719DF">
        <w:t>2_</w:t>
      </w:r>
      <w:r w:rsidR="003C2AC9">
        <w:t>2</w:t>
      </w:r>
    </w:p>
    <w:sectPr w:rsidR="00477B1E" w:rsidSect="002B7FE2">
      <w:footerReference w:type="default" r:id="rId11"/>
      <w:pgSz w:w="11906" w:h="16838"/>
      <w:pgMar w:top="1440" w:right="1797"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F70A6" w14:textId="77777777" w:rsidR="00477300" w:rsidRDefault="00477300" w:rsidP="00F36A12">
      <w:r>
        <w:separator/>
      </w:r>
    </w:p>
  </w:endnote>
  <w:endnote w:type="continuationSeparator" w:id="0">
    <w:p w14:paraId="1A235000" w14:textId="77777777" w:rsidR="00477300" w:rsidRDefault="00477300" w:rsidP="00F3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abo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1C9AE" w14:textId="77777777" w:rsidR="00F36A12" w:rsidRPr="006675C4" w:rsidRDefault="00F36A12" w:rsidP="00622BF4">
    <w:pPr>
      <w:pStyle w:val="Footer"/>
      <w:ind w:right="360"/>
      <w:rPr>
        <w:rFonts w:ascii="Times New Roman" w:hAnsi="Times New Roman"/>
        <w:sz w:val="18"/>
        <w:szCs w:val="18"/>
      </w:rPr>
    </w:pPr>
    <w:r w:rsidRPr="006675C4">
      <w:rPr>
        <w:rFonts w:ascii="Times New Roman" w:hAnsi="Times New Roman"/>
        <w:sz w:val="18"/>
        <w:szCs w:val="18"/>
      </w:rPr>
      <w:tab/>
    </w:r>
    <w:r w:rsidR="00851A61" w:rsidRPr="006675C4">
      <w:rPr>
        <w:rFonts w:ascii="Times New Roman" w:hAnsi="Times New Roman"/>
        <w:sz w:val="18"/>
        <w:szCs w:val="18"/>
      </w:rPr>
      <w:t xml:space="preserve">Page </w:t>
    </w:r>
    <w:r w:rsidR="00851A61" w:rsidRPr="006675C4">
      <w:rPr>
        <w:rFonts w:ascii="Times New Roman" w:hAnsi="Times New Roman"/>
        <w:sz w:val="18"/>
        <w:szCs w:val="18"/>
      </w:rPr>
      <w:fldChar w:fldCharType="begin"/>
    </w:r>
    <w:r w:rsidR="00851A61" w:rsidRPr="006675C4">
      <w:rPr>
        <w:rFonts w:ascii="Times New Roman" w:hAnsi="Times New Roman"/>
        <w:sz w:val="18"/>
        <w:szCs w:val="18"/>
      </w:rPr>
      <w:instrText xml:space="preserve"> PAGE </w:instrText>
    </w:r>
    <w:r w:rsidR="00851A61" w:rsidRPr="006675C4">
      <w:rPr>
        <w:rFonts w:ascii="Times New Roman" w:hAnsi="Times New Roman"/>
        <w:sz w:val="18"/>
        <w:szCs w:val="18"/>
      </w:rPr>
      <w:fldChar w:fldCharType="separate"/>
    </w:r>
    <w:r w:rsidR="0053131C">
      <w:rPr>
        <w:rFonts w:ascii="Times New Roman" w:hAnsi="Times New Roman"/>
        <w:noProof/>
        <w:sz w:val="18"/>
        <w:szCs w:val="18"/>
      </w:rPr>
      <w:t>12</w:t>
    </w:r>
    <w:r w:rsidR="00851A61" w:rsidRPr="006675C4">
      <w:rPr>
        <w:rFonts w:ascii="Times New Roman" w:hAnsi="Times New Roman"/>
        <w:sz w:val="18"/>
        <w:szCs w:val="18"/>
      </w:rPr>
      <w:fldChar w:fldCharType="end"/>
    </w:r>
    <w:r w:rsidR="00851A61" w:rsidRPr="006675C4">
      <w:rPr>
        <w:rFonts w:ascii="Times New Roman" w:hAnsi="Times New Roman"/>
        <w:sz w:val="18"/>
        <w:szCs w:val="18"/>
      </w:rPr>
      <w:t xml:space="preserve"> of </w:t>
    </w:r>
    <w:r w:rsidR="00851A61" w:rsidRPr="006675C4">
      <w:rPr>
        <w:rFonts w:ascii="Times New Roman" w:hAnsi="Times New Roman"/>
        <w:sz w:val="18"/>
        <w:szCs w:val="18"/>
      </w:rPr>
      <w:fldChar w:fldCharType="begin"/>
    </w:r>
    <w:r w:rsidR="00851A61" w:rsidRPr="006675C4">
      <w:rPr>
        <w:rFonts w:ascii="Times New Roman" w:hAnsi="Times New Roman"/>
        <w:sz w:val="18"/>
        <w:szCs w:val="18"/>
      </w:rPr>
      <w:instrText xml:space="preserve"> NUMPAGES </w:instrText>
    </w:r>
    <w:r w:rsidR="00851A61" w:rsidRPr="006675C4">
      <w:rPr>
        <w:rFonts w:ascii="Times New Roman" w:hAnsi="Times New Roman"/>
        <w:sz w:val="18"/>
        <w:szCs w:val="18"/>
      </w:rPr>
      <w:fldChar w:fldCharType="separate"/>
    </w:r>
    <w:r w:rsidR="0053131C">
      <w:rPr>
        <w:rFonts w:ascii="Times New Roman" w:hAnsi="Times New Roman"/>
        <w:noProof/>
        <w:sz w:val="18"/>
        <w:szCs w:val="18"/>
      </w:rPr>
      <w:t>12</w:t>
    </w:r>
    <w:r w:rsidR="00851A61" w:rsidRPr="006675C4">
      <w:rPr>
        <w:rFonts w:ascii="Times New Roman" w:hAnsi="Times New Roman"/>
        <w:sz w:val="18"/>
        <w:szCs w:val="18"/>
      </w:rPr>
      <w:fldChar w:fldCharType="end"/>
    </w:r>
    <w:r w:rsidR="00851A61" w:rsidRPr="006675C4">
      <w:rPr>
        <w:rFonts w:ascii="Times New Roman" w:hAnsi="Times New Roman"/>
        <w:sz w:val="18"/>
        <w:szCs w:val="18"/>
      </w:rPr>
      <w:tab/>
    </w:r>
    <w:r w:rsidR="0062672B" w:rsidRPr="0062672B">
      <w:rPr>
        <w:rFonts w:ascii="Times New Roman" w:hAnsi="Times New Roman"/>
        <w:sz w:val="18"/>
        <w:szCs w:val="18"/>
        <w:lang w:val="en-GB"/>
      </w:rPr>
      <w:t>2014-0004748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6A268" w14:textId="77777777" w:rsidR="00477300" w:rsidRDefault="00477300" w:rsidP="00F36A12">
      <w:r>
        <w:separator/>
      </w:r>
    </w:p>
  </w:footnote>
  <w:footnote w:type="continuationSeparator" w:id="0">
    <w:p w14:paraId="6163F697" w14:textId="77777777" w:rsidR="00477300" w:rsidRDefault="00477300" w:rsidP="00F36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0525"/>
    <w:multiLevelType w:val="hybridMultilevel"/>
    <w:tmpl w:val="90CA14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1" w15:restartNumberingAfterBreak="0">
    <w:nsid w:val="16E50551"/>
    <w:multiLevelType w:val="singleLevel"/>
    <w:tmpl w:val="685AB180"/>
    <w:lvl w:ilvl="0">
      <w:start w:val="2"/>
      <w:numFmt w:val="decimal"/>
      <w:lvlText w:val="%1."/>
      <w:lvlJc w:val="left"/>
      <w:pPr>
        <w:tabs>
          <w:tab w:val="num" w:pos="720"/>
        </w:tabs>
        <w:ind w:left="720" w:hanging="720"/>
      </w:pPr>
      <w:rPr>
        <w:rFonts w:hint="default"/>
      </w:rPr>
    </w:lvl>
  </w:abstractNum>
  <w:num w:numId="1" w16cid:durableId="1253465512">
    <w:abstractNumId w:val="1"/>
  </w:num>
  <w:num w:numId="2" w16cid:durableId="77629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A75"/>
    <w:rsid w:val="00011988"/>
    <w:rsid w:val="0002027E"/>
    <w:rsid w:val="00022743"/>
    <w:rsid w:val="0003698A"/>
    <w:rsid w:val="00057D28"/>
    <w:rsid w:val="00064869"/>
    <w:rsid w:val="0006724C"/>
    <w:rsid w:val="0007049C"/>
    <w:rsid w:val="000719DF"/>
    <w:rsid w:val="0008094E"/>
    <w:rsid w:val="000948E8"/>
    <w:rsid w:val="000962F3"/>
    <w:rsid w:val="000979F9"/>
    <w:rsid w:val="000A04A2"/>
    <w:rsid w:val="000B4D1E"/>
    <w:rsid w:val="000B7EC4"/>
    <w:rsid w:val="000C42BA"/>
    <w:rsid w:val="000D3D03"/>
    <w:rsid w:val="000E38BB"/>
    <w:rsid w:val="000E69EB"/>
    <w:rsid w:val="000F23B7"/>
    <w:rsid w:val="000F5B2E"/>
    <w:rsid w:val="001020E5"/>
    <w:rsid w:val="001030A1"/>
    <w:rsid w:val="00122EEE"/>
    <w:rsid w:val="00144DB4"/>
    <w:rsid w:val="00171BD5"/>
    <w:rsid w:val="00196D46"/>
    <w:rsid w:val="001971B6"/>
    <w:rsid w:val="001A542E"/>
    <w:rsid w:val="001B537B"/>
    <w:rsid w:val="001B79F2"/>
    <w:rsid w:val="001D5807"/>
    <w:rsid w:val="001E12CE"/>
    <w:rsid w:val="001E7316"/>
    <w:rsid w:val="001E7432"/>
    <w:rsid w:val="001F1489"/>
    <w:rsid w:val="00202392"/>
    <w:rsid w:val="002042E4"/>
    <w:rsid w:val="00205B56"/>
    <w:rsid w:val="00215D06"/>
    <w:rsid w:val="00220272"/>
    <w:rsid w:val="0022098B"/>
    <w:rsid w:val="00225F28"/>
    <w:rsid w:val="002302C5"/>
    <w:rsid w:val="00235163"/>
    <w:rsid w:val="00237ECB"/>
    <w:rsid w:val="0024169B"/>
    <w:rsid w:val="0024179B"/>
    <w:rsid w:val="00242C8E"/>
    <w:rsid w:val="002449F4"/>
    <w:rsid w:val="00245AE1"/>
    <w:rsid w:val="00251BB3"/>
    <w:rsid w:val="00253421"/>
    <w:rsid w:val="002572C8"/>
    <w:rsid w:val="00265398"/>
    <w:rsid w:val="00281109"/>
    <w:rsid w:val="002859F1"/>
    <w:rsid w:val="0029652D"/>
    <w:rsid w:val="002B3855"/>
    <w:rsid w:val="002B4D0E"/>
    <w:rsid w:val="002B7FE2"/>
    <w:rsid w:val="002C017C"/>
    <w:rsid w:val="002C3D3F"/>
    <w:rsid w:val="002F7016"/>
    <w:rsid w:val="0031083B"/>
    <w:rsid w:val="003254E4"/>
    <w:rsid w:val="00335AB3"/>
    <w:rsid w:val="00341310"/>
    <w:rsid w:val="003468E2"/>
    <w:rsid w:val="00352065"/>
    <w:rsid w:val="003553C0"/>
    <w:rsid w:val="0036072D"/>
    <w:rsid w:val="00364338"/>
    <w:rsid w:val="00364C58"/>
    <w:rsid w:val="0037515E"/>
    <w:rsid w:val="00380838"/>
    <w:rsid w:val="00386FC3"/>
    <w:rsid w:val="00391E30"/>
    <w:rsid w:val="00392095"/>
    <w:rsid w:val="00395536"/>
    <w:rsid w:val="003A711E"/>
    <w:rsid w:val="003B09BE"/>
    <w:rsid w:val="003C2AC9"/>
    <w:rsid w:val="003C6A37"/>
    <w:rsid w:val="003D0A75"/>
    <w:rsid w:val="003E652E"/>
    <w:rsid w:val="003E6A11"/>
    <w:rsid w:val="00401F28"/>
    <w:rsid w:val="00403F26"/>
    <w:rsid w:val="00411408"/>
    <w:rsid w:val="004124DE"/>
    <w:rsid w:val="00442E8B"/>
    <w:rsid w:val="00455248"/>
    <w:rsid w:val="00457E62"/>
    <w:rsid w:val="00466984"/>
    <w:rsid w:val="00471D71"/>
    <w:rsid w:val="0047554E"/>
    <w:rsid w:val="0047711D"/>
    <w:rsid w:val="00477300"/>
    <w:rsid w:val="00477B1E"/>
    <w:rsid w:val="00480BDB"/>
    <w:rsid w:val="004907AC"/>
    <w:rsid w:val="00490F3F"/>
    <w:rsid w:val="00497DF6"/>
    <w:rsid w:val="004A2087"/>
    <w:rsid w:val="004D3627"/>
    <w:rsid w:val="00511A94"/>
    <w:rsid w:val="0051533D"/>
    <w:rsid w:val="005158AE"/>
    <w:rsid w:val="00516713"/>
    <w:rsid w:val="00521350"/>
    <w:rsid w:val="0053131C"/>
    <w:rsid w:val="00546149"/>
    <w:rsid w:val="00552F31"/>
    <w:rsid w:val="00562E0F"/>
    <w:rsid w:val="00571CFE"/>
    <w:rsid w:val="0059379F"/>
    <w:rsid w:val="00594207"/>
    <w:rsid w:val="0059468E"/>
    <w:rsid w:val="005A101F"/>
    <w:rsid w:val="005A656F"/>
    <w:rsid w:val="005B1EEA"/>
    <w:rsid w:val="005B5963"/>
    <w:rsid w:val="005C2F3B"/>
    <w:rsid w:val="005D7F9E"/>
    <w:rsid w:val="005E1D06"/>
    <w:rsid w:val="005E7676"/>
    <w:rsid w:val="005F4F73"/>
    <w:rsid w:val="005F7B7C"/>
    <w:rsid w:val="00604950"/>
    <w:rsid w:val="0060498A"/>
    <w:rsid w:val="00611250"/>
    <w:rsid w:val="00613145"/>
    <w:rsid w:val="00614024"/>
    <w:rsid w:val="00622BF4"/>
    <w:rsid w:val="006238D8"/>
    <w:rsid w:val="00625699"/>
    <w:rsid w:val="00626399"/>
    <w:rsid w:val="00626438"/>
    <w:rsid w:val="0062672B"/>
    <w:rsid w:val="00631FB7"/>
    <w:rsid w:val="00637457"/>
    <w:rsid w:val="006610FB"/>
    <w:rsid w:val="006675C4"/>
    <w:rsid w:val="00673D50"/>
    <w:rsid w:val="00673DE8"/>
    <w:rsid w:val="00683393"/>
    <w:rsid w:val="006B1632"/>
    <w:rsid w:val="006D0B8D"/>
    <w:rsid w:val="006D4A6E"/>
    <w:rsid w:val="006D4B4F"/>
    <w:rsid w:val="006D5534"/>
    <w:rsid w:val="006D71C3"/>
    <w:rsid w:val="006E6E4C"/>
    <w:rsid w:val="006F0F3A"/>
    <w:rsid w:val="00723E52"/>
    <w:rsid w:val="00737013"/>
    <w:rsid w:val="00741FC3"/>
    <w:rsid w:val="007431E5"/>
    <w:rsid w:val="007445E0"/>
    <w:rsid w:val="00752C5E"/>
    <w:rsid w:val="007568D6"/>
    <w:rsid w:val="00760A72"/>
    <w:rsid w:val="007618E4"/>
    <w:rsid w:val="007669CA"/>
    <w:rsid w:val="00776447"/>
    <w:rsid w:val="007816DB"/>
    <w:rsid w:val="00790E82"/>
    <w:rsid w:val="00792D7D"/>
    <w:rsid w:val="007959A7"/>
    <w:rsid w:val="00795B4A"/>
    <w:rsid w:val="007A1AFA"/>
    <w:rsid w:val="007A4930"/>
    <w:rsid w:val="007C3BE3"/>
    <w:rsid w:val="007C4753"/>
    <w:rsid w:val="007E1BA1"/>
    <w:rsid w:val="007E5D75"/>
    <w:rsid w:val="007F565F"/>
    <w:rsid w:val="00800CED"/>
    <w:rsid w:val="00805C5B"/>
    <w:rsid w:val="00824028"/>
    <w:rsid w:val="00830CA6"/>
    <w:rsid w:val="00831934"/>
    <w:rsid w:val="0083782F"/>
    <w:rsid w:val="00850C45"/>
    <w:rsid w:val="00851A61"/>
    <w:rsid w:val="008524AE"/>
    <w:rsid w:val="00854DAA"/>
    <w:rsid w:val="0086217E"/>
    <w:rsid w:val="00867243"/>
    <w:rsid w:val="0087419F"/>
    <w:rsid w:val="00875C62"/>
    <w:rsid w:val="00876EA5"/>
    <w:rsid w:val="008847A7"/>
    <w:rsid w:val="00887B6C"/>
    <w:rsid w:val="008929FD"/>
    <w:rsid w:val="008A2D85"/>
    <w:rsid w:val="008B2CC4"/>
    <w:rsid w:val="008B5219"/>
    <w:rsid w:val="008C2039"/>
    <w:rsid w:val="008C416A"/>
    <w:rsid w:val="008D11F9"/>
    <w:rsid w:val="008D2EF1"/>
    <w:rsid w:val="008D3D54"/>
    <w:rsid w:val="008D493E"/>
    <w:rsid w:val="008E31DE"/>
    <w:rsid w:val="008E7D01"/>
    <w:rsid w:val="008F223F"/>
    <w:rsid w:val="009022C8"/>
    <w:rsid w:val="00903271"/>
    <w:rsid w:val="00905B36"/>
    <w:rsid w:val="00906E43"/>
    <w:rsid w:val="0091195B"/>
    <w:rsid w:val="00911990"/>
    <w:rsid w:val="00923ED6"/>
    <w:rsid w:val="00925C80"/>
    <w:rsid w:val="009313B7"/>
    <w:rsid w:val="00941C13"/>
    <w:rsid w:val="00943D9A"/>
    <w:rsid w:val="00951764"/>
    <w:rsid w:val="00957317"/>
    <w:rsid w:val="00961D6C"/>
    <w:rsid w:val="00962664"/>
    <w:rsid w:val="00970F8F"/>
    <w:rsid w:val="009748C6"/>
    <w:rsid w:val="0097777A"/>
    <w:rsid w:val="0098227E"/>
    <w:rsid w:val="00984D06"/>
    <w:rsid w:val="00986E9A"/>
    <w:rsid w:val="009967CC"/>
    <w:rsid w:val="00996EBF"/>
    <w:rsid w:val="009A5AE4"/>
    <w:rsid w:val="009B297C"/>
    <w:rsid w:val="009B4DD0"/>
    <w:rsid w:val="009C2860"/>
    <w:rsid w:val="009C5697"/>
    <w:rsid w:val="009E2266"/>
    <w:rsid w:val="009F08CA"/>
    <w:rsid w:val="00A002E4"/>
    <w:rsid w:val="00A07F5F"/>
    <w:rsid w:val="00A12D53"/>
    <w:rsid w:val="00A20629"/>
    <w:rsid w:val="00A23265"/>
    <w:rsid w:val="00A23EAB"/>
    <w:rsid w:val="00A27EEA"/>
    <w:rsid w:val="00A32D5E"/>
    <w:rsid w:val="00A60708"/>
    <w:rsid w:val="00A6158D"/>
    <w:rsid w:val="00A64B0D"/>
    <w:rsid w:val="00A753B7"/>
    <w:rsid w:val="00A83C3D"/>
    <w:rsid w:val="00A91206"/>
    <w:rsid w:val="00A94900"/>
    <w:rsid w:val="00AA0B6E"/>
    <w:rsid w:val="00AA2558"/>
    <w:rsid w:val="00AA2959"/>
    <w:rsid w:val="00AB26AF"/>
    <w:rsid w:val="00AB64AA"/>
    <w:rsid w:val="00AE320F"/>
    <w:rsid w:val="00AE5473"/>
    <w:rsid w:val="00AE7564"/>
    <w:rsid w:val="00AF25C5"/>
    <w:rsid w:val="00AF2CE5"/>
    <w:rsid w:val="00AF5FF2"/>
    <w:rsid w:val="00B167D1"/>
    <w:rsid w:val="00B203C7"/>
    <w:rsid w:val="00B563E9"/>
    <w:rsid w:val="00B602B9"/>
    <w:rsid w:val="00B87A38"/>
    <w:rsid w:val="00BA1D13"/>
    <w:rsid w:val="00BA3374"/>
    <w:rsid w:val="00BC45AF"/>
    <w:rsid w:val="00BC6A79"/>
    <w:rsid w:val="00BD7193"/>
    <w:rsid w:val="00BE1F32"/>
    <w:rsid w:val="00BE216F"/>
    <w:rsid w:val="00BE5B6A"/>
    <w:rsid w:val="00BF433B"/>
    <w:rsid w:val="00BF6DF9"/>
    <w:rsid w:val="00C002BA"/>
    <w:rsid w:val="00C010DF"/>
    <w:rsid w:val="00C0479E"/>
    <w:rsid w:val="00C20323"/>
    <w:rsid w:val="00C2245D"/>
    <w:rsid w:val="00C32F03"/>
    <w:rsid w:val="00C35927"/>
    <w:rsid w:val="00C4257C"/>
    <w:rsid w:val="00C426A9"/>
    <w:rsid w:val="00C4575D"/>
    <w:rsid w:val="00C555BC"/>
    <w:rsid w:val="00C60D9A"/>
    <w:rsid w:val="00C63D0C"/>
    <w:rsid w:val="00C75A39"/>
    <w:rsid w:val="00C967E3"/>
    <w:rsid w:val="00CB1453"/>
    <w:rsid w:val="00CD2F2D"/>
    <w:rsid w:val="00CE1348"/>
    <w:rsid w:val="00CE3CFB"/>
    <w:rsid w:val="00CF1508"/>
    <w:rsid w:val="00CF3FA6"/>
    <w:rsid w:val="00CF6753"/>
    <w:rsid w:val="00D00303"/>
    <w:rsid w:val="00D078D6"/>
    <w:rsid w:val="00D12876"/>
    <w:rsid w:val="00D13855"/>
    <w:rsid w:val="00D3118E"/>
    <w:rsid w:val="00D46095"/>
    <w:rsid w:val="00D477FF"/>
    <w:rsid w:val="00D56893"/>
    <w:rsid w:val="00D64727"/>
    <w:rsid w:val="00D73F29"/>
    <w:rsid w:val="00D767EC"/>
    <w:rsid w:val="00D81C1B"/>
    <w:rsid w:val="00D87570"/>
    <w:rsid w:val="00D9373D"/>
    <w:rsid w:val="00DA620A"/>
    <w:rsid w:val="00DA635A"/>
    <w:rsid w:val="00DB0DBC"/>
    <w:rsid w:val="00DB4479"/>
    <w:rsid w:val="00DB7C0E"/>
    <w:rsid w:val="00DC4ADF"/>
    <w:rsid w:val="00DC5A42"/>
    <w:rsid w:val="00DE17CF"/>
    <w:rsid w:val="00DE3918"/>
    <w:rsid w:val="00DE6349"/>
    <w:rsid w:val="00DE6F4B"/>
    <w:rsid w:val="00DF6B5C"/>
    <w:rsid w:val="00E40948"/>
    <w:rsid w:val="00E451AB"/>
    <w:rsid w:val="00E5017A"/>
    <w:rsid w:val="00E6013A"/>
    <w:rsid w:val="00E734B4"/>
    <w:rsid w:val="00E76139"/>
    <w:rsid w:val="00E81A83"/>
    <w:rsid w:val="00E831CA"/>
    <w:rsid w:val="00E8678E"/>
    <w:rsid w:val="00E9548A"/>
    <w:rsid w:val="00EA4983"/>
    <w:rsid w:val="00EB690A"/>
    <w:rsid w:val="00EC3240"/>
    <w:rsid w:val="00EC7B3D"/>
    <w:rsid w:val="00ED5767"/>
    <w:rsid w:val="00ED6BAB"/>
    <w:rsid w:val="00EE078C"/>
    <w:rsid w:val="00EE7326"/>
    <w:rsid w:val="00EE7518"/>
    <w:rsid w:val="00EF071E"/>
    <w:rsid w:val="00EF5A4C"/>
    <w:rsid w:val="00F00F3D"/>
    <w:rsid w:val="00F078D6"/>
    <w:rsid w:val="00F277F9"/>
    <w:rsid w:val="00F31E11"/>
    <w:rsid w:val="00F3691C"/>
    <w:rsid w:val="00F36A12"/>
    <w:rsid w:val="00F37F2D"/>
    <w:rsid w:val="00F4307B"/>
    <w:rsid w:val="00F5772C"/>
    <w:rsid w:val="00F63006"/>
    <w:rsid w:val="00F632ED"/>
    <w:rsid w:val="00F638C6"/>
    <w:rsid w:val="00F708FF"/>
    <w:rsid w:val="00F9503D"/>
    <w:rsid w:val="00F95240"/>
    <w:rsid w:val="00FA0803"/>
    <w:rsid w:val="00FA37A5"/>
    <w:rsid w:val="00FA6B56"/>
    <w:rsid w:val="00FC07E4"/>
    <w:rsid w:val="00FD11BC"/>
    <w:rsid w:val="00FE1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2B0351C"/>
  <w15:chartTrackingRefBased/>
  <w15:docId w15:val="{37540C50-BDE3-4C6B-A919-4DB72561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A75"/>
    <w:rPr>
      <w:sz w:val="24"/>
      <w:lang w:eastAsia="en-US"/>
    </w:rPr>
  </w:style>
  <w:style w:type="paragraph" w:styleId="Heading1">
    <w:name w:val="heading 1"/>
    <w:basedOn w:val="Normal"/>
    <w:next w:val="Normal"/>
    <w:qFormat/>
    <w:rsid w:val="003D0A75"/>
    <w:pPr>
      <w:keepNext/>
      <w:outlineLvl w:val="0"/>
    </w:pPr>
    <w:rPr>
      <w:u w:val="single"/>
    </w:rPr>
  </w:style>
  <w:style w:type="paragraph" w:styleId="Heading2">
    <w:name w:val="heading 2"/>
    <w:basedOn w:val="Normal"/>
    <w:next w:val="Normal"/>
    <w:qFormat/>
    <w:rsid w:val="003D0A75"/>
    <w:pPr>
      <w:keepNext/>
      <w:widowControl w:val="0"/>
      <w:outlineLvl w:val="1"/>
    </w:pPr>
    <w:rPr>
      <w:i/>
    </w:rPr>
  </w:style>
  <w:style w:type="paragraph" w:styleId="Heading3">
    <w:name w:val="heading 3"/>
    <w:basedOn w:val="Normal"/>
    <w:next w:val="Normal"/>
    <w:qFormat/>
    <w:rsid w:val="003D0A75"/>
    <w:pPr>
      <w:ind w:left="864"/>
      <w:outlineLvl w:val="2"/>
    </w:pPr>
    <w:rPr>
      <w:rFonts w:ascii="Helvetica" w:hAnsi="Helvetica"/>
      <w:i/>
      <w:smallCaps/>
      <w:sz w:val="22"/>
      <w:lang w:val="en-US"/>
    </w:rPr>
  </w:style>
  <w:style w:type="paragraph" w:styleId="Heading4">
    <w:name w:val="heading 4"/>
    <w:basedOn w:val="Normal"/>
    <w:next w:val="Normal"/>
    <w:qFormat/>
    <w:rsid w:val="003D0A75"/>
    <w:pPr>
      <w:keepNext/>
      <w:outlineLvl w:val="3"/>
    </w:pPr>
    <w:rPr>
      <w:b/>
      <w:sz w:val="28"/>
    </w:rPr>
  </w:style>
  <w:style w:type="paragraph" w:styleId="Heading5">
    <w:name w:val="heading 5"/>
    <w:basedOn w:val="Normal"/>
    <w:next w:val="Normal"/>
    <w:qFormat/>
    <w:rsid w:val="003D0A75"/>
    <w:pPr>
      <w:keepNext/>
      <w:ind w:left="720"/>
      <w:outlineLvl w:val="4"/>
    </w:pPr>
    <w:rPr>
      <w:u w:val="single"/>
    </w:rPr>
  </w:style>
  <w:style w:type="paragraph" w:styleId="Heading6">
    <w:name w:val="heading 6"/>
    <w:basedOn w:val="Normal"/>
    <w:next w:val="Normal"/>
    <w:qFormat/>
    <w:rsid w:val="003D0A75"/>
    <w:pPr>
      <w:keepNext/>
      <w:ind w:left="720"/>
      <w:outlineLvl w:val="5"/>
    </w:pPr>
    <w:rPr>
      <w:b/>
      <w:lang w:val="sv-SE"/>
    </w:rPr>
  </w:style>
  <w:style w:type="paragraph" w:styleId="Heading7">
    <w:name w:val="heading 7"/>
    <w:basedOn w:val="Normal"/>
    <w:next w:val="Normal"/>
    <w:qFormat/>
    <w:rsid w:val="003D0A75"/>
    <w:pPr>
      <w:keepNext/>
      <w:outlineLvl w:val="6"/>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3D0A75"/>
    <w:pPr>
      <w:jc w:val="center"/>
    </w:pPr>
    <w:rPr>
      <w:b/>
    </w:rPr>
  </w:style>
  <w:style w:type="paragraph" w:styleId="BodyTextIndent">
    <w:name w:val="Body Text Indent"/>
    <w:basedOn w:val="Normal"/>
    <w:link w:val="BodyTextIndentChar"/>
    <w:rsid w:val="003D0A75"/>
    <w:pPr>
      <w:ind w:left="720"/>
    </w:pPr>
    <w:rPr>
      <w:lang w:val="sv-SE"/>
    </w:rPr>
  </w:style>
  <w:style w:type="paragraph" w:styleId="Footer">
    <w:name w:val="footer"/>
    <w:basedOn w:val="Normal"/>
    <w:rsid w:val="003D0A75"/>
    <w:pPr>
      <w:tabs>
        <w:tab w:val="center" w:pos="4536"/>
        <w:tab w:val="right" w:pos="9072"/>
      </w:tabs>
    </w:pPr>
    <w:rPr>
      <w:rFonts w:ascii="Sabon" w:hAnsi="Sabon"/>
      <w:lang w:val="en-US"/>
    </w:rPr>
  </w:style>
  <w:style w:type="paragraph" w:styleId="Subtitle">
    <w:name w:val="Subtitle"/>
    <w:basedOn w:val="Normal"/>
    <w:qFormat/>
    <w:rsid w:val="003D0A75"/>
    <w:rPr>
      <w:b/>
      <w:sz w:val="28"/>
    </w:rPr>
  </w:style>
  <w:style w:type="paragraph" w:styleId="BodyText">
    <w:name w:val="Body Text"/>
    <w:basedOn w:val="Normal"/>
    <w:rsid w:val="003D0A75"/>
    <w:rPr>
      <w:b/>
      <w:i/>
      <w:sz w:val="20"/>
    </w:rPr>
  </w:style>
  <w:style w:type="paragraph" w:styleId="Header">
    <w:name w:val="header"/>
    <w:basedOn w:val="Normal"/>
    <w:link w:val="HeaderChar"/>
    <w:rsid w:val="00F36A12"/>
    <w:pPr>
      <w:tabs>
        <w:tab w:val="center" w:pos="4513"/>
        <w:tab w:val="right" w:pos="9026"/>
      </w:tabs>
    </w:pPr>
  </w:style>
  <w:style w:type="character" w:customStyle="1" w:styleId="HeaderChar">
    <w:name w:val="Header Char"/>
    <w:link w:val="Header"/>
    <w:rsid w:val="00F36A12"/>
    <w:rPr>
      <w:sz w:val="24"/>
      <w:lang w:eastAsia="en-US"/>
    </w:rPr>
  </w:style>
  <w:style w:type="character" w:customStyle="1" w:styleId="BodyTextIndentChar">
    <w:name w:val="Body Text Indent Char"/>
    <w:link w:val="BodyTextIndent"/>
    <w:rsid w:val="002859F1"/>
    <w:rPr>
      <w:sz w:val="24"/>
      <w:lang w:val="sv-SE" w:eastAsia="en-US"/>
    </w:rPr>
  </w:style>
  <w:style w:type="paragraph" w:customStyle="1" w:styleId="Paragraph">
    <w:name w:val="Paragraph"/>
    <w:link w:val="ParagraphChar"/>
    <w:rsid w:val="002859F1"/>
    <w:pPr>
      <w:spacing w:after="240"/>
    </w:pPr>
    <w:rPr>
      <w:sz w:val="24"/>
      <w:szCs w:val="24"/>
      <w:lang w:val="en-US" w:eastAsia="en-US"/>
    </w:rPr>
  </w:style>
  <w:style w:type="character" w:customStyle="1" w:styleId="ParagraphChar">
    <w:name w:val="Paragraph Char"/>
    <w:link w:val="Paragraph"/>
    <w:rsid w:val="002859F1"/>
    <w:rPr>
      <w:sz w:val="24"/>
      <w:szCs w:val="24"/>
      <w:lang w:val="en-US" w:eastAsia="en-US" w:bidi="ar-SA"/>
    </w:rPr>
  </w:style>
  <w:style w:type="paragraph" w:styleId="BalloonText">
    <w:name w:val="Balloon Text"/>
    <w:basedOn w:val="Normal"/>
    <w:link w:val="BalloonTextChar"/>
    <w:rsid w:val="004A2087"/>
    <w:rPr>
      <w:rFonts w:ascii="Tahoma" w:hAnsi="Tahoma" w:cs="Tahoma"/>
      <w:sz w:val="16"/>
      <w:szCs w:val="16"/>
    </w:rPr>
  </w:style>
  <w:style w:type="character" w:customStyle="1" w:styleId="BalloonTextChar">
    <w:name w:val="Balloon Text Char"/>
    <w:link w:val="BalloonText"/>
    <w:rsid w:val="004A2087"/>
    <w:rPr>
      <w:rFonts w:ascii="Tahoma" w:hAnsi="Tahoma" w:cs="Tahoma"/>
      <w:sz w:val="16"/>
      <w:szCs w:val="16"/>
      <w:lang w:eastAsia="en-US"/>
    </w:rPr>
  </w:style>
  <w:style w:type="character" w:customStyle="1" w:styleId="TableTextColHeadChar">
    <w:name w:val="TableText Col Head Char"/>
    <w:link w:val="TableTextColHead"/>
    <w:locked/>
    <w:rsid w:val="000979F9"/>
    <w:rPr>
      <w:rFonts w:ascii="Times New Roman Bold" w:hAnsi="Times New Roman Bold" w:cs="Times New Roman Bold"/>
      <w:b/>
      <w:lang w:val="en-US" w:eastAsia="en-US"/>
    </w:rPr>
  </w:style>
  <w:style w:type="paragraph" w:customStyle="1" w:styleId="TableTextColHead">
    <w:name w:val="TableText Col Head"/>
    <w:next w:val="Normal"/>
    <w:link w:val="TableTextColHeadChar"/>
    <w:rsid w:val="000979F9"/>
    <w:pPr>
      <w:jc w:val="center"/>
    </w:pPr>
    <w:rPr>
      <w:rFonts w:ascii="Times New Roman Bold" w:hAnsi="Times New Roman Bold" w:cs="Times New Roman Bold"/>
      <w:b/>
      <w:lang w:val="en-US" w:eastAsia="en-US"/>
    </w:rPr>
  </w:style>
  <w:style w:type="paragraph" w:styleId="Revision">
    <w:name w:val="Revision"/>
    <w:hidden/>
    <w:uiPriority w:val="99"/>
    <w:semiHidden/>
    <w:rsid w:val="002B3855"/>
    <w:rPr>
      <w:sz w:val="24"/>
      <w:lang w:eastAsia="en-US"/>
    </w:rPr>
  </w:style>
  <w:style w:type="paragraph" w:styleId="NormalWeb">
    <w:name w:val="Normal (Web)"/>
    <w:basedOn w:val="Normal"/>
    <w:rsid w:val="00A6158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8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mhra.gov.uk/yellowcar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1E8192ED40E34E9566D8F460B64F9B" ma:contentTypeVersion="12" ma:contentTypeDescription="Create a new document." ma:contentTypeScope="" ma:versionID="9fb02e4836d030e25cf722b63f2bfa49">
  <xsd:schema xmlns:xsd="http://www.w3.org/2001/XMLSchema" xmlns:xs="http://www.w3.org/2001/XMLSchema" xmlns:p="http://schemas.microsoft.com/office/2006/metadata/properties" xmlns:ns2="0cd8ac13-2c71-4842-9d88-9755bf3d64f4" xmlns:ns3="f6b31e21-9883-4621-8627-7f8117eac9ed" targetNamespace="http://schemas.microsoft.com/office/2006/metadata/properties" ma:root="true" ma:fieldsID="ff7f1cff6f06c05dcda8da59ba0e329e" ns2:_="" ns3:_="">
    <xsd:import namespace="0cd8ac13-2c71-4842-9d88-9755bf3d64f4"/>
    <xsd:import namespace="f6b31e21-9883-4621-8627-7f8117eac9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8ac13-2c71-4842-9d88-9755bf3d6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f9dd247-5f48-452a-8dc4-ff9a39258eb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b31e21-9883-4621-8627-7f8117eac9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4e8e998-35f7-4302-8e29-6d2f4f6d8527}" ma:internalName="TaxCatchAll" ma:showField="CatchAllData" ma:web="f6b31e21-9883-4621-8627-7f8117eac9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6b31e21-9883-4621-8627-7f8117eac9ed"/>
    <lcf76f155ced4ddcb4097134ff3c332f xmlns="0cd8ac13-2c71-4842-9d88-9755bf3d64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D60B4B-D484-4982-9BB6-98F019E271BA}">
  <ds:schemaRefs>
    <ds:schemaRef ds:uri="http://schemas.microsoft.com/sharepoint/v3/contenttype/forms"/>
  </ds:schemaRefs>
</ds:datastoreItem>
</file>

<file path=customXml/itemProps2.xml><?xml version="1.0" encoding="utf-8"?>
<ds:datastoreItem xmlns:ds="http://schemas.openxmlformats.org/officeDocument/2006/customXml" ds:itemID="{36772ACE-BEB4-4DB2-ACD9-312B54A0F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8ac13-2c71-4842-9d88-9755bf3d64f4"/>
    <ds:schemaRef ds:uri="f6b31e21-9883-4621-8627-7f8117eac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BDBEA5-D2C8-484B-A7D2-EB0E7C1279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SUMMARY OF PRODUCT CHARACTERISTICS</vt:lpstr>
    </vt:vector>
  </TitlesOfParts>
  <Company>Pfizer Inc</Company>
  <LinksUpToDate>false</LinksUpToDate>
  <CharactersWithSpaces>23580</CharactersWithSpaces>
  <SharedDoc>false</SharedDoc>
  <HLinks>
    <vt:vector size="6" baseType="variant">
      <vt:variant>
        <vt:i4>5963789</vt:i4>
      </vt:variant>
      <vt:variant>
        <vt:i4>0</vt:i4>
      </vt:variant>
      <vt:variant>
        <vt:i4>0</vt:i4>
      </vt:variant>
      <vt:variant>
        <vt:i4>5</vt:i4>
      </vt:variant>
      <vt:variant>
        <vt:lpwstr>http://www.mhra.gov.uk/yellowcard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PRODUCT CHARACTERISTICS</dc:title>
  <dc:subject/>
  <dc:creator>normap02</dc:creator>
  <cp:keywords/>
  <cp:lastModifiedBy>Luthra, Smriti</cp:lastModifiedBy>
  <cp:revision>2</cp:revision>
  <dcterms:created xsi:type="dcterms:W3CDTF">2025-05-23T14:06:00Z</dcterms:created>
  <dcterms:modified xsi:type="dcterms:W3CDTF">2025-05-23T14:06:00Z</dcterms:modified>
</cp:coreProperties>
</file>