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589" w:rsidRPr="00EE1589" w:rsidRDefault="00EE1589" w:rsidP="00EE1589">
      <w:pPr>
        <w:jc w:val="center"/>
        <w:rPr>
          <w:b/>
          <w:sz w:val="40"/>
          <w:szCs w:val="40"/>
        </w:rPr>
      </w:pPr>
      <w:r w:rsidRPr="00EE1589">
        <w:rPr>
          <w:rFonts w:hint="eastAsia"/>
          <w:b/>
          <w:sz w:val="40"/>
          <w:szCs w:val="40"/>
        </w:rPr>
        <w:t>兰卡威</w:t>
      </w:r>
      <w:r w:rsidRPr="00EE1589">
        <w:rPr>
          <w:rFonts w:hint="eastAsia"/>
          <w:b/>
          <w:sz w:val="40"/>
          <w:szCs w:val="40"/>
        </w:rPr>
        <w:t xml:space="preserve"> Tropicana </w:t>
      </w:r>
      <w:proofErr w:type="spellStart"/>
      <w:r w:rsidRPr="00EE1589">
        <w:rPr>
          <w:rFonts w:hint="eastAsia"/>
          <w:b/>
          <w:sz w:val="40"/>
          <w:szCs w:val="40"/>
        </w:rPr>
        <w:t>Cenang</w:t>
      </w:r>
      <w:proofErr w:type="spellEnd"/>
      <w:r w:rsidRPr="00EE1589">
        <w:rPr>
          <w:rFonts w:hint="eastAsia"/>
          <w:b/>
          <w:sz w:val="40"/>
          <w:szCs w:val="40"/>
        </w:rPr>
        <w:t>高级服务式公寓</w:t>
      </w:r>
    </w:p>
    <w:p w:rsidR="00EE1589" w:rsidRPr="00EE1589" w:rsidRDefault="00EE1589" w:rsidP="00EE1589">
      <w:pPr>
        <w:rPr>
          <w:b/>
          <w:sz w:val="26"/>
          <w:szCs w:val="26"/>
        </w:rPr>
      </w:pPr>
      <w:r w:rsidRPr="00EE1589">
        <w:rPr>
          <w:rFonts w:hint="eastAsia"/>
          <w:b/>
          <w:sz w:val="26"/>
          <w:szCs w:val="26"/>
          <w:bdr w:val="none" w:sz="0" w:space="0" w:color="auto" w:frame="1"/>
        </w:rPr>
        <w:t>项目介绍</w:t>
      </w:r>
    </w:p>
    <w:p w:rsidR="00EE1589" w:rsidRDefault="00EE1589" w:rsidP="00EE1589">
      <w:r w:rsidRPr="00EE1589">
        <w:rPr>
          <w:rFonts w:hint="eastAsia"/>
        </w:rPr>
        <w:t>兰卡威是马六甲海峡上一处由</w:t>
      </w:r>
      <w:r w:rsidRPr="00EE1589">
        <w:rPr>
          <w:rFonts w:hint="eastAsia"/>
        </w:rPr>
        <w:t>99</w:t>
      </w:r>
      <w:r w:rsidRPr="00EE1589">
        <w:rPr>
          <w:rFonts w:hint="eastAsia"/>
        </w:rPr>
        <w:t>座岛屿组成的群岛，连接安达曼海，与泰国普吉岛遥想对望。马来西亚首相纳吉布号召未来将打造兰卡威成为”东方摩纳哥”。兰卡威自</w:t>
      </w:r>
      <w:r w:rsidRPr="00EE1589">
        <w:rPr>
          <w:rFonts w:hint="eastAsia"/>
        </w:rPr>
        <w:t>1987</w:t>
      </w:r>
      <w:r w:rsidRPr="00EE1589">
        <w:rPr>
          <w:rFonts w:hint="eastAsia"/>
        </w:rPr>
        <w:t>年成为国际免税区起，便成为了蜚声国际的购物天堂。各地而来的游客除了能在兰卡威亲近自然，沙滩戏水外，还能购买到免税商品。</w:t>
      </w:r>
      <w:r w:rsidRPr="00EE1589">
        <w:rPr>
          <w:rFonts w:hint="eastAsia"/>
        </w:rPr>
        <w:br/>
      </w:r>
      <w:r w:rsidRPr="00EE1589">
        <w:rPr>
          <w:rFonts w:hint="eastAsia"/>
        </w:rPr>
        <w:t>群山环绕的自然奇景，淳朴静谧的细腻海滩，便利的购物餐饮配套，高级豪华的酒店设施，只有拥有这一切的丽阳兰卡威珍南海滨公寓才能成为您心目中独一无二的豪华度假住宅。</w:t>
      </w:r>
      <w:r w:rsidRPr="00EE1589">
        <w:rPr>
          <w:rFonts w:hint="eastAsia"/>
        </w:rPr>
        <w:br/>
      </w:r>
      <w:r w:rsidRPr="00EE1589">
        <w:rPr>
          <w:rFonts w:hint="eastAsia"/>
        </w:rPr>
        <w:t>丽阳机构与万达集团房产界与酒店业的巨头强强联手即将让兰卡威，这个举世闻名的海岛度假胜地蜕茧成蝶，以焕然一新的面貌出发。从马来西亚北方畅享辽阔的安达曼海景，丽阳兰卡威珍南海滨公寓投资自住两相宜。</w:t>
      </w:r>
    </w:p>
    <w:p w:rsidR="00EE1589" w:rsidRPr="00EE1589" w:rsidRDefault="00EE1589" w:rsidP="00EE1589">
      <w:pPr>
        <w:rPr>
          <w:rFonts w:hint="eastAsia"/>
        </w:rPr>
      </w:pPr>
      <w:r w:rsidRPr="00EE1589">
        <w:rPr>
          <w:rFonts w:hint="eastAsia"/>
        </w:rPr>
        <w:br/>
      </w:r>
      <w:r w:rsidRPr="00EE1589">
        <w:rPr>
          <w:rFonts w:hint="eastAsia"/>
          <w:b/>
          <w:sz w:val="26"/>
          <w:szCs w:val="26"/>
        </w:rPr>
        <w:t>户型：</w:t>
      </w:r>
      <w:r w:rsidRPr="00EE1589">
        <w:rPr>
          <w:rFonts w:hint="eastAsia"/>
        </w:rPr>
        <w:br/>
        <w:t>A</w:t>
      </w:r>
      <w:r w:rsidRPr="00EE1589">
        <w:rPr>
          <w:rFonts w:hint="eastAsia"/>
        </w:rPr>
        <w:t>户型（</w:t>
      </w:r>
      <w:r w:rsidRPr="00EE1589">
        <w:rPr>
          <w:rFonts w:hint="eastAsia"/>
        </w:rPr>
        <w:t>2</w:t>
      </w:r>
      <w:r w:rsidRPr="00EE1589">
        <w:rPr>
          <w:rFonts w:hint="eastAsia"/>
        </w:rPr>
        <w:t>室）</w:t>
      </w:r>
      <w:r w:rsidRPr="00EE1589">
        <w:rPr>
          <w:rFonts w:hint="eastAsia"/>
        </w:rPr>
        <w:t>-</w:t>
      </w:r>
      <w:r w:rsidRPr="00EE1589">
        <w:rPr>
          <w:rFonts w:hint="eastAsia"/>
        </w:rPr>
        <w:t>使用面积：</w:t>
      </w:r>
      <w:r w:rsidRPr="00EE1589">
        <w:rPr>
          <w:rFonts w:hint="eastAsia"/>
        </w:rPr>
        <w:t>71.6</w:t>
      </w:r>
      <w:r w:rsidRPr="00EE1589">
        <w:rPr>
          <w:rFonts w:hint="eastAsia"/>
        </w:rPr>
        <w:t>㎡；</w:t>
      </w:r>
      <w:r w:rsidRPr="00EE1589">
        <w:rPr>
          <w:rFonts w:hint="eastAsia"/>
        </w:rPr>
        <w:br/>
        <w:t>B</w:t>
      </w:r>
      <w:r w:rsidRPr="00EE1589">
        <w:rPr>
          <w:rFonts w:hint="eastAsia"/>
        </w:rPr>
        <w:t>户型（</w:t>
      </w:r>
      <w:r w:rsidRPr="00EE1589">
        <w:rPr>
          <w:rFonts w:hint="eastAsia"/>
        </w:rPr>
        <w:t>3</w:t>
      </w:r>
      <w:r w:rsidRPr="00EE1589">
        <w:rPr>
          <w:rFonts w:hint="eastAsia"/>
        </w:rPr>
        <w:t>室</w:t>
      </w:r>
      <w:r w:rsidRPr="00EE1589">
        <w:rPr>
          <w:rFonts w:hint="eastAsia"/>
        </w:rPr>
        <w:t>2</w:t>
      </w:r>
      <w:r w:rsidRPr="00EE1589">
        <w:rPr>
          <w:rFonts w:hint="eastAsia"/>
        </w:rPr>
        <w:t>卫）</w:t>
      </w:r>
      <w:r w:rsidRPr="00EE1589">
        <w:rPr>
          <w:rFonts w:hint="eastAsia"/>
        </w:rPr>
        <w:t>-</w:t>
      </w:r>
      <w:r w:rsidRPr="00EE1589">
        <w:rPr>
          <w:rFonts w:hint="eastAsia"/>
        </w:rPr>
        <w:t>使用面积：</w:t>
      </w:r>
      <w:r w:rsidRPr="00EE1589">
        <w:rPr>
          <w:rFonts w:hint="eastAsia"/>
        </w:rPr>
        <w:t>91.6</w:t>
      </w:r>
      <w:r w:rsidRPr="00EE1589">
        <w:rPr>
          <w:rFonts w:hint="eastAsia"/>
        </w:rPr>
        <w:t>㎡；</w:t>
      </w:r>
      <w:r w:rsidRPr="00EE1589">
        <w:rPr>
          <w:rFonts w:hint="eastAsia"/>
        </w:rPr>
        <w:br/>
        <w:t>C</w:t>
      </w:r>
      <w:r w:rsidRPr="00EE1589">
        <w:rPr>
          <w:rFonts w:hint="eastAsia"/>
        </w:rPr>
        <w:t>户型（</w:t>
      </w:r>
      <w:r w:rsidRPr="00EE1589">
        <w:rPr>
          <w:rFonts w:hint="eastAsia"/>
        </w:rPr>
        <w:t>4</w:t>
      </w:r>
      <w:r w:rsidRPr="00EE1589">
        <w:rPr>
          <w:rFonts w:hint="eastAsia"/>
        </w:rPr>
        <w:t>室</w:t>
      </w:r>
      <w:r w:rsidRPr="00EE1589">
        <w:rPr>
          <w:rFonts w:hint="eastAsia"/>
        </w:rPr>
        <w:t>3</w:t>
      </w:r>
      <w:r w:rsidRPr="00EE1589">
        <w:rPr>
          <w:rFonts w:hint="eastAsia"/>
        </w:rPr>
        <w:t>卫）</w:t>
      </w:r>
      <w:r w:rsidRPr="00EE1589">
        <w:rPr>
          <w:rFonts w:hint="eastAsia"/>
        </w:rPr>
        <w:t>-</w:t>
      </w:r>
      <w:r w:rsidRPr="00EE1589">
        <w:rPr>
          <w:rFonts w:hint="eastAsia"/>
        </w:rPr>
        <w:t>使用面积：</w:t>
      </w:r>
      <w:r w:rsidRPr="00EE1589">
        <w:rPr>
          <w:rFonts w:hint="eastAsia"/>
        </w:rPr>
        <w:t>120.2</w:t>
      </w:r>
      <w:r w:rsidRPr="00EE1589">
        <w:rPr>
          <w:rFonts w:hint="eastAsia"/>
        </w:rPr>
        <w:t>㎡；</w:t>
      </w:r>
      <w:r w:rsidRPr="00EE1589">
        <w:rPr>
          <w:rFonts w:hint="eastAsia"/>
        </w:rPr>
        <w:t> </w:t>
      </w:r>
      <w:r w:rsidRPr="00EE1589">
        <w:rPr>
          <w:rFonts w:hint="eastAsia"/>
        </w:rPr>
        <w:br/>
      </w:r>
      <w:r w:rsidRPr="00EE1589">
        <w:rPr>
          <w:rFonts w:hint="eastAsia"/>
        </w:rPr>
        <w:t>楼数：</w:t>
      </w:r>
      <w:r w:rsidRPr="00EE1589">
        <w:rPr>
          <w:rFonts w:hint="eastAsia"/>
        </w:rPr>
        <w:t>2</w:t>
      </w:r>
      <w:r w:rsidRPr="00EE1589">
        <w:rPr>
          <w:rFonts w:hint="eastAsia"/>
        </w:rPr>
        <w:t>栋；</w:t>
      </w:r>
      <w:r w:rsidRPr="00EE1589">
        <w:rPr>
          <w:rFonts w:hint="eastAsia"/>
        </w:rPr>
        <w:br/>
      </w:r>
      <w:r w:rsidRPr="00EE1589">
        <w:rPr>
          <w:rFonts w:hint="eastAsia"/>
        </w:rPr>
        <w:t>楼层：</w:t>
      </w:r>
      <w:r w:rsidRPr="00EE1589">
        <w:rPr>
          <w:rFonts w:hint="eastAsia"/>
        </w:rPr>
        <w:t>40</w:t>
      </w:r>
      <w:r w:rsidRPr="00EE1589">
        <w:rPr>
          <w:rFonts w:hint="eastAsia"/>
        </w:rPr>
        <w:t>层；</w:t>
      </w:r>
      <w:r w:rsidRPr="00EE1589">
        <w:rPr>
          <w:rFonts w:hint="eastAsia"/>
        </w:rPr>
        <w:t> </w:t>
      </w:r>
      <w:r w:rsidRPr="00EE1589">
        <w:rPr>
          <w:rFonts w:hint="eastAsia"/>
        </w:rPr>
        <w:br/>
        <w:t>A-</w:t>
      </w:r>
      <w:r w:rsidRPr="00EE1589">
        <w:rPr>
          <w:rFonts w:hint="eastAsia"/>
        </w:rPr>
        <w:t>栋</w:t>
      </w:r>
      <w:r w:rsidRPr="00EE1589">
        <w:rPr>
          <w:rFonts w:hint="eastAsia"/>
        </w:rPr>
        <w:t>: 551</w:t>
      </w:r>
      <w:r w:rsidRPr="00EE1589">
        <w:rPr>
          <w:rFonts w:hint="eastAsia"/>
        </w:rPr>
        <w:t>户；</w:t>
      </w:r>
      <w:r w:rsidRPr="00EE1589">
        <w:rPr>
          <w:rFonts w:hint="eastAsia"/>
        </w:rPr>
        <w:t>B-</w:t>
      </w:r>
      <w:r w:rsidRPr="00EE1589">
        <w:rPr>
          <w:rFonts w:hint="eastAsia"/>
        </w:rPr>
        <w:t>栋</w:t>
      </w:r>
      <w:r w:rsidRPr="00EE1589">
        <w:rPr>
          <w:rFonts w:hint="eastAsia"/>
        </w:rPr>
        <w:t>: 551</w:t>
      </w:r>
      <w:r w:rsidRPr="00EE1589">
        <w:rPr>
          <w:rFonts w:hint="eastAsia"/>
        </w:rPr>
        <w:t>户；</w:t>
      </w:r>
    </w:p>
    <w:p w:rsidR="00EE1589" w:rsidRPr="00EE1589" w:rsidRDefault="00EE1589" w:rsidP="00EE1589">
      <w:pPr>
        <w:rPr>
          <w:rFonts w:hint="eastAsia"/>
          <w:b/>
          <w:sz w:val="26"/>
          <w:szCs w:val="26"/>
        </w:rPr>
      </w:pPr>
      <w:r w:rsidRPr="00EE1589">
        <w:rPr>
          <w:rFonts w:hint="eastAsia"/>
          <w:b/>
          <w:sz w:val="26"/>
          <w:szCs w:val="26"/>
          <w:bdr w:val="none" w:sz="0" w:space="0" w:color="auto" w:frame="1"/>
        </w:rPr>
        <w:t>详细参数</w:t>
      </w:r>
    </w:p>
    <w:p w:rsidR="00EE1589" w:rsidRPr="00EE1589" w:rsidRDefault="00EE1589" w:rsidP="00EE1589">
      <w:pPr>
        <w:rPr>
          <w:rFonts w:hint="eastAsia"/>
        </w:rPr>
      </w:pPr>
      <w:r w:rsidRPr="00EE1589">
        <w:rPr>
          <w:rFonts w:hint="eastAsia"/>
          <w:b/>
          <w:bdr w:val="none" w:sz="0" w:space="0" w:color="auto" w:frame="1"/>
        </w:rPr>
        <w:t>物业类型</w:t>
      </w:r>
      <w:r w:rsidRPr="00EE1589">
        <w:rPr>
          <w:rFonts w:hint="eastAsia"/>
          <w:b/>
          <w:bdr w:val="none" w:sz="0" w:space="0" w:color="auto" w:frame="1"/>
        </w:rPr>
        <w:t xml:space="preserve"> :</w:t>
      </w:r>
      <w:r w:rsidRPr="00EE1589">
        <w:rPr>
          <w:rFonts w:hint="eastAsia"/>
        </w:rPr>
        <w:t>普通住宅</w:t>
      </w:r>
    </w:p>
    <w:p w:rsidR="00EE1589" w:rsidRPr="00EE1589" w:rsidRDefault="00EE1589" w:rsidP="00EE1589">
      <w:pPr>
        <w:rPr>
          <w:rFonts w:hint="eastAsia"/>
        </w:rPr>
      </w:pPr>
      <w:r w:rsidRPr="00EE1589">
        <w:rPr>
          <w:rFonts w:hint="eastAsia"/>
          <w:b/>
          <w:bdr w:val="none" w:sz="0" w:space="0" w:color="auto" w:frame="1"/>
        </w:rPr>
        <w:t>使用面积</w:t>
      </w:r>
      <w:r w:rsidRPr="00EE1589">
        <w:rPr>
          <w:rFonts w:hint="eastAsia"/>
          <w:b/>
          <w:bdr w:val="none" w:sz="0" w:space="0" w:color="auto" w:frame="1"/>
        </w:rPr>
        <w:t>(</w:t>
      </w:r>
      <w:r w:rsidRPr="00EE1589">
        <w:rPr>
          <w:rFonts w:hint="eastAsia"/>
          <w:b/>
          <w:bdr w:val="none" w:sz="0" w:space="0" w:color="auto" w:frame="1"/>
        </w:rPr>
        <w:t>㎡</w:t>
      </w:r>
      <w:r w:rsidRPr="00EE1589">
        <w:rPr>
          <w:rFonts w:hint="eastAsia"/>
          <w:b/>
          <w:bdr w:val="none" w:sz="0" w:space="0" w:color="auto" w:frame="1"/>
        </w:rPr>
        <w:t>) :</w:t>
      </w:r>
      <w:r w:rsidRPr="00EE1589">
        <w:rPr>
          <w:rFonts w:hint="eastAsia"/>
        </w:rPr>
        <w:t>71.60</w:t>
      </w:r>
    </w:p>
    <w:p w:rsidR="00EE1589" w:rsidRPr="00EE1589" w:rsidRDefault="00EE1589" w:rsidP="00EE1589">
      <w:pPr>
        <w:rPr>
          <w:rFonts w:hint="eastAsia"/>
        </w:rPr>
      </w:pPr>
      <w:r w:rsidRPr="00EE1589">
        <w:rPr>
          <w:rFonts w:hint="eastAsia"/>
          <w:b/>
        </w:rPr>
        <w:t>交房时间</w:t>
      </w:r>
      <w:r w:rsidRPr="00EE1589">
        <w:rPr>
          <w:rFonts w:hint="eastAsia"/>
          <w:b/>
        </w:rPr>
        <w:t>:</w:t>
      </w:r>
      <w:r w:rsidRPr="00EE1589">
        <w:rPr>
          <w:rFonts w:hint="eastAsia"/>
        </w:rPr>
        <w:t xml:space="preserve"> 2021</w:t>
      </w:r>
      <w:r w:rsidRPr="00EE1589">
        <w:rPr>
          <w:rFonts w:hint="eastAsia"/>
        </w:rPr>
        <w:t>年</w:t>
      </w:r>
    </w:p>
    <w:p w:rsidR="00EE1589" w:rsidRPr="00EE1589" w:rsidRDefault="00EE1589" w:rsidP="00EE1589">
      <w:pPr>
        <w:rPr>
          <w:rFonts w:hint="eastAsia"/>
        </w:rPr>
      </w:pPr>
      <w:r w:rsidRPr="00EE1589">
        <w:rPr>
          <w:rFonts w:hint="eastAsia"/>
          <w:b/>
        </w:rPr>
        <w:t>开发商</w:t>
      </w:r>
      <w:r w:rsidRPr="00EE1589">
        <w:rPr>
          <w:rFonts w:hint="eastAsia"/>
          <w:b/>
        </w:rPr>
        <w:t>:</w:t>
      </w:r>
      <w:r w:rsidRPr="00EE1589">
        <w:rPr>
          <w:rFonts w:hint="eastAsia"/>
        </w:rPr>
        <w:t xml:space="preserve"> </w:t>
      </w:r>
      <w:proofErr w:type="spellStart"/>
      <w:r w:rsidRPr="00EE1589">
        <w:rPr>
          <w:rFonts w:hint="eastAsia"/>
        </w:rPr>
        <w:t>Cenang</w:t>
      </w:r>
      <w:proofErr w:type="spellEnd"/>
      <w:r w:rsidRPr="00EE1589">
        <w:rPr>
          <w:rFonts w:hint="eastAsia"/>
        </w:rPr>
        <w:t xml:space="preserve"> Resort </w:t>
      </w:r>
      <w:proofErr w:type="spellStart"/>
      <w:r w:rsidRPr="00EE1589">
        <w:rPr>
          <w:rFonts w:hint="eastAsia"/>
        </w:rPr>
        <w:t>Sdn</w:t>
      </w:r>
      <w:proofErr w:type="spellEnd"/>
      <w:r w:rsidRPr="00EE1589">
        <w:rPr>
          <w:rFonts w:hint="eastAsia"/>
        </w:rPr>
        <w:t xml:space="preserve"> </w:t>
      </w:r>
      <w:proofErr w:type="spellStart"/>
      <w:r w:rsidRPr="00EE1589">
        <w:rPr>
          <w:rFonts w:hint="eastAsia"/>
        </w:rPr>
        <w:t>Bhd</w:t>
      </w:r>
      <w:proofErr w:type="spellEnd"/>
    </w:p>
    <w:p w:rsidR="00EE1589" w:rsidRPr="00EE1589" w:rsidRDefault="00EE1589" w:rsidP="00EE1589">
      <w:pPr>
        <w:rPr>
          <w:rFonts w:hint="eastAsia"/>
        </w:rPr>
      </w:pPr>
      <w:r w:rsidRPr="00EE1589">
        <w:rPr>
          <w:rFonts w:hint="eastAsia"/>
          <w:b/>
          <w:bdr w:val="none" w:sz="0" w:space="0" w:color="auto" w:frame="1"/>
        </w:rPr>
        <w:t>停车位描述</w:t>
      </w:r>
      <w:r w:rsidRPr="00EE1589">
        <w:rPr>
          <w:rFonts w:hint="eastAsia"/>
          <w:b/>
          <w:bdr w:val="none" w:sz="0" w:space="0" w:color="auto" w:frame="1"/>
        </w:rPr>
        <w:t xml:space="preserve"> :</w:t>
      </w:r>
      <w:r w:rsidRPr="00EE1589">
        <w:rPr>
          <w:rFonts w:hint="eastAsia"/>
        </w:rPr>
        <w:t>送车位</w:t>
      </w:r>
    </w:p>
    <w:p w:rsidR="00EE1589" w:rsidRPr="00EE1589" w:rsidRDefault="00EE1589" w:rsidP="00EE1589">
      <w:pPr>
        <w:rPr>
          <w:rFonts w:hint="eastAsia"/>
        </w:rPr>
      </w:pPr>
      <w:r w:rsidRPr="00EE1589">
        <w:rPr>
          <w:rFonts w:hint="eastAsia"/>
          <w:b/>
          <w:bdr w:val="none" w:sz="0" w:space="0" w:color="auto" w:frame="1"/>
        </w:rPr>
        <w:t>主力户型</w:t>
      </w:r>
      <w:r w:rsidRPr="00EE1589">
        <w:rPr>
          <w:rFonts w:hint="eastAsia"/>
          <w:b/>
          <w:bdr w:val="none" w:sz="0" w:space="0" w:color="auto" w:frame="1"/>
        </w:rPr>
        <w:t xml:space="preserve"> :</w:t>
      </w:r>
      <w:r w:rsidRPr="00EE1589">
        <w:rPr>
          <w:rFonts w:hint="eastAsia"/>
        </w:rPr>
        <w:t>A</w:t>
      </w:r>
      <w:r w:rsidRPr="00EE1589">
        <w:rPr>
          <w:rFonts w:hint="eastAsia"/>
        </w:rPr>
        <w:t>户型</w:t>
      </w:r>
    </w:p>
    <w:p w:rsidR="00EE1589" w:rsidRPr="00EE1589" w:rsidRDefault="00EE1589" w:rsidP="00EE1589">
      <w:pPr>
        <w:rPr>
          <w:rFonts w:hint="eastAsia"/>
        </w:rPr>
      </w:pPr>
      <w:r w:rsidRPr="00EE1589">
        <w:rPr>
          <w:rFonts w:hint="eastAsia"/>
          <w:b/>
        </w:rPr>
        <w:t>产权说明</w:t>
      </w:r>
      <w:r w:rsidRPr="00EE1589">
        <w:rPr>
          <w:rFonts w:hint="eastAsia"/>
          <w:b/>
        </w:rPr>
        <w:t>:</w:t>
      </w:r>
      <w:r w:rsidRPr="00EE1589">
        <w:rPr>
          <w:rFonts w:hint="eastAsia"/>
        </w:rPr>
        <w:t xml:space="preserve"> </w:t>
      </w:r>
      <w:r w:rsidRPr="00EE1589">
        <w:rPr>
          <w:rFonts w:hint="eastAsia"/>
        </w:rPr>
        <w:t>永久产权</w:t>
      </w:r>
    </w:p>
    <w:p w:rsidR="00EE1589" w:rsidRPr="00EE1589" w:rsidRDefault="00EE1589" w:rsidP="00EE1589">
      <w:pPr>
        <w:rPr>
          <w:rFonts w:hint="eastAsia"/>
        </w:rPr>
      </w:pPr>
      <w:r w:rsidRPr="00EE1589">
        <w:rPr>
          <w:rFonts w:hint="eastAsia"/>
          <w:b/>
        </w:rPr>
        <w:t>开盘时间</w:t>
      </w:r>
      <w:r w:rsidRPr="00EE1589">
        <w:rPr>
          <w:rFonts w:hint="eastAsia"/>
          <w:b/>
        </w:rPr>
        <w:t>:</w:t>
      </w:r>
      <w:r w:rsidRPr="00EE1589">
        <w:rPr>
          <w:rFonts w:hint="eastAsia"/>
        </w:rPr>
        <w:t xml:space="preserve"> 2017</w:t>
      </w:r>
      <w:r w:rsidRPr="00EE1589">
        <w:rPr>
          <w:rFonts w:hint="eastAsia"/>
        </w:rPr>
        <w:t>年</w:t>
      </w:r>
      <w:r w:rsidRPr="00EE1589">
        <w:rPr>
          <w:rFonts w:hint="eastAsia"/>
        </w:rPr>
        <w:t>8</w:t>
      </w:r>
      <w:r w:rsidRPr="00EE1589">
        <w:rPr>
          <w:rFonts w:hint="eastAsia"/>
        </w:rPr>
        <w:t>月</w:t>
      </w:r>
    </w:p>
    <w:p w:rsidR="00EE1589" w:rsidRPr="00EE1589" w:rsidRDefault="00EE1589" w:rsidP="00EE1589">
      <w:pPr>
        <w:rPr>
          <w:rFonts w:hint="eastAsia"/>
        </w:rPr>
      </w:pPr>
      <w:r w:rsidRPr="00EE1589">
        <w:rPr>
          <w:rFonts w:hint="eastAsia"/>
          <w:b/>
          <w:bdr w:val="none" w:sz="0" w:space="0" w:color="auto" w:frame="1"/>
        </w:rPr>
        <w:t>户数</w:t>
      </w:r>
      <w:r w:rsidRPr="00EE1589">
        <w:rPr>
          <w:rFonts w:hint="eastAsia"/>
          <w:b/>
          <w:bdr w:val="none" w:sz="0" w:space="0" w:color="auto" w:frame="1"/>
        </w:rPr>
        <w:t xml:space="preserve"> :</w:t>
      </w:r>
      <w:r w:rsidRPr="00EE1589">
        <w:rPr>
          <w:rFonts w:hint="eastAsia"/>
        </w:rPr>
        <w:t>1102</w:t>
      </w:r>
    </w:p>
    <w:p w:rsidR="00EE1589" w:rsidRPr="00EE1589" w:rsidRDefault="00EE1589" w:rsidP="00EE1589">
      <w:r w:rsidRPr="00EE1589">
        <w:rPr>
          <w:rFonts w:hint="eastAsia"/>
          <w:b/>
          <w:bdr w:val="none" w:sz="0" w:space="0" w:color="auto" w:frame="1"/>
        </w:rPr>
        <w:t>物业费说明</w:t>
      </w:r>
      <w:r w:rsidRPr="00EE1589">
        <w:rPr>
          <w:rFonts w:hint="eastAsia"/>
          <w:b/>
          <w:bdr w:val="none" w:sz="0" w:space="0" w:color="auto" w:frame="1"/>
        </w:rPr>
        <w:t xml:space="preserve"> :</w:t>
      </w:r>
      <w:r w:rsidRPr="00EE1589">
        <w:rPr>
          <w:rFonts w:hint="eastAsia"/>
        </w:rPr>
        <w:t>5.38</w:t>
      </w:r>
      <w:r w:rsidRPr="00EE1589">
        <w:rPr>
          <w:rFonts w:hint="eastAsia"/>
        </w:rPr>
        <w:t>马币</w:t>
      </w:r>
      <w:r w:rsidRPr="00EE1589">
        <w:rPr>
          <w:rFonts w:hint="eastAsia"/>
        </w:rPr>
        <w:t>/</w:t>
      </w:r>
      <w:r w:rsidRPr="00EE1589">
        <w:rPr>
          <w:rFonts w:hint="eastAsia"/>
        </w:rPr>
        <w:t>平米</w:t>
      </w:r>
    </w:p>
    <w:p w:rsidR="00EE1589" w:rsidRPr="00EE1589" w:rsidRDefault="00EE1589" w:rsidP="00EE1589">
      <w:r w:rsidRPr="00EE1589">
        <w:rPr>
          <w:rFonts w:hint="eastAsia"/>
          <w:b/>
        </w:rPr>
        <w:t>价格：</w:t>
      </w:r>
      <w:r w:rsidRPr="00EE1589">
        <w:rPr>
          <w:rFonts w:hint="eastAsia"/>
          <w:bdr w:val="none" w:sz="0" w:space="0" w:color="auto" w:frame="1"/>
        </w:rPr>
        <w:t>109</w:t>
      </w:r>
      <w:r w:rsidRPr="00EE1589">
        <w:rPr>
          <w:rFonts w:hint="eastAsia"/>
          <w:bdr w:val="none" w:sz="0" w:space="0" w:color="auto" w:frame="1"/>
        </w:rPr>
        <w:t>万令吉</w:t>
      </w:r>
      <w:r w:rsidRPr="00EE1589">
        <w:rPr>
          <w:rFonts w:hint="eastAsia"/>
        </w:rPr>
        <w:t> </w:t>
      </w:r>
      <w:r w:rsidRPr="00EE1589">
        <w:rPr>
          <w:rFonts w:hint="eastAsia"/>
          <w:bdr w:val="none" w:sz="0" w:space="0" w:color="auto" w:frame="1"/>
        </w:rPr>
        <w:t>|</w:t>
      </w:r>
      <w:r w:rsidRPr="00EE1589">
        <w:rPr>
          <w:rFonts w:hint="eastAsia"/>
        </w:rPr>
        <w:t> </w:t>
      </w:r>
      <w:r w:rsidRPr="00EE1589">
        <w:rPr>
          <w:rFonts w:hint="eastAsia"/>
          <w:bdr w:val="none" w:sz="0" w:space="0" w:color="auto" w:frame="1"/>
        </w:rPr>
        <w:t>181.35</w:t>
      </w:r>
      <w:r w:rsidRPr="00EE1589">
        <w:rPr>
          <w:rFonts w:hint="eastAsia"/>
          <w:bdr w:val="none" w:sz="0" w:space="0" w:color="auto" w:frame="1"/>
        </w:rPr>
        <w:t>万元</w:t>
      </w:r>
    </w:p>
    <w:p w:rsidR="00EE1589" w:rsidRPr="00EE1589" w:rsidRDefault="00EE1589" w:rsidP="00EE1589">
      <w:pPr>
        <w:rPr>
          <w:rFonts w:hint="eastAsia"/>
        </w:rPr>
      </w:pPr>
      <w:r w:rsidRPr="00EE1589">
        <w:rPr>
          <w:rFonts w:hint="eastAsia"/>
        </w:rPr>
        <w:t>约马币</w:t>
      </w:r>
      <w:r w:rsidRPr="00EE1589">
        <w:rPr>
          <w:rFonts w:hint="eastAsia"/>
        </w:rPr>
        <w:t xml:space="preserve">15,214.64 / </w:t>
      </w:r>
      <w:r w:rsidRPr="00EE1589">
        <w:rPr>
          <w:rFonts w:hint="eastAsia"/>
        </w:rPr>
        <w:t>平米</w:t>
      </w:r>
    </w:p>
    <w:p w:rsidR="00EE1589" w:rsidRPr="00EE1589" w:rsidRDefault="00EE1589" w:rsidP="00EE1589">
      <w:pPr>
        <w:rPr>
          <w:rFonts w:hint="eastAsia"/>
        </w:rPr>
      </w:pPr>
      <w:r w:rsidRPr="00EE1589">
        <w:rPr>
          <w:rFonts w:hint="eastAsia"/>
          <w:b/>
          <w:bCs/>
        </w:rPr>
        <w:t>楼盘地址：</w:t>
      </w:r>
      <w:r w:rsidRPr="00EE1589">
        <w:rPr>
          <w:rFonts w:hint="eastAsia"/>
        </w:rPr>
        <w:t> </w:t>
      </w:r>
      <w:r w:rsidRPr="00EE1589">
        <w:rPr>
          <w:rFonts w:hint="eastAsia"/>
        </w:rPr>
        <w:t>兰卡威</w:t>
      </w:r>
    </w:p>
    <w:p w:rsidR="00EE1589" w:rsidRPr="00EE1589" w:rsidRDefault="00EE1589" w:rsidP="00EE1589">
      <w:pPr>
        <w:rPr>
          <w:rFonts w:hint="eastAsia"/>
          <w:b/>
          <w:sz w:val="26"/>
          <w:szCs w:val="26"/>
        </w:rPr>
      </w:pPr>
      <w:r w:rsidRPr="00EE1589">
        <w:rPr>
          <w:rFonts w:hint="eastAsia"/>
          <w:b/>
          <w:sz w:val="26"/>
          <w:szCs w:val="26"/>
          <w:bdr w:val="none" w:sz="0" w:space="0" w:color="auto" w:frame="1"/>
        </w:rPr>
        <w:lastRenderedPageBreak/>
        <w:t>项目配套</w:t>
      </w:r>
    </w:p>
    <w:p w:rsidR="00EE1589" w:rsidRPr="00EE1589" w:rsidRDefault="00EE1589" w:rsidP="00EE1589">
      <w:pPr>
        <w:rPr>
          <w:rFonts w:hint="eastAsia"/>
        </w:rPr>
      </w:pPr>
      <w:r w:rsidRPr="00EE1589">
        <w:rPr>
          <w:rFonts w:hint="eastAsia"/>
        </w:rPr>
        <w:t>度假主题设施：</w:t>
      </w:r>
      <w:r w:rsidRPr="00EE1589">
        <w:rPr>
          <w:rFonts w:hint="eastAsia"/>
        </w:rPr>
        <w:br/>
      </w:r>
      <w:r w:rsidRPr="00EE1589">
        <w:rPr>
          <w:rFonts w:hint="eastAsia"/>
        </w:rPr>
        <w:t>游泳池、浅水池、按摩浴缸、日光浴休憩区、下沉式座区、海滨小屋、吊床、儿童乐园、树屋、儿童室内游戏室、健身房、瑜伽房、桑拿房、游戏室、电视房、阅读角、阅读庭院、多功能厅、烧烤露台、空中走廊；</w:t>
      </w:r>
    </w:p>
    <w:p w:rsidR="00EE1589" w:rsidRPr="00EE1589" w:rsidRDefault="00EE1589" w:rsidP="00EE1589">
      <w:pPr>
        <w:rPr>
          <w:rFonts w:hint="eastAsia"/>
          <w:b/>
          <w:sz w:val="26"/>
          <w:szCs w:val="26"/>
        </w:rPr>
      </w:pPr>
      <w:r w:rsidRPr="00EE1589">
        <w:rPr>
          <w:rFonts w:hint="eastAsia"/>
          <w:b/>
          <w:sz w:val="26"/>
          <w:szCs w:val="26"/>
          <w:bdr w:val="none" w:sz="0" w:space="0" w:color="auto" w:frame="1"/>
        </w:rPr>
        <w:t>交通情况</w:t>
      </w:r>
    </w:p>
    <w:p w:rsidR="00EE1589" w:rsidRPr="00EE1589" w:rsidRDefault="00EE1589" w:rsidP="00EE1589">
      <w:pPr>
        <w:rPr>
          <w:rFonts w:hint="eastAsia"/>
        </w:rPr>
      </w:pPr>
      <w:r w:rsidRPr="00EE1589">
        <w:rPr>
          <w:rFonts w:hint="eastAsia"/>
        </w:rPr>
        <w:t>卡威水族馆；兰卡威机场；兰卡威瓜镇；免税商店及礼品店；中西餐及地道餐饮店；</w:t>
      </w:r>
    </w:p>
    <w:p w:rsidR="00D6580E" w:rsidRPr="00EE1589" w:rsidRDefault="00D6580E">
      <w:pPr>
        <w:rPr>
          <w:shd w:val="pct15" w:color="auto" w:fill="FFFFFF"/>
        </w:rPr>
      </w:pPr>
      <w:bookmarkStart w:id="0" w:name="_GoBack"/>
      <w:bookmarkEnd w:id="0"/>
    </w:p>
    <w:sectPr w:rsidR="00D6580E" w:rsidRPr="00EE1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55FDD"/>
    <w:multiLevelType w:val="multilevel"/>
    <w:tmpl w:val="DF98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A1E8F"/>
    <w:multiLevelType w:val="multilevel"/>
    <w:tmpl w:val="F45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9"/>
    <w:rsid w:val="00D6580E"/>
    <w:rsid w:val="00EE158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AEF6"/>
  <w15:chartTrackingRefBased/>
  <w15:docId w15:val="{045D03EE-7E94-468A-833D-D7939EF4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1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5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1589"/>
    <w:rPr>
      <w:color w:val="0000FF"/>
      <w:u w:val="single"/>
    </w:rPr>
  </w:style>
  <w:style w:type="character" w:customStyle="1" w:styleId="Heading1Char">
    <w:name w:val="Heading 1 Char"/>
    <w:basedOn w:val="DefaultParagraphFont"/>
    <w:link w:val="Heading1"/>
    <w:uiPriority w:val="9"/>
    <w:rsid w:val="00EE1589"/>
    <w:rPr>
      <w:rFonts w:ascii="Times New Roman" w:eastAsia="Times New Roman" w:hAnsi="Times New Roman" w:cs="Times New Roman"/>
      <w:b/>
      <w:bCs/>
      <w:kern w:val="36"/>
      <w:sz w:val="48"/>
      <w:szCs w:val="48"/>
    </w:rPr>
  </w:style>
  <w:style w:type="character" w:customStyle="1" w:styleId="gelispan">
    <w:name w:val="geli_span"/>
    <w:basedOn w:val="DefaultParagraphFont"/>
    <w:rsid w:val="00EE1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7042">
      <w:bodyDiv w:val="1"/>
      <w:marLeft w:val="0"/>
      <w:marRight w:val="0"/>
      <w:marTop w:val="0"/>
      <w:marBottom w:val="0"/>
      <w:divBdr>
        <w:top w:val="none" w:sz="0" w:space="0" w:color="auto"/>
        <w:left w:val="none" w:sz="0" w:space="0" w:color="auto"/>
        <w:bottom w:val="none" w:sz="0" w:space="0" w:color="auto"/>
        <w:right w:val="none" w:sz="0" w:space="0" w:color="auto"/>
      </w:divBdr>
      <w:divsChild>
        <w:div w:id="877355742">
          <w:marLeft w:val="0"/>
          <w:marRight w:val="0"/>
          <w:marTop w:val="0"/>
          <w:marBottom w:val="0"/>
          <w:divBdr>
            <w:top w:val="none" w:sz="0" w:space="0" w:color="auto"/>
            <w:left w:val="none" w:sz="0" w:space="0" w:color="auto"/>
            <w:bottom w:val="none" w:sz="0" w:space="0" w:color="auto"/>
            <w:right w:val="none" w:sz="0" w:space="0" w:color="auto"/>
          </w:divBdr>
          <w:divsChild>
            <w:div w:id="1299603710">
              <w:marLeft w:val="0"/>
              <w:marRight w:val="0"/>
              <w:marTop w:val="300"/>
              <w:marBottom w:val="0"/>
              <w:divBdr>
                <w:top w:val="none" w:sz="0" w:space="0" w:color="auto"/>
                <w:left w:val="none" w:sz="0" w:space="0" w:color="auto"/>
                <w:bottom w:val="single" w:sz="18" w:space="0" w:color="CCCCCC"/>
                <w:right w:val="none" w:sz="0" w:space="0" w:color="auto"/>
              </w:divBdr>
            </w:div>
            <w:div w:id="475297505">
              <w:marLeft w:val="0"/>
              <w:marRight w:val="0"/>
              <w:marTop w:val="0"/>
              <w:marBottom w:val="0"/>
              <w:divBdr>
                <w:top w:val="none" w:sz="0" w:space="0" w:color="auto"/>
                <w:left w:val="none" w:sz="0" w:space="0" w:color="auto"/>
                <w:bottom w:val="none" w:sz="0" w:space="0" w:color="auto"/>
                <w:right w:val="none" w:sz="0" w:space="0" w:color="auto"/>
              </w:divBdr>
            </w:div>
          </w:divsChild>
        </w:div>
        <w:div w:id="1341739176">
          <w:marLeft w:val="0"/>
          <w:marRight w:val="0"/>
          <w:marTop w:val="0"/>
          <w:marBottom w:val="0"/>
          <w:divBdr>
            <w:top w:val="none" w:sz="0" w:space="0" w:color="auto"/>
            <w:left w:val="none" w:sz="0" w:space="0" w:color="auto"/>
            <w:bottom w:val="none" w:sz="0" w:space="0" w:color="auto"/>
            <w:right w:val="none" w:sz="0" w:space="0" w:color="auto"/>
          </w:divBdr>
          <w:divsChild>
            <w:div w:id="77942391">
              <w:marLeft w:val="0"/>
              <w:marRight w:val="0"/>
              <w:marTop w:val="300"/>
              <w:marBottom w:val="0"/>
              <w:divBdr>
                <w:top w:val="none" w:sz="0" w:space="0" w:color="auto"/>
                <w:left w:val="none" w:sz="0" w:space="0" w:color="auto"/>
                <w:bottom w:val="single" w:sz="18" w:space="0" w:color="CCCCCC"/>
                <w:right w:val="none" w:sz="0" w:space="0" w:color="auto"/>
              </w:divBdr>
            </w:div>
          </w:divsChild>
        </w:div>
        <w:div w:id="114371917">
          <w:marLeft w:val="0"/>
          <w:marRight w:val="0"/>
          <w:marTop w:val="450"/>
          <w:marBottom w:val="450"/>
          <w:divBdr>
            <w:top w:val="none" w:sz="0" w:space="0" w:color="auto"/>
            <w:left w:val="none" w:sz="0" w:space="0" w:color="auto"/>
            <w:bottom w:val="none" w:sz="0" w:space="0" w:color="auto"/>
            <w:right w:val="none" w:sz="0" w:space="0" w:color="auto"/>
          </w:divBdr>
          <w:divsChild>
            <w:div w:id="1501698587">
              <w:marLeft w:val="0"/>
              <w:marRight w:val="0"/>
              <w:marTop w:val="0"/>
              <w:marBottom w:val="0"/>
              <w:divBdr>
                <w:top w:val="none" w:sz="0" w:space="0" w:color="auto"/>
                <w:left w:val="none" w:sz="0" w:space="0" w:color="auto"/>
                <w:bottom w:val="none" w:sz="0" w:space="0" w:color="auto"/>
                <w:right w:val="none" w:sz="0" w:space="0" w:color="auto"/>
              </w:divBdr>
            </w:div>
          </w:divsChild>
        </w:div>
        <w:div w:id="453326824">
          <w:marLeft w:val="0"/>
          <w:marRight w:val="0"/>
          <w:marTop w:val="0"/>
          <w:marBottom w:val="0"/>
          <w:divBdr>
            <w:top w:val="none" w:sz="0" w:space="0" w:color="auto"/>
            <w:left w:val="none" w:sz="0" w:space="0" w:color="auto"/>
            <w:bottom w:val="none" w:sz="0" w:space="0" w:color="auto"/>
            <w:right w:val="none" w:sz="0" w:space="0" w:color="auto"/>
          </w:divBdr>
          <w:divsChild>
            <w:div w:id="2127694723">
              <w:marLeft w:val="0"/>
              <w:marRight w:val="0"/>
              <w:marTop w:val="300"/>
              <w:marBottom w:val="0"/>
              <w:divBdr>
                <w:top w:val="none" w:sz="0" w:space="0" w:color="auto"/>
                <w:left w:val="none" w:sz="0" w:space="0" w:color="auto"/>
                <w:bottom w:val="single" w:sz="18" w:space="0" w:color="CCCCCC"/>
                <w:right w:val="none" w:sz="0" w:space="0" w:color="auto"/>
              </w:divBdr>
            </w:div>
            <w:div w:id="841353557">
              <w:marLeft w:val="0"/>
              <w:marRight w:val="0"/>
              <w:marTop w:val="0"/>
              <w:marBottom w:val="0"/>
              <w:divBdr>
                <w:top w:val="none" w:sz="0" w:space="0" w:color="auto"/>
                <w:left w:val="none" w:sz="0" w:space="0" w:color="auto"/>
                <w:bottom w:val="none" w:sz="0" w:space="0" w:color="auto"/>
                <w:right w:val="none" w:sz="0" w:space="0" w:color="auto"/>
              </w:divBdr>
            </w:div>
          </w:divsChild>
        </w:div>
        <w:div w:id="636567029">
          <w:marLeft w:val="0"/>
          <w:marRight w:val="0"/>
          <w:marTop w:val="0"/>
          <w:marBottom w:val="0"/>
          <w:divBdr>
            <w:top w:val="none" w:sz="0" w:space="0" w:color="auto"/>
            <w:left w:val="none" w:sz="0" w:space="0" w:color="auto"/>
            <w:bottom w:val="none" w:sz="0" w:space="0" w:color="auto"/>
            <w:right w:val="none" w:sz="0" w:space="0" w:color="auto"/>
          </w:divBdr>
          <w:divsChild>
            <w:div w:id="1350063320">
              <w:marLeft w:val="0"/>
              <w:marRight w:val="0"/>
              <w:marTop w:val="300"/>
              <w:marBottom w:val="0"/>
              <w:divBdr>
                <w:top w:val="none" w:sz="0" w:space="0" w:color="auto"/>
                <w:left w:val="none" w:sz="0" w:space="0" w:color="auto"/>
                <w:bottom w:val="single" w:sz="18" w:space="0" w:color="CCCCCC"/>
                <w:right w:val="none" w:sz="0" w:space="0" w:color="auto"/>
              </w:divBdr>
            </w:div>
            <w:div w:id="694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832">
      <w:bodyDiv w:val="1"/>
      <w:marLeft w:val="0"/>
      <w:marRight w:val="0"/>
      <w:marTop w:val="0"/>
      <w:marBottom w:val="0"/>
      <w:divBdr>
        <w:top w:val="none" w:sz="0" w:space="0" w:color="auto"/>
        <w:left w:val="none" w:sz="0" w:space="0" w:color="auto"/>
        <w:bottom w:val="none" w:sz="0" w:space="0" w:color="auto"/>
        <w:right w:val="none" w:sz="0" w:space="0" w:color="auto"/>
      </w:divBdr>
    </w:div>
    <w:div w:id="9998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anjuholdings7</dc:creator>
  <cp:keywords/>
  <dc:description/>
  <cp:lastModifiedBy>anjuholdings7</cp:lastModifiedBy>
  <cp:revision>1</cp:revision>
  <dcterms:created xsi:type="dcterms:W3CDTF">2017-12-06T08:49:00Z</dcterms:created>
  <dcterms:modified xsi:type="dcterms:W3CDTF">2017-12-06T08:53:00Z</dcterms:modified>
</cp:coreProperties>
</file>