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1853d0a7e69fd8c5ec5dad51b229b472641406"/>
    <w:p>
      <w:pPr>
        <w:pStyle w:val="Heading1"/>
      </w:pPr>
      <w:r>
        <w:t xml:space="preserve">A shared cardiac–skeletal-muscle ageing transcriptional signature in heart failure implicates a miR-15/16–CCND1 regulatory axis</w:t>
      </w:r>
    </w:p>
    <w:p>
      <w:pPr>
        <w:pStyle w:val="FirstParagraph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Shared HF–muscle ageing signature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Xia Wu¹*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¹Department of Internal Medicine, Carver College of Medicine, University of Iowa, Iowa City, IA, USA</w:t>
      </w:r>
    </w:p>
    <w:p>
      <w:pPr>
        <w:pStyle w:val="BodyText"/>
      </w:pPr>
      <w:r>
        <w:rPr>
          <w:b/>
          <w:bCs/>
        </w:rPr>
        <w:t xml:space="preserve">Corresponding author (*):</w:t>
      </w:r>
      <w:r>
        <w:t xml:space="preserve"> </w:t>
      </w:r>
      <w:r>
        <w:t xml:space="preserve">Xia Wu, Department of Internal Medicine, Carver College of Medicine, University of Iowa, Iowa City, IA, USA; e-mail: xwu76@uiowa.edu; ORCID iD: 0009-0006-9852-812X</w:t>
      </w:r>
    </w:p>
    <w:p>
      <w:pPr>
        <w:pStyle w:val="BodyText"/>
      </w:pPr>
      <w:r>
        <w:rPr>
          <w:i/>
          <w:iCs/>
        </w:rPr>
        <w:t xml:space="preserve">Manuscript type: Research Article. Submitted to Genes &amp; Genomics.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</w:t>
      </w:r>
      <w:r>
        <w:t xml:space="preserve"> </w:t>
      </w:r>
      <w:r>
        <w:t xml:space="preserve">Skeletal-muscle wasting frequently accompanies heart failure (HF) and worsens prognosis, but whether the two tissues share a definable transcriptional programme — and whether any such overlap merely reflects the chronological ageing common to both populations — is unclear.</w:t>
      </w:r>
    </w:p>
    <w:p>
      <w:pPr>
        <w:pStyle w:val="BodyText"/>
      </w:pPr>
      <w:r>
        <w:rPr>
          <w:b/>
          <w:bCs/>
        </w:rPr>
        <w:t xml:space="preserve">Objective</w:t>
      </w:r>
      <w:r>
        <w:t xml:space="preserve"> </w:t>
      </w:r>
      <w:r>
        <w:t xml:space="preserve">To define, statistically control, and dissect from ageing a shared HF–skeletal-muscle transcriptional signature, and to map its candidate upstream regulation and cellular localisation.</w:t>
      </w:r>
    </w:p>
    <w:p>
      <w:pPr>
        <w:pStyle w:val="BodyText"/>
      </w:pPr>
      <w:r>
        <w:rPr>
          <w:b/>
          <w:bCs/>
        </w:rPr>
        <w:t xml:space="preserve">Methods</w:t>
      </w:r>
      <w:r>
        <w:t xml:space="preserve"> </w:t>
      </w:r>
      <w:r>
        <w:t xml:space="preserve">We integrated end-stage failing left-ventricular myocardium (GSE57338, n = 313) and ageing skeletal muscle (GSE8479, n = 51) by independent differential-expression and weighted gene co-expression network (WGCNA) analyses, intersected the disease signatures, prioritised hub genes with six machine-learning selectors, and evaluated a directional signature score in independent cohorts (HF: GSE5406; muscle: five-cohort meta-analysis). Upstream regulation was mapped with AGO-CLIP-supported miRNA interactions (ENCORI) and transcription factors (ChEA3); hub genes were localised in 1.9 million single cells (CZ CELLxGENE Census). Robustness was assessed by permutation, threshold-sensitivity, age-adjustment, etiology-stratification and a 3′UTR-length-matched null.</w:t>
      </w:r>
    </w:p>
    <w:p>
      <w:pPr>
        <w:pStyle w:val="BodyText"/>
      </w:pPr>
      <w:r>
        <w:rPr>
          <w:b/>
          <w:bCs/>
        </w:rPr>
        <w:t xml:space="preserve">Results</w:t>
      </w:r>
      <w:r>
        <w:t xml:space="preserve"> </w:t>
      </w:r>
      <w:r>
        <w:t xml:space="preserve">Heart and muscle shared 59 dysregulated genes — significantly more than chance (hypergeometric p = 1.0 × 10⁻³) — enriched for extracellular-matrix, NAD/immune-metabolic and mTOR programmes. An 8-gene signature discriminated HF in an independent cohort (AUC 0.92, 95% CI 0.81–1.0) and, across five independent ageing-muscle cohorts (N = 134), gave a random-effects pooled AUC of 0.76 (95% CI 0.61–0.86, I² = 0%). The HF component was robust to age (AUC 0.95 after age adjustment; signature p = 1.8 × 10⁻¹⁸ vs age-alone AUC 0.64) and etiology (ischemic 0.96, dilated 0.97; cross-etiology r = 0.92), whereas the muscle signal weakened when ageing genes were removed (non-ageing subset AUC 0.54–0.70), i.e. remained ageing-linked. The predicted regulatory network was dominated by the canonical miR-15/16/195/497 → CCND1 cell-cycle axis (though not enriched beyond 3′UTR length at the panel level); single-cell mapping placed NAMPT in myeloid cells and FBLN1 in stromal cells in both tissues.</w:t>
      </w:r>
    </w:p>
    <w:p>
      <w:pPr>
        <w:pStyle w:val="BodyText"/>
      </w:pPr>
      <w:r>
        <w:rPr>
          <w:b/>
          <w:bCs/>
        </w:rPr>
        <w:t xml:space="preserve">Conclusion</w:t>
      </w:r>
      <w:r>
        <w:t xml:space="preserve"> </w:t>
      </w:r>
      <w:r>
        <w:t xml:space="preserve">HF and skeletal-muscle ageing share a reproducible tissue-remodelling and NAD/immune-metabolic transcriptional programme whose HF component is robust to age and etiology while the muscle component remains substantially ageing-linked. We provide this as a hypothesis-generating map of a candidate cardio-muscle ageing axis rather than a validated diagnostic biomarker.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 </w:t>
      </w:r>
      <w:r>
        <w:t xml:space="preserve">Heart failure; Skeletal-muscle ageing; Transcriptomic signature; microRNA regulatory network; Single-cell localisation; CCND1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Heart failure (HF) is frequently complicated by loss of skeletal-muscle mass and</w:t>
      </w:r>
      <w:r>
        <w:t xml:space="preserve"> </w:t>
      </w:r>
      <w:r>
        <w:t xml:space="preserve">function — a continuum spanning sarcopenia and cardiac cachexia (Cruz-Jentoft et al. 2019) — that</w:t>
      </w:r>
      <w:r>
        <w:t xml:space="preserve"> </w:t>
      </w:r>
      <w:r>
        <w:t xml:space="preserve">independently predicts mortality (Anker et al. 1997; Tacke et al. 2013). Mechanistic links proposed between failing</w:t>
      </w:r>
      <w:r>
        <w:t xml:space="preserve"> </w:t>
      </w:r>
      <w:r>
        <w:t xml:space="preserve">myocardium and wasting muscle include systemic inflammation (TNF-α, IL-6),</w:t>
      </w:r>
      <w:r>
        <w:t xml:space="preserve"> </w:t>
      </w:r>
      <w:r>
        <w:t xml:space="preserve">oxidative stress, mitochondrial dysfunction, activation of the</w:t>
      </w:r>
      <w:r>
        <w:t xml:space="preserve"> </w:t>
      </w:r>
      <w:r>
        <w:t xml:space="preserve">ubiquitin–proteasome and autophagy systems (FoxO–MuRF1/atrogin-1), insulin</w:t>
      </w:r>
      <w:r>
        <w:t xml:space="preserve"> </w:t>
      </w:r>
      <w:r>
        <w:t xml:space="preserve">resistance and RAAS activation. Whether these converging stresses produce a</w:t>
      </w:r>
      <w:r>
        <w:t xml:space="preserve"> </w:t>
      </w:r>
      <w:r>
        <w:rPr>
          <w:i/>
          <w:iCs/>
        </w:rPr>
        <w:t xml:space="preserve">shared, definable transcriptional programme</w:t>
      </w:r>
      <w:r>
        <w:t xml:space="preserve"> </w:t>
      </w:r>
      <w:r>
        <w:t xml:space="preserve">across the two tissues — and whether</w:t>
      </w:r>
      <w:r>
        <w:t xml:space="preserve"> </w:t>
      </w:r>
      <w:r>
        <w:t xml:space="preserve">any such overlap reflects disease-specific cross-talk rather than the chronological</w:t>
      </w:r>
      <w:r>
        <w:t xml:space="preserve"> </w:t>
      </w:r>
      <w:r>
        <w:t xml:space="preserve">ageing common to both populations — has not been tested directly.</w:t>
      </w:r>
    </w:p>
    <w:p>
      <w:pPr>
        <w:pStyle w:val="BodyText"/>
      </w:pPr>
      <w:r>
        <w:t xml:space="preserve">Two features motivate a cross-tissue design. First, the tissues are anatomically</w:t>
      </w:r>
      <w:r>
        <w:t xml:space="preserve"> </w:t>
      </w:r>
      <w:r>
        <w:t xml:space="preserve">distinct (myocardium vs skeletal muscle), so an overlap derived from independent</w:t>
      </w:r>
      <w:r>
        <w:t xml:space="preserve"> </w:t>
      </w:r>
      <w:r>
        <w:t xml:space="preserve">per-tissue analyses speaks to</w:t>
      </w:r>
      <w:r>
        <w:t xml:space="preserve"> </w:t>
      </w:r>
      <w:r>
        <w:rPr>
          <w:i/>
          <w:iCs/>
        </w:rPr>
        <w:t xml:space="preserve">systemic</w:t>
      </w:r>
      <w:r>
        <w:t xml:space="preserve"> </w:t>
      </w:r>
      <w:r>
        <w:t xml:space="preserve">rather than local biology. Second, the</w:t>
      </w:r>
      <w:r>
        <w:t xml:space="preserve"> </w:t>
      </w:r>
      <w:r>
        <w:t xml:space="preserve">miRNA layer (myomiRs miR-1/133/206/208/499; fibrosis-associated miR-21/29) is an</w:t>
      </w:r>
      <w:r>
        <w:t xml:space="preserve"> </w:t>
      </w:r>
      <w:r>
        <w:t xml:space="preserve">established node of muscle–heart cross-talk (Porrello et al. 2011, 2013), motivating an explicitly</w:t>
      </w:r>
      <w:r>
        <w:t xml:space="preserve"> </w:t>
      </w:r>
      <w:r>
        <w:t xml:space="preserve">evidence-anchored regulatory analysis rather than database prediction alone.</w:t>
      </w:r>
    </w:p>
    <w:p>
      <w:pPr>
        <w:pStyle w:val="BodyText"/>
      </w:pPr>
      <w:r>
        <w:t xml:space="preserve">Our overall design is summarised in Figure 1. We therefore (i) defined the shared</w:t>
      </w:r>
      <w:r>
        <w:t xml:space="preserve"> </w:t>
      </w:r>
      <w:r>
        <w:t xml:space="preserve">HF–muscle signature with statistical controls for the overlap itself; (ii) tested</w:t>
      </w:r>
      <w:r>
        <w:t xml:space="preserve"> </w:t>
      </w:r>
      <w:r>
        <w:t xml:space="preserve">whether it is separable from chronological ageing and HF etiology; (iii) mapped</w:t>
      </w:r>
      <w:r>
        <w:t xml:space="preserve"> </w:t>
      </w:r>
      <w:r>
        <w:t xml:space="preserve">upstream regulation using AGO-CLIP-supported miRNA evidence; and (iv) localised hub</w:t>
      </w:r>
      <w:r>
        <w:t xml:space="preserve"> </w:t>
      </w:r>
      <w:r>
        <w:t xml:space="preserve">genes at single-cell resolution. We emphasise at the outset that the muscle data</w:t>
      </w:r>
      <w:r>
        <w:t xml:space="preserve"> </w:t>
      </w:r>
      <w:r>
        <w:t xml:space="preserve">represent ageing muscle (old vs young) rather than clinically phenotyped</w:t>
      </w:r>
      <w:r>
        <w:t xml:space="preserve"> </w:t>
      </w:r>
      <w:r>
        <w:t xml:space="preserve">sarcopenia, and that the study is</w:t>
      </w:r>
      <w:r>
        <w:t xml:space="preserve"> </w:t>
      </w:r>
      <w:r>
        <w:t xml:space="preserve">hypothesis-generating.</w:t>
      </w:r>
    </w:p>
    <w:p>
      <w:r>
        <w:pict>
          <v:rect style="width:0;height:1.5pt" o:hralign="center" o:hrstd="t" o:hr="t"/>
        </w:pict>
      </w:r>
    </w:p>
    <w:bookmarkEnd w:id="10"/>
    <w:bookmarkStart w:id="16" w:name="results"/>
    <w:p>
      <w:pPr>
        <w:pStyle w:val="Heading2"/>
      </w:pPr>
      <w:r>
        <w:t xml:space="preserve">Results</w:t>
      </w:r>
    </w:p>
    <w:bookmarkStart w:id="11" w:name="Xfbb58199a37bd44232e42786aec300afc95bdf8"/>
    <w:p>
      <w:pPr>
        <w:pStyle w:val="Heading3"/>
      </w:pPr>
      <w:r>
        <w:t xml:space="preserve">A statistically significant shared dysregulated gene set</w:t>
      </w:r>
    </w:p>
    <w:p>
      <w:pPr>
        <w:pStyle w:val="FirstParagraph"/>
      </w:pPr>
      <w:r>
        <w:t xml:space="preserve">Independent limma analyses (BH&lt;0.05, |log₂FC|&gt;0.378) yielded 921 HF and 610</w:t>
      </w:r>
      <w:r>
        <w:t xml:space="preserve"> </w:t>
      </w:r>
      <w:r>
        <w:t xml:space="preserve">muscle DEGs; their intersection (59 genes) significantly exceeded the random</w:t>
      </w:r>
      <w:r>
        <w:t xml:space="preserve"> </w:t>
      </w:r>
      <w:r>
        <w:t xml:space="preserve">expectation (hypergeometric p=1.0×10⁻³; 5,000-permutation p=8×10⁻⁴). Direction of</w:t>
      </w:r>
      <w:r>
        <w:t xml:space="preserve"> </w:t>
      </w:r>
      <w:r>
        <w:t xml:space="preserve">change among shared genes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more concordant than chance (26/59</w:t>
      </w:r>
      <w:r>
        <w:t xml:space="preserve"> </w:t>
      </w:r>
      <w:r>
        <w:t xml:space="preserve">same-direction; binomial p=0.87), so we treated direction-concordance as a</w:t>
      </w:r>
      <w:r>
        <w:t xml:space="preserve"> </w:t>
      </w:r>
      <w:r>
        <w:rPr>
          <w:i/>
          <w:iCs/>
        </w:rPr>
        <w:t xml:space="preserve">selection criterion</w:t>
      </w:r>
      <w:r>
        <w:t xml:space="preserve"> </w:t>
      </w:r>
      <w:r>
        <w:t xml:space="preserve">for a consistent panel rather than a discovered property.</w:t>
      </w:r>
      <w:r>
        <w:t xml:space="preserve"> </w:t>
      </w:r>
      <w:r>
        <w:t xml:space="preserve">Shared genes were enriched for extracellular matrix (GO-CC p_adj=1.3×10⁻⁴),</w:t>
      </w:r>
      <w:r>
        <w:t xml:space="preserve"> </w:t>
      </w:r>
      <w:r>
        <w:t xml:space="preserve">IL-4/IL-13 signalling (Reactome) and spanned ECM/fibrosis (LUM, SFRP1, MFAP4, DPT,</w:t>
      </w:r>
      <w:r>
        <w:t xml:space="preserve"> </w:t>
      </w:r>
      <w:r>
        <w:t xml:space="preserve">FBLN1, MYH11), NAD/mitochondrial (NAMPT, MTFP1, PPM1K) and mTOR (EIF4EBP1) genes.</w:t>
      </w:r>
    </w:p>
    <w:bookmarkEnd w:id="11"/>
    <w:bookmarkStart w:id="12" w:name="Xf3a348c6fdc385df0f88be4a016d27425b21de3"/>
    <w:p>
      <w:pPr>
        <w:pStyle w:val="Heading3"/>
      </w:pPr>
      <w:r>
        <w:t xml:space="preserve">A parsimonious exploratory signature: strong in HF, modest in muscle</w:t>
      </w:r>
    </w:p>
    <w:p>
      <w:pPr>
        <w:pStyle w:val="FirstParagraph"/>
      </w:pPr>
      <w:r>
        <w:t xml:space="preserve">We used WGCNA disease modules (HF green r=−0.88; muscle turquoise r=−0.83) and six</w:t>
      </w:r>
      <w:r>
        <w:t xml:space="preserve"> </w:t>
      </w:r>
      <w:r>
        <w:t xml:space="preserve">ML selectors (≥3-vote concordance in both tissues) only to derive a</w:t>
      </w:r>
      <w:r>
        <w:t xml:space="preserve"> </w:t>
      </w:r>
      <w:r>
        <w:rPr>
          <w:i/>
          <w:iCs/>
        </w:rPr>
        <w:t xml:space="preserve">parsimonious</w:t>
      </w:r>
      <w:r>
        <w:rPr>
          <w:i/>
          <w:iCs/>
        </w:rPr>
        <w:t xml:space="preserve"> </w:t>
      </w:r>
      <w:r>
        <w:rPr>
          <w:i/>
          <w:iCs/>
        </w:rPr>
        <w:t xml:space="preserve">exploratory panel</w:t>
      </w:r>
      <w:r>
        <w:t xml:space="preserve"> </w:t>
      </w:r>
      <w:r>
        <w:t xml:space="preserve">of 11 hub genes, not as a primary discovery. These hubs were a</w:t>
      </w:r>
      <w:r>
        <w:t xml:space="preserve"> </w:t>
      </w:r>
      <w:r>
        <w:t xml:space="preserve">low-effect set: they were only modestly above a label-permutation null (p=0.075)</w:t>
      </w:r>
      <w:r>
        <w:t xml:space="preserve"> </w:t>
      </w:r>
      <w:r>
        <w:t xml:space="preserve">and were retained in the shared set at |log₂FC|&gt;0.378 (11/11) but vanished at the</w:t>
      </w:r>
      <w:r>
        <w:t xml:space="preserve"> </w:t>
      </w:r>
      <w:r>
        <w:t xml:space="preserve">1.5-/2-fold cutoffs (0/11; threshold-sensitivity table, Supplementary Table S1),</w:t>
      </w:r>
      <w:r>
        <w:t xml:space="preserve"> </w:t>
      </w:r>
      <w:r>
        <w:t xml:space="preserve">i.e. the panel reflects many small-effect genes rather than a few strong markers.</w:t>
      </w:r>
      <w:r>
        <w:t xml:space="preserve"> </w:t>
      </w:r>
      <w:r>
        <w:t xml:space="preserve">A directional</w:t>
      </w:r>
      <w:r>
        <w:t xml:space="preserve"> </w:t>
      </w:r>
      <w:r>
        <w:t xml:space="preserve">signature score over the 8 hubs present across all cohorts (of the 11; 3 were</w:t>
      </w:r>
      <w:r>
        <w:t xml:space="preserve"> </w:t>
      </w:r>
      <w:r>
        <w:t xml:space="preserve">absent from the GSE5406 platform) discriminated HF in an independent</w:t>
      </w:r>
      <w:r>
        <w:t xml:space="preserve"> </w:t>
      </w:r>
      <w:r>
        <w:t xml:space="preserve">cohort (GSE5406 AUC 0.92, 95% CI 0.81–1.0). In ageing muscle, across</w:t>
      </w:r>
      <w:r>
        <w:t xml:space="preserve"> </w:t>
      </w:r>
      <w:r>
        <w:rPr>
          <w:b/>
          <w:bCs/>
        </w:rPr>
        <w:t xml:space="preserve">five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 cohorts (N=134; GSE1428, GSE25941, GSE9103, GSE38718, GSE28392)</w:t>
      </w:r>
      <w:r>
        <w:t xml:space="preserve"> </w:t>
      </w:r>
      <w:r>
        <w:t xml:space="preserve">the</w:t>
      </w:r>
      <w:r>
        <w:t xml:space="preserve"> </w:t>
      </w:r>
      <w:r>
        <w:t xml:space="preserve">random-effects pooled AUC was</w:t>
      </w:r>
      <w:r>
        <w:t xml:space="preserve"> </w:t>
      </w:r>
      <w:r>
        <w:rPr>
          <w:b/>
          <w:bCs/>
        </w:rPr>
        <w:t xml:space="preserve">0.76 (95% CI 0.61–0.86; I²=0%)</w:t>
      </w:r>
      <w:r>
        <w:t xml:space="preserve"> </w:t>
      </w:r>
      <w:r>
        <w:t xml:space="preserve">— consistent and</w:t>
      </w:r>
      <w:r>
        <w:t xml:space="preserve"> </w:t>
      </w:r>
      <w:r>
        <w:t xml:space="preserve">above chance, with individual cohorts 0.64–0.83 (forest plot, Fig. 2C). Internal</w:t>
      </w:r>
      <w:r>
        <w:t xml:space="preserve"> </w:t>
      </w:r>
      <w:r>
        <w:t xml:space="preserve">and nested-CV estimates (0.96–1.0) are reported as apparent performance only.</w:t>
      </w:r>
    </w:p>
    <w:bookmarkEnd w:id="12"/>
    <w:bookmarkStart w:id="13" w:name="X530ef3e1584592c3c6cefd33e2f9f8d6168da32"/>
    <w:p>
      <w:pPr>
        <w:pStyle w:val="Heading3"/>
      </w:pPr>
      <w:r>
        <w:t xml:space="preserve">The HF component is robust to age and etiology</w:t>
      </w:r>
    </w:p>
    <w:p>
      <w:pPr>
        <w:pStyle w:val="FirstParagraph"/>
      </w:pPr>
      <w:r>
        <w:t xml:space="preserve">Although HF patients were older than controls (median 58 vs 52, p=1.4×10⁻⁵), age</w:t>
      </w:r>
      <w:r>
        <w:t xml:space="preserve"> </w:t>
      </w:r>
      <w:r>
        <w:t xml:space="preserve">alone discriminated weakly (AUC 0.64), whereas the signature retained AUC 0.95</w:t>
      </w:r>
      <w:r>
        <w:t xml:space="preserve"> </w:t>
      </w:r>
      <w:r>
        <w:t xml:space="preserve">after age adjustment and remained significant controlling for age (p=1.8×10⁻¹⁸).</w:t>
      </w:r>
      <w:r>
        <w:t xml:space="preserve"> </w:t>
      </w:r>
      <w:r>
        <w:t xml:space="preserve">A 4-gene non-ageing sub-signature (PITPNM1, MAGED2, MTFP1, FBLN1) preserved HF</w:t>
      </w:r>
      <w:r>
        <w:t xml:space="preserve"> </w:t>
      </w:r>
      <w:r>
        <w:t xml:space="preserve">discrimination (AUC 0.91) but lost muscle discrimination (0.54–0.70), indicating</w:t>
      </w:r>
      <w:r>
        <w:t xml:space="preserve"> </w:t>
      </w:r>
      <w:r>
        <w:t xml:space="preserve">the HF signal is robust to age whereas the muscle signal is more ageing-driven.</w:t>
      </w:r>
      <w:r>
        <w:t xml:space="preserve"> </w:t>
      </w:r>
      <w:r>
        <w:t xml:space="preserve">The signature performed equally in ischemic (AUC 0.96) and dilated (0.97)</w:t>
      </w:r>
      <w:r>
        <w:t xml:space="preserve"> </w:t>
      </w:r>
      <w:r>
        <w:t xml:space="preserve">cardiomyopathy, and the two etiologies were 92% concordant transcriptome-wide</w:t>
      </w:r>
      <w:r>
        <w:t xml:space="preserve"> </w:t>
      </w:r>
      <w:r>
        <w:t xml:space="preserve">(r=0.92), justifying their pooling for end-stage HFrEF.</w:t>
      </w:r>
    </w:p>
    <w:bookmarkEnd w:id="13"/>
    <w:bookmarkStart w:id="14" w:name="Xa1f2f8482c1ee6692ddd8778dd95f0b28ce29c4"/>
    <w:p>
      <w:pPr>
        <w:pStyle w:val="Heading3"/>
      </w:pPr>
      <w:r>
        <w:t xml:space="preserve">Upstream regulation converges on miR-15/16–CCND1</w:t>
      </w:r>
    </w:p>
    <w:p>
      <w:pPr>
        <w:pStyle w:val="FirstParagraph"/>
      </w:pPr>
      <w:r>
        <w:t xml:space="preserve">AGO-CLIP-supported miRNA→hub edges (ENCORI clipExpNum≥3; 257/436 also in</w:t>
      </w:r>
      <w:r>
        <w:t xml:space="preserve"> </w:t>
      </w:r>
      <w:r>
        <w:t xml:space="preserve">miRTarBase/TarBase) were dominated by CCND1 (72% of edges; a long-3′UTR target),</w:t>
      </w:r>
      <w:r>
        <w:t xml:space="preserve"> </w:t>
      </w:r>
      <w:r>
        <w:t xml:space="preserve">with the canonical miR-15/16/195/497 family — known regulators of cardiomyocyte</w:t>
      </w:r>
      <w:r>
        <w:t xml:space="preserve"> </w:t>
      </w:r>
      <w:r>
        <w:t xml:space="preserve">cell-cycle withdrawal (Porrello et al. 2011, 2013) — the top multi-hub regulators (clipExpNum up to 67 on CCND1). Because clipExpNum partly tracks 3′UTR length and</w:t>
      </w:r>
      <w:r>
        <w:t xml:space="preserve"> </w:t>
      </w:r>
      <w:r>
        <w:t xml:space="preserve">study coverage, and the CLIP data derive from non-cardiac/muscle cell lines, we</w:t>
      </w:r>
      <w:r>
        <w:t xml:space="preserve"> </w:t>
      </w:r>
      <w:r>
        <w:t xml:space="preserve">present this network as hypothesis-generating. In a 3′UTR-length-matched null</w:t>
      </w:r>
      <w:r>
        <w:t xml:space="preserve"> </w:t>
      </w:r>
      <w:r>
        <w:t xml:space="preserve">(four matched control genes per hub), the hub panel as a whole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enriched</w:t>
      </w:r>
      <w:r>
        <w:t xml:space="preserve"> </w:t>
      </w:r>
      <w:r>
        <w:t xml:space="preserve">for high-clipExp miRNAs (median 5.5 vs 4.0; paired Wilcoxon p=0.48), confirming</w:t>
      </w:r>
      <w:r>
        <w:t xml:space="preserve"> </w:t>
      </w:r>
      <w:r>
        <w:t xml:space="preserve">that aggregate edge counts largely reflect transcript length — with two</w:t>
      </w:r>
      <w:r>
        <w:t xml:space="preserve"> </w:t>
      </w:r>
      <w:r>
        <w:t xml:space="preserve">exceptions, CCND1 (204 vs 8.8) and NAMPT (51 vs 1), which substantially exceeded</w:t>
      </w:r>
      <w:r>
        <w:t xml:space="preserve"> </w:t>
      </w:r>
      <w:r>
        <w:t xml:space="preserve">their length-matched controls and which we therefore foreground as the</w:t>
      </w:r>
      <w:r>
        <w:t xml:space="preserve"> </w:t>
      </w:r>
      <w:r>
        <w:t xml:space="preserve">biologically interpretable nodes. ChEA3 added cardiac/fibrosis TFs (GATA4, SMAD1,</w:t>
      </w:r>
      <w:r>
        <w:t xml:space="preserve"> </w:t>
      </w:r>
      <w:r>
        <w:t xml:space="preserve">NKX2-5).</w:t>
      </w:r>
    </w:p>
    <w:bookmarkEnd w:id="14"/>
    <w:bookmarkStart w:id="15" w:name="single-cell-localisation"/>
    <w:p>
      <w:pPr>
        <w:pStyle w:val="Heading3"/>
      </w:pPr>
      <w:r>
        <w:t xml:space="preserve">Single-cell localisation</w:t>
      </w:r>
    </w:p>
    <w:p>
      <w:pPr>
        <w:pStyle w:val="FirstParagraph"/>
      </w:pPr>
      <w:r>
        <w:t xml:space="preserve">In 1.9M heart and 0.12M muscle cells (CELLxGENE Census (CZ CELLxGENE Discover 2023)), NAMPT localised to</w:t>
      </w:r>
      <w:r>
        <w:t xml:space="preserve"> </w:t>
      </w:r>
      <w:r>
        <w:t xml:space="preserve">myeloid cells in both tissues (heart CD14⁺ monocytes 86%; muscle macrophages 67%)</w:t>
      </w:r>
      <w:r>
        <w:t xml:space="preserve"> </w:t>
      </w:r>
      <w:r>
        <w:t xml:space="preserve">and FBLN1 to stroma (cardiac fibroblasts 40%; tendon cells 94%), tying the shared</w:t>
      </w:r>
      <w:r>
        <w:t xml:space="preserve"> </w:t>
      </w:r>
      <w:r>
        <w:t xml:space="preserve">NAD/immune and ECM programmes to consistent cell lineages. Immune-deconvolution</w:t>
      </w:r>
      <w:r>
        <w:t xml:space="preserve"> </w:t>
      </w:r>
      <w:r>
        <w:t xml:space="preserve">(ssGSEA) showed prominent inflammatory remodelling in HF (17/22 cell types) and</w:t>
      </w:r>
      <w:r>
        <w:t xml:space="preserve"> </w:t>
      </w:r>
      <w:r>
        <w:t xml:space="preserve">modest changes in muscle (5/22).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We set out to test, rather than assume, whether failing myocardium and ageing</w:t>
      </w:r>
      <w:r>
        <w:t xml:space="preserve"> </w:t>
      </w:r>
      <w:r>
        <w:t xml:space="preserve">skeletal muscle share a definable transcriptional programme, and whether such an</w:t>
      </w:r>
      <w:r>
        <w:t xml:space="preserve"> </w:t>
      </w:r>
      <w:r>
        <w:t xml:space="preserve">overlap is separable from the chronological ageing common to both populations.</w:t>
      </w:r>
      <w:r>
        <w:t xml:space="preserve"> </w:t>
      </w:r>
      <w:r>
        <w:t xml:space="preserve">Three findings frame the interpretation.</w:t>
      </w:r>
    </w:p>
    <w:p>
      <w:pPr>
        <w:pStyle w:val="BodyText"/>
      </w:pPr>
      <w:r>
        <w:t xml:space="preserve">First, the overlap is real but bounded. The 59-gene intersection significantly</w:t>
      </w:r>
      <w:r>
        <w:t xml:space="preserve"> </w:t>
      </w:r>
      <w:r>
        <w:t xml:space="preserve">exceeded chance (p=1.0×10⁻³), yet the shared genes were not preferentially</w:t>
      </w:r>
      <w:r>
        <w:t xml:space="preserve"> </w:t>
      </w:r>
      <w:r>
        <w:t xml:space="preserve">co-directional (concordance at chance) and were functionally generic —</w:t>
      </w:r>
      <w:r>
        <w:t xml:space="preserve"> </w:t>
      </w:r>
      <w:r>
        <w:t xml:space="preserve">extracellular-matrix/fibrosis, NAD/immune-metabolic and mTOR programmes that are</w:t>
      </w:r>
      <w:r>
        <w:t xml:space="preserve"> </w:t>
      </w:r>
      <w:r>
        <w:t xml:space="preserve">mobilised by tissue stress in many organs. We therefore frame the result as a</w:t>
      </w:r>
      <w:r>
        <w:t xml:space="preserve"> </w:t>
      </w:r>
      <w:r>
        <w:t xml:space="preserve">shared</w:t>
      </w:r>
      <w:r>
        <w:t xml:space="preserve"> </w:t>
      </w:r>
      <w:r>
        <w:rPr>
          <w:i/>
          <w:iCs/>
        </w:rPr>
        <w:t xml:space="preserve">stress-remodelling</w:t>
      </w:r>
      <w:r>
        <w:t xml:space="preserve"> </w:t>
      </w:r>
      <w:r>
        <w:t xml:space="preserve">programme rather than a bespoke organ-to-organ</w:t>
      </w:r>
      <w:r>
        <w:t xml:space="preserve"> </w:t>
      </w:r>
      <w:r>
        <w:t xml:space="preserve">messenger system, and we used direction-concordance as a panel-selection criterion</w:t>
      </w:r>
      <w:r>
        <w:t xml:space="preserve"> </w:t>
      </w:r>
      <w:r>
        <w:t xml:space="preserve">rather than presenting it as a discovered property.</w:t>
      </w:r>
    </w:p>
    <w:p>
      <w:pPr>
        <w:pStyle w:val="BodyText"/>
      </w:pPr>
      <w:r>
        <w:t xml:space="preserve">Second, and most importantly for the ageing-confound concern, the HF arm of the</w:t>
      </w:r>
      <w:r>
        <w:t xml:space="preserve"> </w:t>
      </w:r>
      <w:r>
        <w:t xml:space="preserve">signature is robust to age: although HF patients were modestly older, age alone</w:t>
      </w:r>
      <w:r>
        <w:t xml:space="preserve"> </w:t>
      </w:r>
      <w:r>
        <w:t xml:space="preserve">discriminated weakly (AUC 0.64), whereas the signature retained AUC 0.95 after age</w:t>
      </w:r>
      <w:r>
        <w:t xml:space="preserve"> </w:t>
      </w:r>
      <w:r>
        <w:t xml:space="preserve">adjustment and a 4-gene non-ageing subset still reached 0.91. The muscle arm, by</w:t>
      </w:r>
      <w:r>
        <w:t xml:space="preserve"> </w:t>
      </w:r>
      <w:r>
        <w:t xml:space="preserve">contrast, weakened when ageing genes were removed, indicating that the shared</w:t>
      </w:r>
      <w:r>
        <w:t xml:space="preserve"> </w:t>
      </w:r>
      <w:r>
        <w:t xml:space="preserve">signal is driven by genuine HF biology on the cardiac side and by ageing biology</w:t>
      </w:r>
      <w:r>
        <w:t xml:space="preserve"> </w:t>
      </w:r>
      <w:r>
        <w:t xml:space="preserve">on the muscle side — a nuance that reframes the axis as</w:t>
      </w:r>
      <w:r>
        <w:t xml:space="preserve"> </w:t>
      </w:r>
      <w:r>
        <w:t xml:space="preserve">“HF ↔ muscle ageing”</w:t>
      </w:r>
      <w:r>
        <w:t xml:space="preserve"> </w:t>
      </w:r>
      <w:r>
        <w:t xml:space="preserve">rather than HF ↔ a sarcopenia-specific lesion. Across five independent muscle</w:t>
      </w:r>
      <w:r>
        <w:t xml:space="preserve"> </w:t>
      </w:r>
      <w:r>
        <w:t xml:space="preserve">cohorts the signature reproducibly tracked muscle ageing (pooled AUC 0.76, I²=0%),</w:t>
      </w:r>
      <w:r>
        <w:t xml:space="preserve"> </w:t>
      </w:r>
      <w:r>
        <w:t xml:space="preserve">giving the muscle association a stable, if modest, footing.</w:t>
      </w:r>
    </w:p>
    <w:p>
      <w:pPr>
        <w:pStyle w:val="BodyText"/>
      </w:pPr>
      <w:r>
        <w:t xml:space="preserve">Third, the regulatory and single-cell layers offer concrete, testable hypotheses.</w:t>
      </w:r>
      <w:r>
        <w:t xml:space="preserve"> </w:t>
      </w:r>
      <w:r>
        <w:t xml:space="preserve">Predicted upstream control converged on the canonical miR-15/16/195/497→CCND1</w:t>
      </w:r>
      <w:r>
        <w:t xml:space="preserve"> </w:t>
      </w:r>
      <w:r>
        <w:t xml:space="preserve">cell-cycle axis — a family with established roles in both cardiac remodelling and</w:t>
      </w:r>
      <w:r>
        <w:t xml:space="preserve"> </w:t>
      </w:r>
      <w:r>
        <w:t xml:space="preserve">muscle — although we caution that the CLIP evidence is dominated by CCND1 (a</w:t>
      </w:r>
      <w:r>
        <w:t xml:space="preserve"> </w:t>
      </w:r>
      <w:r>
        <w:t xml:space="preserve">long-3′UTR target heavily sampled in cancer CLIP) and is not tissue-specific.</w:t>
      </w:r>
      <w:r>
        <w:t xml:space="preserve"> </w:t>
      </w:r>
      <w:r>
        <w:t xml:space="preserve">Single-cell mapping localised the NAD/immune hub NAMPT to myeloid cells and the</w:t>
      </w:r>
      <w:r>
        <w:t xml:space="preserve"> </w:t>
      </w:r>
      <w:r>
        <w:t xml:space="preserve">ECM hub FBLN1 to stroma in both tissues, suggesting that the shared programme is</w:t>
      </w:r>
      <w:r>
        <w:t xml:space="preserve"> </w:t>
      </w:r>
      <w:r>
        <w:t xml:space="preserve">carried by analogous non-myocyte/non-myofibre compartments — a prediction that is</w:t>
      </w:r>
      <w:r>
        <w:t xml:space="preserve"> </w:t>
      </w:r>
      <w:r>
        <w:t xml:space="preserve">directly testable in cardiac and muscle single-cell or spatial datasets, and that</w:t>
      </w:r>
      <w:r>
        <w:t xml:space="preserve"> </w:t>
      </w:r>
      <w:r>
        <w:t xml:space="preserve">points to myeloid NAD metabolism and stromal ECM remodelling as candidate nodes of</w:t>
      </w:r>
      <w:r>
        <w:t xml:space="preserve"> </w:t>
      </w:r>
      <w:r>
        <w:t xml:space="preserve">a systemic cardio-muscle axis.</w:t>
      </w:r>
    </w:p>
    <w:p>
      <w:pPr>
        <w:pStyle w:val="BodyText"/>
      </w:pPr>
      <w:r>
        <w:t xml:space="preserve">Clinically, the most provocative gap is that our HF data are end-stage explanted</w:t>
      </w:r>
      <w:r>
        <w:t xml:space="preserve"> </w:t>
      </w:r>
      <w:r>
        <w:t xml:space="preserve">HFrEF, whereas muscle wasting is most tightly linked to HFpEF in older adults. In</w:t>
      </w:r>
      <w:r>
        <w:t xml:space="preserve"> </w:t>
      </w:r>
      <w:r>
        <w:t xml:space="preserve">our GEO survey we did not identify a suitable bulk HFpEF</w:t>
      </w:r>
      <w:r>
        <w:t xml:space="preserve"> </w:t>
      </w:r>
      <w:r>
        <w:rPr>
          <w:i/>
          <w:iCs/>
        </w:rPr>
        <w:t xml:space="preserve">myocardial</w:t>
      </w:r>
      <w:r>
        <w:t xml:space="preserve"> </w:t>
      </w:r>
      <w:r>
        <w:t xml:space="preserve">case–control</w:t>
      </w:r>
      <w:r>
        <w:t xml:space="preserve"> </w:t>
      </w:r>
      <w:r>
        <w:t xml:space="preserve">series — the HFpEF datasets returned were blood, PBMC or epicardial-adipose —</w:t>
      </w:r>
      <w:r>
        <w:t xml:space="preserve"> </w:t>
      </w:r>
      <w:r>
        <w:t xml:space="preserve">consistent with HFpEF ventricle rarely being biopsied; this is a field-wide data</w:t>
      </w:r>
      <w:r>
        <w:t xml:space="preserve"> </w:t>
      </w:r>
      <w:r>
        <w:t xml:space="preserve">gap rather than a readily remediable omission. The natural next steps are</w:t>
      </w:r>
      <w:r>
        <w:t xml:space="preserve"> </w:t>
      </w:r>
      <w:r>
        <w:t xml:space="preserve">clinically phenotyped sarcopenic</w:t>
      </w:r>
      <w:r>
        <w:t xml:space="preserve"> </w:t>
      </w:r>
      <w:r>
        <w:t xml:space="preserve">muscle (e.g. the multi-omics sarcopenia cohort GSE226151, N=60) and any future</w:t>
      </w:r>
      <w:r>
        <w:t xml:space="preserve"> </w:t>
      </w:r>
      <w:r>
        <w:t xml:space="preserve">HFpEF myocardial series. We present this work as a hypothesis-generating, fully</w:t>
      </w:r>
      <w:r>
        <w:t xml:space="preserve"> </w:t>
      </w:r>
      <w:r>
        <w:t xml:space="preserve">reproducible in-silico map rather than a validated biomarker.</w:t>
      </w:r>
    </w:p>
    <w:bookmarkEnd w:id="17"/>
    <w:bookmarkStart w:id="18" w:name="limitations"/>
    <w:p>
      <w:pPr>
        <w:pStyle w:val="Heading2"/>
      </w:pPr>
      <w:r>
        <w:t xml:space="preserve">Limitations</w:t>
      </w:r>
    </w:p>
    <w:p>
      <w:pPr>
        <w:pStyle w:val="Compact"/>
        <w:numPr>
          <w:ilvl w:val="0"/>
          <w:numId w:val="1001"/>
        </w:numPr>
      </w:pPr>
      <w:r>
        <w:t xml:space="preserve">Muscle data are ageing muscle (old vs young), not clinically phenotyped</w:t>
      </w:r>
      <w:r>
        <w:t xml:space="preserve"> </w:t>
      </w:r>
      <w:r>
        <w:t xml:space="preserve">sarcopenia; conclusions concern HF × muscle ageing.</w:t>
      </w:r>
    </w:p>
    <w:p>
      <w:pPr>
        <w:pStyle w:val="Compact"/>
        <w:numPr>
          <w:ilvl w:val="0"/>
          <w:numId w:val="1001"/>
        </w:numPr>
      </w:pPr>
      <w:r>
        <w:t xml:space="preserve">HF cohort is end-stage explanted HFrEF (ischemic+dilated); HFpEF — most linked</w:t>
      </w:r>
      <w:r>
        <w:t xml:space="preserve"> </w:t>
      </w:r>
      <w:r>
        <w:t xml:space="preserve">clinically to elderly muscle wasting — is absent.</w:t>
      </w:r>
    </w:p>
    <w:p>
      <w:pPr>
        <w:pStyle w:val="Compact"/>
        <w:numPr>
          <w:ilvl w:val="0"/>
          <w:numId w:val="1001"/>
        </w:numPr>
      </w:pPr>
      <w:r>
        <w:t xml:space="preserve">Shared genes are functionally generic; direction-concordance is at chance and</w:t>
      </w:r>
      <w:r>
        <w:t xml:space="preserve"> </w:t>
      </w:r>
      <w:r>
        <w:t xml:space="preserve">used only as a panel-selection criterion.</w:t>
      </w:r>
    </w:p>
    <w:p>
      <w:pPr>
        <w:pStyle w:val="Compact"/>
        <w:numPr>
          <w:ilvl w:val="0"/>
          <w:numId w:val="1001"/>
        </w:numPr>
      </w:pPr>
      <w:r>
        <w:t xml:space="preserve">Muscle association, though reproducible across five cohorts (pooled AUC 0.76),</w:t>
      </w:r>
      <w:r>
        <w:t xml:space="preserve"> </w:t>
      </w:r>
      <w:r>
        <w:t xml:space="preserve">is modest and individual cohorts are small (n=20–36); the muscle arm is partly</w:t>
      </w:r>
      <w:r>
        <w:t xml:space="preserve"> </w:t>
      </w:r>
      <w:r>
        <w:t xml:space="preserve">ageing-driven (non-ageing subset AUC 0.54–0.70).</w:t>
      </w:r>
    </w:p>
    <w:p>
      <w:pPr>
        <w:pStyle w:val="Compact"/>
        <w:numPr>
          <w:ilvl w:val="0"/>
          <w:numId w:val="1001"/>
        </w:numPr>
      </w:pPr>
      <w:r>
        <w:t xml:space="preserve">CLIP evidence is from non-target cell lines and CCND1-dominated; in a</w:t>
      </w:r>
      <w:r>
        <w:t xml:space="preserve"> </w:t>
      </w:r>
      <w:r>
        <w:t xml:space="preserve">length-matched null the panel was not enriched beyond 3′UTR length (p=0.48,</w:t>
      </w:r>
      <w:r>
        <w:t xml:space="preserve"> </w:t>
      </w:r>
      <w:r>
        <w:t xml:space="preserve">only CCND1/NAMPT exceeding control), so the network is hypothesis-generating,</w:t>
      </w:r>
      <w:r>
        <w:t xml:space="preserve"> </w:t>
      </w:r>
      <w:r>
        <w:t xml:space="preserve">not context-specific proof.</w:t>
      </w:r>
    </w:p>
    <w:p>
      <w:pPr>
        <w:pStyle w:val="Compact"/>
        <w:numPr>
          <w:ilvl w:val="0"/>
          <w:numId w:val="1001"/>
        </w:numPr>
      </w:pPr>
      <w:r>
        <w:t xml:space="preserve">Entirely in-silico; no functional validation.</w:t>
      </w:r>
    </w:p>
    <w:bookmarkEnd w:id="18"/>
    <w:bookmarkStart w:id="19" w:name="materials-and-methods"/>
    <w:p>
      <w:pPr>
        <w:pStyle w:val="Heading2"/>
      </w:pPr>
      <w:r>
        <w:t xml:space="preserve">Materials and Methods</w:t>
      </w:r>
    </w:p>
    <w:p>
      <w:pPr>
        <w:pStyle w:val="FirstParagraph"/>
      </w:pPr>
      <w:r>
        <w:t xml:space="preserve">All parameters are fixed in</w:t>
      </w:r>
      <w:r>
        <w:t xml:space="preserve"> </w:t>
      </w:r>
      <w:r>
        <w:rPr>
          <w:rStyle w:val="VerbatimChar"/>
        </w:rPr>
        <w:t xml:space="preserve">scripts/00_config.R</w:t>
      </w:r>
      <w:r>
        <w:t xml:space="preserve">; the full pipeline (</w:t>
      </w:r>
      <w:r>
        <w:rPr>
          <w:rStyle w:val="VerbatimChar"/>
        </w:rPr>
        <w:t xml:space="preserve">scripts/00–17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run_all.R</w:t>
      </w:r>
      <w:r>
        <w:t xml:space="preserve">) is deterministic (seed 42).</w:t>
      </w:r>
    </w:p>
    <w:p>
      <w:pPr>
        <w:pStyle w:val="BodyText"/>
      </w:pPr>
      <w:r>
        <w:rPr>
          <w:b/>
          <w:bCs/>
        </w:rPr>
        <w:t xml:space="preserve">Datasets and groups.</w:t>
      </w:r>
      <w:r>
        <w:t xml:space="preserve"> </w:t>
      </w:r>
      <w:r>
        <w:t xml:space="preserve">HF discovery: GSE57338 left ventricle (Liu et al. 2015) (177 failing vs</w:t>
      </w:r>
      <w:r>
        <w:t xml:space="preserve"> </w:t>
      </w:r>
      <w:r>
        <w:t xml:space="preserve">136 non-failing;</w:t>
      </w:r>
      <w:r>
        <w:t xml:space="preserve"> </w:t>
      </w:r>
      <w:r>
        <w:t xml:space="preserve">“heart failure:yes/no”</w:t>
      </w:r>
      <w:r>
        <w:t xml:space="preserve">). HF external validation: GSE5406 (Hannenhalli et al. 2006) (194</w:t>
      </w:r>
      <w:r>
        <w:t xml:space="preserve"> </w:t>
      </w:r>
      <w:r>
        <w:t xml:space="preserve">failing vs 16 donor). Ageing-muscle discovery: GSE8479 (Melov et al. 2007) (25 old vs 26 young;</w:t>
      </w:r>
      <w:r>
        <w:t xml:space="preserve"> </w:t>
      </w:r>
      <w:r>
        <w:t xml:space="preserve">“Sample</w:t>
      </w:r>
      <w:r>
        <w:t xml:space="preserve"> </w:t>
      </w:r>
      <w:r>
        <w:t xml:space="preserve">Group”</w:t>
      </w:r>
      <w:r>
        <w:t xml:space="preserve"> </w:t>
      </w:r>
      <w:r>
        <w:t xml:space="preserve">O vs Y, post-exercise samples excluded). Muscle validation (five cohorts):</w:t>
      </w:r>
      <w:r>
        <w:t xml:space="preserve"> </w:t>
      </w:r>
      <w:r>
        <w:t xml:space="preserve">GSE1428 (Giresi et al. 2005; description Older/Young), and GSE25941, GSE9103,</w:t>
      </w:r>
      <w:r>
        <w:t xml:space="preserve"> </w:t>
      </w:r>
      <w:r>
        <w:t xml:space="preserve">GSE38718 and GSE28392 (cited by accession; Old/Young, baseline/sedentary samples</w:t>
      </w:r>
      <w:r>
        <w:t xml:space="preserve"> </w:t>
      </w:r>
      <w:r>
        <w:t xml:space="preserve">for the exercise studies). Case = failing/old, control = non-failing/young throughout.</w:t>
      </w:r>
    </w:p>
    <w:p>
      <w:pPr>
        <w:pStyle w:val="BodyText"/>
      </w:pPr>
      <w:r>
        <w:rPr>
          <w:b/>
          <w:bCs/>
        </w:rPr>
        <w:t xml:space="preserve">Preprocessing.</w:t>
      </w:r>
      <w:r>
        <w:t xml:space="preserve"> </w:t>
      </w:r>
      <w:r>
        <w:t xml:space="preserve">Series matrices were obtained from GEO (Barrett et al. 2013) via GEOquery (Davis and Meltzer 2007).</w:t>
      </w:r>
      <w:r>
        <w:t xml:space="preserve"> </w:t>
      </w:r>
      <w:r>
        <w:t xml:space="preserve">Expression was log₂-transformed when on a linear scale (GEO2R heuristic), probes mapped to symbols (Affymetrix</w:t>
      </w:r>
      <w:r>
        <w:t xml:space="preserve"> </w:t>
      </w:r>
      <w:r>
        <w:t xml:space="preserve">“gene_assignment”</w:t>
      </w:r>
      <w:r>
        <w:t xml:space="preserve"> </w:t>
      </w:r>
      <w:r>
        <w:t xml:space="preserve">2nd token; Illumina GPL2700 via RefSeq→org.Hs.eg.db), collapsed gene-wise by the</w:t>
      </w:r>
      <w:r>
        <w:t xml:space="preserve"> </w:t>
      </w:r>
      <w:r>
        <w:t xml:space="preserve">max-mean probe, and quantile-normalised (</w:t>
      </w:r>
      <w:r>
        <w:rPr>
          <w:rStyle w:val="VerbatimChar"/>
        </w:rPr>
        <w:t xml:space="preserve">limma::normalizeBetweenArrays</w:t>
      </w:r>
      <w:r>
        <w:t xml:space="preserve">). Cohorts</w:t>
      </w:r>
      <w:r>
        <w:t xml:space="preserve"> </w:t>
      </w:r>
      <w:r>
        <w:t xml:space="preserve">are kept separate (no cross-platform merging); each is z-scored within itself.</w:t>
      </w:r>
    </w:p>
    <w:p>
      <w:pPr>
        <w:pStyle w:val="BodyText"/>
      </w:pPr>
      <w:r>
        <w:rPr>
          <w:b/>
          <w:bCs/>
        </w:rPr>
        <w:t xml:space="preserve">DEG / WGCNA / shared set.</w:t>
      </w:r>
      <w:r>
        <w:t xml:space="preserve"> </w:t>
      </w:r>
      <w:r>
        <w:t xml:space="preserve">Per-tissue</w:t>
      </w:r>
      <w:r>
        <w:t xml:space="preserve"> </w:t>
      </w:r>
      <w:r>
        <w:rPr>
          <w:rStyle w:val="VerbatimChar"/>
        </w:rPr>
        <w:t xml:space="preserve">limma</w:t>
      </w:r>
      <w:r>
        <w:t xml:space="preserve"> </w:t>
      </w:r>
      <w:r>
        <w:t xml:space="preserve">(Ritchie et al. 2015) (BH&lt;0.05, |log₂FC|&gt;0.378).</w:t>
      </w:r>
      <w:r>
        <w:t xml:space="preserve"> </w:t>
      </w:r>
      <w:r>
        <w:t xml:space="preserve">Signed WGCNA (Langfelder and Horvath 2008) on the top-5000-MAD genes (soft power by scale-free R²&gt;0.85 → HF 12, muscle</w:t>
      </w:r>
      <w:r>
        <w:t xml:space="preserve"> </w:t>
      </w:r>
      <w:r>
        <w:t xml:space="preserve">14; minModuleSize 30, mergeCutHeight 0.25, deepSplit 2); disease module = strongest</w:t>
      </w:r>
      <w:r>
        <w:t xml:space="preserve"> </w:t>
      </w:r>
      <w:r>
        <w:t xml:space="preserve">module–trait correlation. Shared set = DEG_HF∩DEG_SAR (overlap significance by</w:t>
      </w:r>
      <w:r>
        <w:t xml:space="preserve"> </w:t>
      </w:r>
      <w:r>
        <w:t xml:space="preserve">hypergeometric test and 5,000-label permutations; direction-concordance by binomial</w:t>
      </w:r>
      <w:r>
        <w:t xml:space="preserve"> </w:t>
      </w:r>
      <w:r>
        <w:t xml:space="preserve">test vs the marginal up/down rate). Direction-concordant genes formed the panel</w:t>
      </w:r>
      <w:r>
        <w:t xml:space="preserve"> </w:t>
      </w:r>
      <w:r>
        <w:t xml:space="preserve">input.</w:t>
      </w:r>
    </w:p>
    <w:p>
      <w:pPr>
        <w:pStyle w:val="BodyText"/>
      </w:pPr>
      <w:r>
        <w:rPr>
          <w:b/>
          <w:bCs/>
        </w:rPr>
        <w:t xml:space="preserve">Hub panel and diagnostics.</w:t>
      </w:r>
      <w:r>
        <w:t xml:space="preserve"> </w:t>
      </w:r>
      <w:r>
        <w:t xml:space="preserve">Six selectors (LASSO (Friedman et al. 2010), random forest (Breiman 2001),</w:t>
      </w:r>
      <w:r>
        <w:t xml:space="preserve"> </w:t>
      </w:r>
      <w:r>
        <w:t xml:space="preserve">SVM-RFE, Boruta (Kursa and Rudnicki 2010), XGBoost (Chen and Guestrin 2016), glmBoost (Hothorn et al. 2010)) were run in each discovery cohort; genes selected by ≥3</w:t>
      </w:r>
      <w:r>
        <w:t xml:space="preserve"> </w:t>
      </w:r>
      <w:r>
        <w:t xml:space="preserve">methods 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tissues defined the 11-hub exploratory panel (specificity vs a</w:t>
      </w:r>
      <w:r>
        <w:t xml:space="preserve"> </w:t>
      </w:r>
      <w:r>
        <w:t xml:space="preserve">200-label-permutation null reported). The diagnostic readout is a</w:t>
      </w:r>
      <w:r>
        <w:t xml:space="preserve"> </w:t>
      </w:r>
      <w:r>
        <w:t xml:space="preserve">platform-independent</w:t>
      </w:r>
      <w:r>
        <w:t xml:space="preserve"> </w:t>
      </w:r>
      <w:r>
        <w:rPr>
          <w:b/>
          <w:bCs/>
        </w:rPr>
        <w:t xml:space="preserve">directional signature score</w:t>
      </w:r>
      <w:r>
        <w:t xml:space="preserve"> </w:t>
      </w:r>
      <w:r>
        <w:t xml:space="preserve">= Σ (within-cohort z-scored</w:t>
      </w:r>
      <w:r>
        <w:t xml:space="preserve"> </w:t>
      </w:r>
      <w:r>
        <w:t xml:space="preserve">expression × discovery-derived sign); it contains no parameters fitted on</w:t>
      </w:r>
      <w:r>
        <w:t xml:space="preserve"> </w:t>
      </w:r>
      <w:r>
        <w:t xml:space="preserve">validation data. Discrimination = AUC with DeLong 95% CI (</w:t>
      </w:r>
      <w:r>
        <w:rPr>
          <w:rStyle w:val="VerbatimChar"/>
        </w:rPr>
        <w:t xml:space="preserve">pROC</w:t>
      </w:r>
      <w:r>
        <w:t xml:space="preserve"> </w:t>
      </w:r>
      <w:r>
        <w:t xml:space="preserve">(Robin et al. 2011)); HF additionally with</w:t>
      </w:r>
      <w:r>
        <w:t xml:space="preserve"> </w:t>
      </w:r>
      <w:r>
        <w:t xml:space="preserve">nomogram, 200×-bootstrap calibration and decision-curve analysis. Internal and</w:t>
      </w:r>
      <w:r>
        <w:t xml:space="preserve"> </w:t>
      </w:r>
      <w:r>
        <w:t xml:space="preserve">5-fold×20 nested-CV AUC (signs re-derived per training fold) are reported as</w:t>
      </w:r>
      <w:r>
        <w:t xml:space="preserve"> </w:t>
      </w:r>
      <w:r>
        <w:rPr>
          <w:i/>
          <w:iCs/>
        </w:rPr>
        <w:t xml:space="preserve">apparent</w:t>
      </w:r>
      <w:r>
        <w:t xml:space="preserve"> </w:t>
      </w:r>
      <w:r>
        <w:t xml:space="preserve">performance only; external cohorts carry all inference.</w:t>
      </w:r>
    </w:p>
    <w:p>
      <w:pPr>
        <w:pStyle w:val="BodyText"/>
      </w:pPr>
      <w:r>
        <w:rPr>
          <w:b/>
          <w:bCs/>
        </w:rPr>
        <w:t xml:space="preserve">Muscle meta-analysis.</w:t>
      </w:r>
      <w:r>
        <w:t xml:space="preserve"> </w:t>
      </w:r>
      <w:r>
        <w:t xml:space="preserve">Per-cohort AUCs (DeLong CI) were logit-transformed and</w:t>
      </w:r>
      <w:r>
        <w:t xml:space="preserve"> </w:t>
      </w:r>
      <w:r>
        <w:t xml:space="preserve">pooled by random-effects meta-analysis (</w:t>
      </w:r>
      <w:r>
        <w:rPr>
          <w:rStyle w:val="VerbatimChar"/>
        </w:rPr>
        <w:t xml:space="preserve">metafor::rma</w:t>
      </w:r>
      <w:r>
        <w:t xml:space="preserve"> </w:t>
      </w:r>
      <w:r>
        <w:t xml:space="preserve">(Viechtbauer 2010), REML; SE from the CI),</w:t>
      </w:r>
      <w:r>
        <w:t xml:space="preserve"> </w:t>
      </w:r>
      <w:r>
        <w:t xml:space="preserve">with I² for heterogeneity; the pooled estimate is back-transformed.</w:t>
      </w:r>
    </w:p>
    <w:p>
      <w:pPr>
        <w:pStyle w:val="BodyText"/>
      </w:pPr>
      <w:r>
        <w:rPr>
          <w:b/>
          <w:bCs/>
        </w:rPr>
        <w:t xml:space="preserve">Age / etiology robustness.</w:t>
      </w:r>
      <w:r>
        <w:t xml:space="preserve"> </w:t>
      </w:r>
      <w:r>
        <w:t xml:space="preserve">In GSE57338 (continuous age available) we compared</w:t>
      </w:r>
      <w:r>
        <w:t xml:space="preserve"> </w:t>
      </w:r>
      <w:r>
        <w:t xml:space="preserve">age-alone vs signature AUC, the age-residualised signature AUC, and the signature</w:t>
      </w:r>
      <w:r>
        <w:t xml:space="preserve"> </w:t>
      </w:r>
      <w:r>
        <w:t xml:space="preserve">coefficient in a logistic model adjusting for age; we recomputed AUC separately for</w:t>
      </w:r>
      <w:r>
        <w:t xml:space="preserve"> </w:t>
      </w:r>
      <w:r>
        <w:t xml:space="preserve">ischemic and dilated cardiomyopathy and correlated their per-gene log₂FC. A</w:t>
      </w:r>
      <w:r>
        <w:t xml:space="preserve"> </w:t>
      </w:r>
      <w:r>
        <w:t xml:space="preserve">non-ageing sub-signature was defined by removing hubs overlapping MSigDB</w:t>
      </w:r>
      <w:r>
        <w:t xml:space="preserve"> </w:t>
      </w:r>
      <w:r>
        <w:t xml:space="preserve">senescence/ageing sets.</w:t>
      </w:r>
    </w:p>
    <w:p>
      <w:pPr>
        <w:pStyle w:val="BodyText"/>
      </w:pPr>
      <w:r>
        <w:rPr>
          <w:b/>
          <w:bCs/>
        </w:rPr>
        <w:t xml:space="preserve">Regulatory network and bias handling.</w:t>
      </w:r>
      <w:r>
        <w:t xml:space="preserve"> </w:t>
      </w:r>
      <w:r>
        <w:t xml:space="preserve">miRNA→hub interactions from ENCORI/</w:t>
      </w:r>
      <w:r>
        <w:t xml:space="preserve"> </w:t>
      </w:r>
      <w:r>
        <w:t xml:space="preserve">starBase (Li et al. 2014) were retained at clipExpNum≥3 (≥3 supporting AGO-CLIP experiments) and</w:t>
      </w:r>
      <w:r>
        <w:t xml:space="preserve"> </w:t>
      </w:r>
      <w:r>
        <w:t xml:space="preserve">cross-checked against miRTarBase (Huang et al. 2022)/TarBase (Karagkouni et al. 2018). Because clipExpNum co-varies</w:t>
      </w:r>
      <w:r>
        <w:t xml:space="preserve"> </w:t>
      </w:r>
      <w:r>
        <w:t xml:space="preserve">with 3′UTR length and study coverage and the CLIP libraries derive from</w:t>
      </w:r>
      <w:r>
        <w:t xml:space="preserve"> </w:t>
      </w:r>
      <w:r>
        <w:t xml:space="preserve">non-cardiac/muscle cell lines, per-hub edge counts, the edge–3′UTR-length</w:t>
      </w:r>
      <w:r>
        <w:t xml:space="preserve"> </w:t>
      </w:r>
      <w:r>
        <w:t xml:space="preserve">correlation and a 3′UTR-length-matched null were computed; the network is</w:t>
      </w:r>
      <w:r>
        <w:t xml:space="preserve"> </w:t>
      </w:r>
      <w:r>
        <w:t xml:space="preserve">interpreted as hypothesis-generating. Upstream TFs were obtained from ChEA3 (Keenan et al. 2019)</w:t>
      </w:r>
      <w:r>
        <w:t xml:space="preserve"> </w:t>
      </w:r>
      <w:r>
        <w:t xml:space="preserve">(Integrated meanRank) and functional enrichment from clusterProfiler (Wu et al. 2021)</w:t>
      </w:r>
      <w:r>
        <w:t xml:space="preserve"> </w:t>
      </w:r>
      <w:r>
        <w:t xml:space="preserve">(GO/KEGG/Reactome) with STRING (Szklarczyk et al. 2023) PPI. A supplementary exploratory</w:t>
      </w:r>
      <w:r>
        <w:t xml:space="preserve"> </w:t>
      </w:r>
      <w:r>
        <w:t xml:space="preserve">drug-repurposing analysis used DSigDB/Enrichr (Kuleshov et al. 2016; Yoo et al. 2015).</w:t>
      </w:r>
    </w:p>
    <w:p>
      <w:pPr>
        <w:pStyle w:val="BodyText"/>
      </w:pPr>
      <w:r>
        <w:rPr>
          <w:b/>
          <w:bCs/>
        </w:rPr>
        <w:t xml:space="preserve">Single-cell and immune.</w:t>
      </w:r>
      <w:r>
        <w:t xml:space="preserve"> </w:t>
      </w:r>
      <w:r>
        <w:t xml:space="preserve">Hub expression was summarised across CZ CELLxGENE</w:t>
      </w:r>
      <w:r>
        <w:t xml:space="preserve"> </w:t>
      </w:r>
      <w:r>
        <w:t xml:space="preserve">Census v2023-12-15 (human heart 1.78M cells; musculature 0.12M) by streaming the</w:t>
      </w:r>
      <w:r>
        <w:t xml:space="preserve"> </w:t>
      </w:r>
      <w:r>
        <w:t xml:space="preserve">11-gene columns and accumulating per-cell-type mean log1p and percent-expressing</w:t>
      </w:r>
      <w:r>
        <w:t xml:space="preserve"> </w:t>
      </w:r>
      <w:r>
        <w:t xml:space="preserve">(cell types with ≥200 cells). Immune infiltration by ssGSEA (</w:t>
      </w:r>
      <w:r>
        <w:rPr>
          <w:rStyle w:val="VerbatimChar"/>
        </w:rPr>
        <w:t xml:space="preserve">GSVA</w:t>
      </w:r>
      <w:r>
        <w:t xml:space="preserve"> </w:t>
      </w:r>
      <w:r>
        <w:t xml:space="preserve">(Hänzelmann et al. 2013)) on canonical</w:t>
      </w:r>
      <w:r>
        <w:t xml:space="preserve"> </w:t>
      </w:r>
      <w:r>
        <w:t xml:space="preserve">immune-cell signatures.</w:t>
      </w:r>
    </w:p>
    <w:bookmarkEnd w:id="19"/>
    <w:bookmarkStart w:id="20" w:name="declarations"/>
    <w:p>
      <w:pPr>
        <w:pStyle w:val="Heading2"/>
      </w:pPr>
      <w:r>
        <w:t xml:space="preserve">Declarations</w:t>
      </w:r>
    </w:p>
    <w:p>
      <w:pPr>
        <w:pStyle w:val="FirstParagraph"/>
      </w:pPr>
      <w:r>
        <w:rPr>
          <w:b/>
          <w:bCs/>
        </w:rPr>
        <w:t xml:space="preserve">Funding</w:t>
      </w:r>
      <w:r>
        <w:t xml:space="preserve"> </w:t>
      </w:r>
      <w:r>
        <w:t xml:space="preserve">No external funding was received for this study.</w:t>
      </w:r>
    </w:p>
    <w:p>
      <w:pPr>
        <w:pStyle w:val="BodyText"/>
      </w:pPr>
      <w:r>
        <w:rPr>
          <w:b/>
          <w:bCs/>
        </w:rPr>
        <w:t xml:space="preserve">Competing interests</w:t>
      </w:r>
      <w:r>
        <w:t xml:space="preserve"> </w:t>
      </w:r>
      <w:r>
        <w:t xml:space="preserve">The author declares no competing interests.</w:t>
      </w:r>
    </w:p>
    <w:p>
      <w:pPr>
        <w:pStyle w:val="BodyText"/>
      </w:pPr>
      <w:r>
        <w:rPr>
          <w:b/>
          <w:bCs/>
        </w:rPr>
        <w:t xml:space="preserve">Ethics approval and consent</w:t>
      </w:r>
      <w:r>
        <w:t xml:space="preserve"> </w:t>
      </w:r>
      <w:r>
        <w:t xml:space="preserve">Not applicable. This study is a secondary analysis of publicly available, de-identified gene-expression datasets from the NCBI Gene Expression Omnibus; the original studies obtained the relevant ethics approvals and informed consent.</w:t>
      </w:r>
    </w:p>
    <w:p>
      <w:pPr>
        <w:pStyle w:val="BodyText"/>
      </w:pPr>
      <w:r>
        <w:rPr>
          <w:b/>
          <w:bCs/>
        </w:rPr>
        <w:t xml:space="preserve">Data availability</w:t>
      </w:r>
      <w:r>
        <w:t xml:space="preserve"> </w:t>
      </w:r>
      <w:r>
        <w:t xml:space="preserve">All primary data are publicly available from the NCBI Gene Expression Omnibus: GSE57338, GSE5406, GSE8479, GSE1428, GSE25941, GSE9103, GSE38718, GSE28392 (bulk expression); GSE183852 and GSE167186 and the CZ CELLxGENE Census v2023-12-15 (single-cell). The complete, deterministic analysis pipeline (</w:t>
      </w:r>
      <w:r>
        <w:rPr>
          <w:rStyle w:val="VerbatimChar"/>
        </w:rPr>
        <w:t xml:space="preserve">scripts/00–17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run_all.R</w:t>
      </w:r>
      <w:r>
        <w:t xml:space="preserve">) and intermediate results are publicly available at https://github.com/candicewu0515/HF-muscle-ageing-signature.</w:t>
      </w:r>
    </w:p>
    <w:p>
      <w:pPr>
        <w:pStyle w:val="BodyText"/>
      </w:pPr>
      <w:r>
        <w:rPr>
          <w:b/>
          <w:bCs/>
        </w:rPr>
        <w:t xml:space="preserve">Author contributions</w:t>
      </w:r>
      <w:r>
        <w:t xml:space="preserve"> </w:t>
      </w:r>
      <w:r>
        <w:t xml:space="preserve">The sole author conceived and designed the study, performed all analyses, and wrote and approved the manuscript.</w:t>
      </w:r>
    </w:p>
    <w:p>
      <w:pPr>
        <w:pStyle w:val="BodyText"/>
      </w:pPr>
      <w:r>
        <w:rPr>
          <w:b/>
          <w:bCs/>
        </w:rPr>
        <w:t xml:space="preserve">Acknowledgements</w:t>
      </w:r>
      <w:r>
        <w:t xml:space="preserve"> </w:t>
      </w:r>
      <w:r>
        <w:t xml:space="preserve">The author thanks the investigators who generated and deposited the public datasets used here.</w:t>
      </w:r>
    </w:p>
    <w:p>
      <w:r>
        <w:pict>
          <v:rect style="width:0;height:1.5pt" o:hralign="center" o:hrstd="t" o:hr="t"/>
        </w:pict>
      </w:r>
    </w:p>
    <w:bookmarkEnd w:id="20"/>
    <w:bookmarkStart w:id="2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Anker SD, Ponikowski P, Varney S, et al. (1997) Wasting as an independent risk factor for mortality in chronic heart failure. Lancet 349:1050–1053</w:t>
      </w:r>
    </w:p>
    <w:p>
      <w:pPr>
        <w:pStyle w:val="BodyText"/>
      </w:pPr>
      <w:r>
        <w:t xml:space="preserve">Barrett T, Wilhite SE, Ledoux P, et al. (2013) NCBI GEO: archive for functional genomics data sets—update. Nucleic Acids Res 41:D991–D995</w:t>
      </w:r>
    </w:p>
    <w:p>
      <w:pPr>
        <w:pStyle w:val="BodyText"/>
      </w:pPr>
      <w:r>
        <w:t xml:space="preserve">Breiman L (2001) Random forests. Mach Learn 45:5–32</w:t>
      </w:r>
    </w:p>
    <w:p>
      <w:pPr>
        <w:pStyle w:val="BodyText"/>
      </w:pPr>
      <w:r>
        <w:t xml:space="preserve">Chen T, Guestrin C (2016) XGBoost: a scalable tree boosting system. In: Proc 22nd ACM SIGKDD Int Conf Knowl Discov Data Min, pp 785–794</w:t>
      </w:r>
    </w:p>
    <w:p>
      <w:pPr>
        <w:pStyle w:val="BodyText"/>
      </w:pPr>
      <w:r>
        <w:t xml:space="preserve">Cruz-Jentoft AJ, Bahat G, Bauer J, et al. (2019) Sarcopenia: revised European consensus on definition and diagnosis (EWGSOP2). Age Ageing 48:16–31</w:t>
      </w:r>
    </w:p>
    <w:p>
      <w:pPr>
        <w:pStyle w:val="BodyText"/>
      </w:pPr>
      <w:r>
        <w:t xml:space="preserve">CZ CELLxGENE Discover (2023) A single-cell data platform for scalable exploration, analysis and modeling of aggregated data. bioRxiv. https://doi.org/10.1101/2023.10.30.563174</w:t>
      </w:r>
    </w:p>
    <w:p>
      <w:pPr>
        <w:pStyle w:val="BodyText"/>
      </w:pPr>
      <w:r>
        <w:t xml:space="preserve">Davis S, Meltzer PS (2007) GEOquery: a bridge between the Gene Expression Omnibus (GEO) and BioConductor. Bioinformatics 23:1846–1847</w:t>
      </w:r>
    </w:p>
    <w:p>
      <w:pPr>
        <w:pStyle w:val="BodyText"/>
      </w:pPr>
      <w:r>
        <w:t xml:space="preserve">Friedman J, Hastie T, Tibshirani R (2010) Regularization paths for generalized linear models via coordinate descent. J Stat Softw 33:1–22</w:t>
      </w:r>
    </w:p>
    <w:p>
      <w:pPr>
        <w:pStyle w:val="BodyText"/>
      </w:pPr>
      <w:r>
        <w:t xml:space="preserve">Giresi PG, Stevenson EJ, Theilhaber J, et al. (2005) Identification of a molecular signature of sarcopenia. Physiol Genomics 21:253–263</w:t>
      </w:r>
    </w:p>
    <w:p>
      <w:pPr>
        <w:pStyle w:val="BodyText"/>
      </w:pPr>
      <w:r>
        <w:t xml:space="preserve">Hannenhalli S, Putt ME, Gilmore JM, et al. (2006) Transcriptional genomics associates FOX transcription factors with human heart failure. Circulation 114:1269–1276</w:t>
      </w:r>
    </w:p>
    <w:p>
      <w:pPr>
        <w:pStyle w:val="BodyText"/>
      </w:pPr>
      <w:r>
        <w:t xml:space="preserve">Hänzelmann S, Castelo R, Guinney J (2013) GSVA: gene set variation analysis for microarray and RNA-seq data. BMC Bioinformatics 14:7</w:t>
      </w:r>
    </w:p>
    <w:p>
      <w:pPr>
        <w:pStyle w:val="BodyText"/>
      </w:pPr>
      <w:r>
        <w:t xml:space="preserve">Hothorn T, Bühlmann P, Kneib T, et al. (2010) Model-based boosting 2.0. J Mach Learn Res 11:2109–2113</w:t>
      </w:r>
    </w:p>
    <w:p>
      <w:pPr>
        <w:pStyle w:val="BodyText"/>
      </w:pPr>
      <w:r>
        <w:t xml:space="preserve">Huang H-Y, Lin Y-C-D, Cui S, et al. (2022) miRTarBase update 2022: an informative resource for experimentally validated miRNA–target interactions. Nucleic Acids Res 50:D222–D230</w:t>
      </w:r>
    </w:p>
    <w:p>
      <w:pPr>
        <w:pStyle w:val="BodyText"/>
      </w:pPr>
      <w:r>
        <w:t xml:space="preserve">Karagkouni D, Paraskevopoulou MD, Chatzopoulos S, et al. (2018) DIANA-TarBase v8: a decade-long collection of experimentally supported miRNA–gene interactions. Nucleic Acids Res 46:D239–D245</w:t>
      </w:r>
    </w:p>
    <w:p>
      <w:pPr>
        <w:pStyle w:val="BodyText"/>
      </w:pPr>
      <w:r>
        <w:t xml:space="preserve">Keenan AB, Torre D, Lachmann A, et al. (2019) ChEA3: transcription factor enrichment analysis by orchestration of multiple libraries. Nucleic Acids Res 47:W212–W224</w:t>
      </w:r>
    </w:p>
    <w:p>
      <w:pPr>
        <w:pStyle w:val="BodyText"/>
      </w:pPr>
      <w:r>
        <w:t xml:space="preserve">Kuleshov MV, Jones MR, Rouillard AD, et al. (2016) Enrichr: a comprehensive gene set enrichment analysis web server 2016 update. Nucleic Acids Res 44:W90–W97</w:t>
      </w:r>
    </w:p>
    <w:p>
      <w:pPr>
        <w:pStyle w:val="BodyText"/>
      </w:pPr>
      <w:r>
        <w:t xml:space="preserve">Kursa MB, Rudnicki WR (2010) Feature selection with the Boruta package. J Stat Softw 36:1–13</w:t>
      </w:r>
    </w:p>
    <w:p>
      <w:pPr>
        <w:pStyle w:val="BodyText"/>
      </w:pPr>
      <w:r>
        <w:t xml:space="preserve">Langfelder P, Horvath S (2008) WGCNA: an R package for weighted correlation network analysis. BMC Bioinformatics 9:559</w:t>
      </w:r>
    </w:p>
    <w:p>
      <w:pPr>
        <w:pStyle w:val="BodyText"/>
      </w:pPr>
      <w:r>
        <w:t xml:space="preserve">Li J-H, Liu S, Zhou H, et al. (2014) starBase v2.0: decoding miRNA–ceRNA, miRNA–ncRNA and protein–RNA interaction networks from large-scale CLIP-Seq data. Nucleic Acids Res 42:D92–D97</w:t>
      </w:r>
    </w:p>
    <w:p>
      <w:pPr>
        <w:pStyle w:val="BodyText"/>
      </w:pPr>
      <w:r>
        <w:t xml:space="preserve">Liu Y, Morley M, Brandimarto J, et al. (2015) RNA-Seq identifies novel myocardial gene expression signatures of heart failure. Genomics 105:83–89</w:t>
      </w:r>
    </w:p>
    <w:p>
      <w:pPr>
        <w:pStyle w:val="BodyText"/>
      </w:pPr>
      <w:r>
        <w:t xml:space="preserve">Melov S, Tarnopolsky MA, Beckman K, et al. (2007) Resistance exercise reverses aging in human skeletal muscle. PLoS One 2:e465</w:t>
      </w:r>
    </w:p>
    <w:p>
      <w:pPr>
        <w:pStyle w:val="BodyText"/>
      </w:pPr>
      <w:r>
        <w:t xml:space="preserve">Porrello ER, Johnson BA, Aurora AB, et al. (2011) MiR-15 family regulates postnatal mitotic arrest of cardiomyocytes. Circ Res 109:670–679</w:t>
      </w:r>
    </w:p>
    <w:p>
      <w:pPr>
        <w:pStyle w:val="BodyText"/>
      </w:pPr>
      <w:r>
        <w:t xml:space="preserve">Porrello ER, Mahmoud AI, Simpson E, et al. (2013) Regulation of neonatal and adult mammalian heart regeneration by the miR-15 family. Proc Natl Acad Sci USA 110:187–192</w:t>
      </w:r>
    </w:p>
    <w:p>
      <w:pPr>
        <w:pStyle w:val="BodyText"/>
      </w:pPr>
      <w:r>
        <w:t xml:space="preserve">Ritchie ME, Phipson B, Wu D, et al. (2015) limma powers differential expression analyses for RNA-sequencing and microarray studies. Nucleic Acids Res 43:e47</w:t>
      </w:r>
    </w:p>
    <w:p>
      <w:pPr>
        <w:pStyle w:val="BodyText"/>
      </w:pPr>
      <w:r>
        <w:t xml:space="preserve">Robin X, Turck N, Hainard A, et al. (2011) pROC: an open-source package for R and S+ to analyze and compare ROC curves. BMC Bioinformatics 12:77</w:t>
      </w:r>
    </w:p>
    <w:p>
      <w:pPr>
        <w:pStyle w:val="BodyText"/>
      </w:pPr>
      <w:r>
        <w:t xml:space="preserve">Szklarczyk D, Kirsch R, Koutrouli M, et al. (2023) The STRING database in 2023. Nucleic Acids Res 51:D638–D646</w:t>
      </w:r>
    </w:p>
    <w:p>
      <w:pPr>
        <w:pStyle w:val="BodyText"/>
      </w:pPr>
      <w:r>
        <w:t xml:space="preserve">Tacke M, Ebner N, Boschmann M, et al. (2013) Resting energy expenditure and the effects of muscle wasting in patients with chronic heart failure (SICA-HF). J Am Med Dir Assoc 14:837–841</w:t>
      </w:r>
    </w:p>
    <w:p>
      <w:pPr>
        <w:pStyle w:val="BodyText"/>
      </w:pPr>
      <w:r>
        <w:t xml:space="preserve">Viechtbauer W (2010) Conducting meta-analyses in R with the metafor package. J Stat Softw 36:1–48</w:t>
      </w:r>
    </w:p>
    <w:p>
      <w:pPr>
        <w:pStyle w:val="BodyText"/>
      </w:pPr>
      <w:r>
        <w:t xml:space="preserve">Wu T, Hu E, Xu S, et al. (2021) clusterProfiler 4.0: a universal enrichment tool for interpreting omics data. Innovation (Camb) 2:100141</w:t>
      </w:r>
    </w:p>
    <w:p>
      <w:pPr>
        <w:pStyle w:val="BodyText"/>
      </w:pPr>
      <w:r>
        <w:t xml:space="preserve">Yoo M, Shin J, Kim J, et al. (2015) DSigDB: drug signatures database for gene set analysis. Bioinformatics 31:3069–3071</w:t>
      </w:r>
    </w:p>
    <w:p>
      <w:r>
        <w:pict>
          <v:rect style="width:0;height:1.5pt" o:hralign="center" o:hrstd="t" o:hr="t"/>
        </w:pict>
      </w:r>
    </w:p>
    <w:bookmarkEnd w:id="21"/>
    <w:bookmarkStart w:id="22" w:name="figure-legends"/>
    <w:p>
      <w:pPr>
        <w:pStyle w:val="Heading2"/>
      </w:pPr>
      <w:r>
        <w:t xml:space="preserve">Figure legends</w:t>
      </w:r>
    </w:p>
    <w:p>
      <w:pPr>
        <w:pStyle w:val="FirstParagraph"/>
      </w:pPr>
      <w:r>
        <w:rPr>
          <w:b/>
          <w:bCs/>
        </w:rPr>
        <w:t xml:space="preserve">Fig. 1</w:t>
      </w:r>
      <w:r>
        <w:t xml:space="preserve"> </w:t>
      </w:r>
      <w:r>
        <w:t xml:space="preserve">Study design. Two transcriptomic data streams — end-stage failing left-ventricular myocardium and ageing skeletal muscle — were analysed independently (differential expression, WGCNA), intersected into a shared signature, reduced to a parsimonious hub panel and a directional signature score, validated in independent cohorts, and dissected for age/etiology confounding; candidate upstream regulation (CLIP-supported miRNAs, transcription factors) and single-cell localisation complete the map. NF, non-failing.</w:t>
      </w:r>
    </w:p>
    <w:p>
      <w:pPr>
        <w:pStyle w:val="BodyText"/>
      </w:pPr>
      <w:r>
        <w:rPr>
          <w:b/>
          <w:bCs/>
        </w:rPr>
        <w:t xml:space="preserve">Fig. 2</w:t>
      </w:r>
      <w:r>
        <w:t xml:space="preserve"> </w:t>
      </w:r>
      <w:r>
        <w:t xml:space="preserve">Diagnostic performance of the directional signature score. (A) Cross-tissue direction consistency of the 59 shared genes (concordant subset highlighted). (B) Receiver-operating-characteristic curve for the heart-failure validation cohort GSE5406 (AUC 0.92). (C) Random-effects meta-analysis forest plot of the signature AUC across five independent ageing-muscle cohorts (per-cohort DeLong 95% CIs; pooled AUC 0.76, I² = 0%). (D) Bootstrap calibration of the heart-failure logistic model on the discovery cohort.</w:t>
      </w:r>
    </w:p>
    <w:p>
      <w:pPr>
        <w:pStyle w:val="BodyText"/>
      </w:pPr>
      <w:r>
        <w:rPr>
          <w:b/>
          <w:bCs/>
        </w:rPr>
        <w:t xml:space="preserve">Fig. 3</w:t>
      </w:r>
      <w:r>
        <w:t xml:space="preserve"> </w:t>
      </w:r>
      <w:r>
        <w:t xml:space="preserve">Candidate upstream regulation and single-cell localisation. (A) Core CLIP-supported miRNA–hub interaction subnetwork (gold, miRNA; red, hub gene; edge width proportional to the number of supporting AGO-CLIP experiments; red edges additionally validated in miRTarBase/TarBase). (B, C) Dot plots of hub-gene expression by cell type in heart (B) and skeletal muscle (C) from the CZ CELLxGENE Census; dot size, percent expressing; colour, mean log-normalised expression. Note NAMPT in myeloid cells and FBLN1 in stromal cells in both tissues.</w:t>
      </w:r>
    </w:p>
    <w:bookmarkEnd w:id="22"/>
    <w:bookmarkStart w:id="23" w:name="supplementary-material"/>
    <w:p>
      <w:pPr>
        <w:pStyle w:val="Heading2"/>
      </w:pPr>
      <w:r>
        <w:t xml:space="preserve">Supplementary material</w:t>
      </w:r>
    </w:p>
    <w:p>
      <w:pPr>
        <w:pStyle w:val="FirstParagraph"/>
      </w:pPr>
      <w:r>
        <w:t xml:space="preserve">Supplementary Table S1 (DEG-threshold sensitivity), full STRING PPI network, full CLIP-supported miRNA network, HF nomogram, decision-curve analysis, immune-infiltration (ssGSEA) plots, age-confound, senescence-overlap, ML-permutation and 3′UTR-length-matched-null analyses are provided as Supplementary Material.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2026-06-25T20:09:09Z</dcterms:created>
  <dcterms:modified xsi:type="dcterms:W3CDTF">2026-06-25T20:09:09Z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