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[Author name / Department / Institution / Address]</w:t>
      </w:r>
    </w:p>
    <w:p>
      <w:pPr>
        <w:pStyle w:val="BodyText"/>
      </w:pPr>
      <w:r>
        <w:t xml:space="preserve">[Date]</w:t>
      </w:r>
    </w:p>
    <w:p>
      <w:pPr>
        <w:pStyle w:val="BodyText"/>
      </w:pPr>
      <w:r>
        <w:t xml:space="preserve">To the Editor-in-Chief</w:t>
      </w:r>
      <w:r>
        <w:t xml:space="preserve"> </w:t>
      </w:r>
      <w:r>
        <w:rPr>
          <w:b/>
          <w:bCs/>
        </w:rPr>
        <w:t xml:space="preserve">Genes &amp; Genomics</w:t>
      </w:r>
    </w:p>
    <w:p>
      <w:pPr>
        <w:pStyle w:val="BodyText"/>
      </w:pPr>
      <w:r>
        <w:t xml:space="preserve">Dear Editor,</w:t>
      </w:r>
    </w:p>
    <w:p>
      <w:pPr>
        <w:pStyle w:val="BodyText"/>
      </w:pPr>
      <w:r>
        <w:t xml:space="preserve">We are pleased to submit our manuscript entitled</w:t>
      </w:r>
      <w:r>
        <w:t xml:space="preserve"> </w:t>
      </w:r>
      <w:r>
        <w:rPr>
          <w:b/>
          <w:bCs/>
        </w:rPr>
        <w:t xml:space="preserve">“A shared cardiac–skeletal-muscle ageing transcriptional signature in heart failure implicates a miR-15/16–CCND1 regulatory axis”</w:t>
      </w:r>
      <w:r>
        <w:t xml:space="preserve"> </w:t>
      </w:r>
      <w:r>
        <w:t xml:space="preserve">for consideration as a Research Article in</w:t>
      </w:r>
      <w:r>
        <w:t xml:space="preserve"> </w:t>
      </w:r>
      <w:r>
        <w:rPr>
          <w:i/>
          <w:iCs/>
        </w:rPr>
        <w:t xml:space="preserve">Genes &amp; Genomics</w:t>
      </w:r>
      <w:r>
        <w:t xml:space="preserve">.</w:t>
      </w:r>
    </w:p>
    <w:p>
      <w:pPr>
        <w:pStyle w:val="BodyText"/>
      </w:pPr>
      <w:r>
        <w:t xml:space="preserve">Skeletal-muscle wasting is a common and prognostically important comorbidity of heart failure (HF), yet whether the failing heart and ageing skeletal muscle share a definable molecular programme — and whether any such overlap is simply the chronological ageing common to both patient groups — has not been tested directly. In this study we integrate publicly available transcriptomes of end-stage failing left-ventricular myocardium and ageing skeletal muscle and, importantly, subject the resulting shared signature to a battery of robustness analyses designed to pre-empt the usual confounders of cross-tissue bioinformatic studies.</w:t>
      </w:r>
    </w:p>
    <w:p>
      <w:pPr>
        <w:pStyle w:val="BodyText"/>
      </w:pPr>
      <w:r>
        <w:t xml:space="preserve">Our principal findings are: (1) the two tissues share a statistically significant set of dysregulated genes (hypergeometric p = 1.0 × 10⁻³) enriched for extracellular-matrix, NAD/immune-metabolic and mTOR programmes; (2) a directional signature score discriminates HF in an independent cohort (AUC 0.92) and ageing muscle across five independent cohorts (random-effects pooled AUC 0.76, I² = 0%); (3) critically, the HF component of the signature is</w:t>
      </w:r>
      <w:r>
        <w:t xml:space="preserve"> </w:t>
      </w:r>
      <w:r>
        <w:rPr>
          <w:b/>
          <w:bCs/>
        </w:rPr>
        <w:t xml:space="preserve">independent of patient age</w:t>
      </w:r>
      <w:r>
        <w:t xml:space="preserve"> </w:t>
      </w:r>
      <w:r>
        <w:t xml:space="preserve">(AUC 0.95 after age adjustment; p = 1.8 × 10⁻¹⁸) and of HF etiology, whereas the muscle component remains ageing-linked — a distinction we make explicit rather than gloss over; and (4) candidate upstream regulation converges on the canonical miR-15/16/195/497 → CCND1 cell-cycle axis, with single-cell mapping (1.9 million cells) placing the NAD/immune hub NAMPT in myeloid cells and the matrix hub FBLN1 in stromal cells of both tissues.</w:t>
      </w:r>
    </w:p>
    <w:p>
      <w:pPr>
        <w:pStyle w:val="BodyText"/>
      </w:pPr>
      <w:r>
        <w:t xml:space="preserve">We have deliberately framed this work as a</w:t>
      </w:r>
      <w:r>
        <w:t xml:space="preserve"> </w:t>
      </w:r>
      <w:r>
        <w:rPr>
          <w:b/>
          <w:bCs/>
        </w:rPr>
        <w:t xml:space="preserve">hypothesis-generating, fully reproducible map of a candidate cardio-muscle ageing axis rather than a validated diagnostic biomarker</w:t>
      </w:r>
      <w:r>
        <w:t xml:space="preserve">, and we report — rather than hide — the limitations a careful reader would probe (the muscle data represent ageing muscle rather than clinically phenotyped sarcopenia; the HF cohort is end-stage HFrEF; the CLIP-supported network is dominated by CCND1 and is not enriched beyond 3′UTR length at the panel level). We believe this transparent, robustness-first treatment of an under-studied muscle–heart axis is well suited to the readership of</w:t>
      </w:r>
      <w:r>
        <w:t xml:space="preserve"> </w:t>
      </w:r>
      <w:r>
        <w:rPr>
          <w:i/>
          <w:iCs/>
        </w:rPr>
        <w:t xml:space="preserve">Genes &amp; Genomics</w:t>
      </w:r>
      <w:r>
        <w:t xml:space="preserve">.</w:t>
      </w:r>
    </w:p>
    <w:p>
      <w:pPr>
        <w:pStyle w:val="BodyText"/>
      </w:pPr>
      <w:r>
        <w:t xml:space="preserve">We confirm that this manuscript is original, has not been published previously, and is not under consideration for publication elsewhere. All authors have read and approved the submitted version and agree to its submission. The study is a secondary analysis of publicly available, de-identified data and required no new ethics approval. The authors declare no competing interests. All datasets are public (GEO accessions listed in the manuscript) and the complete, reproducible analysis pipeline is openly available at https://github.com/candicewu0515/HF-muscle-ageing-signature.</w:t>
      </w:r>
    </w:p>
    <w:p>
      <w:pPr>
        <w:pStyle w:val="BodyText"/>
      </w:pPr>
      <w:r>
        <w:t xml:space="preserve">Thank you for considering our manuscript. We look forward to your response.</w:t>
      </w:r>
    </w:p>
    <w:p>
      <w:pPr>
        <w:pStyle w:val="BodyText"/>
      </w:pPr>
      <w:r>
        <w:t xml:space="preserve">Sincerely,</w:t>
      </w:r>
    </w:p>
    <w:p>
      <w:pPr>
        <w:pStyle w:val="BodyText"/>
      </w:pPr>
      <w:r>
        <w:t xml:space="preserve">[Corresponding author name], on behalf of all authors</w:t>
      </w:r>
      <w:r>
        <w:t xml:space="preserve"> </w:t>
      </w:r>
      <w:r>
        <w:t xml:space="preserve">[Department, Institution]</w:t>
      </w:r>
      <w:r>
        <w:t xml:space="preserve"> </w:t>
      </w:r>
      <w:r>
        <w:t xml:space="preserve">E-mail: candicewu0515@gmail.com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2026-06-25T19:58:42Z</dcterms:created>
  <dcterms:modified xsi:type="dcterms:W3CDTF">2026-06-25T19:58:42Z</dcterms:modified>
</cp:coreProperties>
</file>

<file path=docProps/custom.xml><?xml version="1.0" encoding="utf-8"?>
<Properties xmlns="http://schemas.openxmlformats.org/officeDocument/2006/custom-properties" xmlns:vt="http://schemas.openxmlformats.org/officeDocument/2006/docPropsVTypes"/>
</file>