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2efdc8b151a3eada64ae0baf9edd3e0e0e1eea"/>
    <w:p>
      <w:pPr>
        <w:pStyle w:val="Heading1"/>
      </w:pPr>
      <w:r>
        <w:t xml:space="preserve">PHLDA3 marks aggressive driver-defined thyroid carcinoma: an integrated multi-omics and single-cell analysis</w:t>
      </w:r>
    </w:p>
    <w:p>
      <w:pPr>
        <w:pStyle w:val="FirstParagraph"/>
      </w:pPr>
      <w:hyperlink r:id="rId9">
        <w:r>
          <w:rPr>
            <w:rStyle w:val="Hyperlink"/>
          </w:rPr>
          <w:t xml:space="preserve">Author Name</w:t>
        </w:r>
      </w:hyperlink>
      <w:r>
        <w:t xml:space="preserve">1</w:t>
      </w:r>
    </w:p>
    <w:p>
      <w:pPr>
        <w:pStyle w:val="BodyText"/>
      </w:pPr>
      <w:r>
        <w:t xml:space="preserve">1</w:t>
      </w:r>
      <w:r>
        <w:t xml:space="preserve">[Department/Unit, Institution, City, Country]</w:t>
      </w:r>
    </w:p>
    <w:p>
      <w:pPr>
        <w:pStyle w:val="BodyText"/>
      </w:pPr>
      <w:r>
        <w:rPr>
          <w:b/>
          <w:bCs/>
        </w:rPr>
        <w:t xml:space="preserve">Corresponding author:</w:t>
      </w:r>
      <w:r>
        <w:t xml:space="preserve"> </w:t>
      </w:r>
      <w:hyperlink r:id="rId9">
        <w:r>
          <w:rPr>
            <w:rStyle w:val="Hyperlink"/>
          </w:rPr>
          <w:t xml:space="preserve">Author Name</w:t>
        </w:r>
      </w:hyperlink>
      <w:r>
        <w:t xml:space="preserve">, [Department/Unit, Institution, full postal address]. Email: candicewu0515@gmail.com</w:t>
      </w:r>
    </w:p>
    <w:p>
      <w:pPr>
        <w:pStyle w:val="BodyText"/>
      </w:pPr>
      <w:r>
        <w:rPr>
          <w:i/>
          <w:iCs/>
        </w:rPr>
        <w:t xml:space="preserve">Running head:</w:t>
      </w:r>
      <w:r>
        <w:t xml:space="preserve"> </w:t>
      </w:r>
      <w:r>
        <w:t xml:space="preserve">PHLDA3 marks driver-defined thyroid carcinoma</w:t>
      </w:r>
    </w:p>
    <w:p>
      <w:r>
        <w:pict>
          <v:rect style="width:0;height:1.5pt" o:hralign="center" o:hrstd="t" o:hr="t"/>
        </w:pict>
      </w:r>
    </w:p>
    <w:bookmarkStart w:id="10"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aggressive driver classes of THCA—BRAF</w:t>
      </w:r>
      <w:r>
        <w:rPr>
          <w:vertAlign w:val="superscript"/>
        </w:rPr>
        <w:t xml:space="preserve">V600E</w:t>
      </w:r>
      <w:r>
        <w:t xml:space="preserve"> </w:t>
      </w:r>
      <w:r>
        <w:t xml:space="preserve">and RET/NTRK/ALK fusion-positive tumours—both of which are node-metastasis-prone.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aggressive, driver-defined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 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Here we systematically characterise PHLDA3 in THCA by integrating bulk transcriptomes, an external cohort, pan-cancer reference data, somatic mutation, copy-number and DNA-methylation data, protein immunohistochemistry, functional enrichment, purity-adjusted immune deconvolution, a miRNA/ceRNA network, drug-perturbation signatures and single-cell RNA-seq. We show that, contrary to its canonical tumour-suppressor behaviour in neuroendocrine tissue, PHLDA3 is transcriptionally induced in thyroid cancer cells—associated with promoter hypomethylation rather than copy-number gain—and marks the aggressive, driver-defined tumours (BRAF</w:t>
      </w:r>
      <w:r>
        <w:rPr>
          <w:vertAlign w:val="superscript"/>
        </w:rPr>
        <w:t xml:space="preserve">V600E</w:t>
      </w:r>
      <w:r>
        <w:t xml:space="preserve"> </w:t>
      </w:r>
      <w:r>
        <w:t xml:space="preserve">and kinase-fusion-positive) that carry increased lymph-node-metastasis risk.</w:t>
      </w:r>
    </w:p>
    <w:bookmarkEnd w:id="11"/>
    <w:bookmarkStart w:id="19" w:name="materials-and-methods"/>
    <w:p>
      <w:pPr>
        <w:pStyle w:val="Heading2"/>
      </w:pPr>
      <w:r>
        <w:t xml:space="preserve">2. Materials and methods</w:t>
      </w:r>
    </w:p>
    <w:bookmarkStart w:id="12"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2"/>
    <w:bookmarkStart w:id="13"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w:t>
      </w:r>
    </w:p>
    <w:bookmarkEnd w:id="13"/>
    <w:bookmarkStart w:id="14"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As robustness analyses we modelled PHLDA3 expression and PHLDA3-promoter methylation (cg04055835) as functions of driver status (BRAF</w:t>
      </w:r>
      <w:r>
        <w:rPr>
          <w:vertAlign w:val="superscript"/>
        </w:rPr>
        <w:t xml:space="preserve">V600E</w:t>
      </w:r>
      <w:r>
        <w:t xml:space="preserve">, fusion, RAS) with age, sex and T stage by linear regression, re-tested the PHLDA3–N1 association within the kinase-driver-negative subset (BRAF-wildtype and fusion-negative tumours), and confirmed the fusion-positive expression signal by leave-one-fusion-type-out.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w:t>
      </w:r>
    </w:p>
    <w:bookmarkEnd w:id="14"/>
    <w:bookmarkStart w:id="15"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5"/>
    <w:bookmarkStart w:id="16"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6"/>
    <w:bookmarkStart w:id="17"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7"/>
    <w:bookmarkStart w:id="18"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w:t>
      </w:r>
    </w:p>
    <w:bookmarkEnd w:id="18"/>
    <w:bookmarkEnd w:id="19"/>
    <w:bookmarkStart w:id="31" w:name="results"/>
    <w:p>
      <w:pPr>
        <w:pStyle w:val="Heading2"/>
      </w:pPr>
      <w:r>
        <w:t xml:space="preserve">3. Results</w:t>
      </w:r>
    </w:p>
    <w:bookmarkStart w:id="20"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20"/>
    <w:bookmarkStart w:id="21"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1"/>
    <w:bookmarkStart w:id="22"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2"/>
    <w:bookmarkStart w:id="23" w:name="X2ae0315b66312edc2917c6d89b96c4c27f2dd3e"/>
    <w:p>
      <w:pPr>
        <w:pStyle w:val="Heading3"/>
      </w:pPr>
      <w:r>
        <w:t xml:space="preserve">3.4 PHLDA3 is associated with lymph-node metastasis, but the association is shared with the aggressive 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Because fusion-positive tumours are both strongly node-prone and high in PHLDA3 (Section 3.6, Fig. 2c), PHLDA3’s N1 association is largely shared with the aggressive driver landscape (BRAF</w:t>
      </w:r>
      <w:r>
        <w:rPr>
          <w:vertAlign w:val="superscript"/>
        </w:rPr>
        <w:t xml:space="preserve">V600E</w:t>
      </w:r>
      <w:r>
        <w:t xml:space="preserve"> </w:t>
      </w:r>
      <w:r>
        <w:t xml:space="preserve">and kinase fusions) rather than being driver-independent. Directly supporting this, within the kinase-driver-negative subset (BRAF-wildtype and fusion-negative tumours; n = 125) PHLDA3 showed no association with N1 (OR 0.95, 95% CI 0.66–1.37, P = 0.80)—the PHLDA3–N1 association was confined to the aggressive-driver classes.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3"/>
    <w:bookmarkStart w:id="24"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4"/>
    <w:bookmarkStart w:id="25"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aggressive classes clustering at high expression/low methylation (Spearman r = −0.62; Fig. 3d). High PHLDA3 therefore marks the two aggressive,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 These driver effects were independent of tumour stage: in a multivariable model, BRAF</w:t>
      </w:r>
      <w:r>
        <w:rPr>
          <w:vertAlign w:val="superscript"/>
        </w:rPr>
        <w:t xml:space="preserve">V600E</w:t>
      </w:r>
      <w:r>
        <w:t xml:space="preserve"> </w:t>
      </w:r>
      <w:r>
        <w:t xml:space="preserve">and kinase-fusion status each raised PHLDA3 by ≈ +0.73 log2 units (both P &lt; 10⁻⁸) with T stage non-significant, and the fusion-positive elevation was robust to leaving out any single fusion type (median PHLDA3 5.80–5.83 in every leave-one-out). Promoter methylation showed the mirror pattern in the same model (cg04055835 β lowered by 0.17–0.22 in BRAF</w:t>
      </w:r>
      <w:r>
        <w:rPr>
          <w:vertAlign w:val="superscript"/>
        </w:rPr>
        <w:t xml:space="preserve">V600E</w:t>
      </w:r>
      <w:r>
        <w:t xml:space="preserve"> </w:t>
      </w:r>
      <w:r>
        <w:t xml:space="preserve">and fusion-positive tumours, both P &lt; 10⁻¹³, independent of T stage; BRAF/fusion median β 0.38 vs 0.62 in RAS-mutant/driver-negative tumours, P = 9 × 10⁻²¹).</w:t>
      </w:r>
    </w:p>
    <w:bookmarkEnd w:id="25"/>
    <w:bookmarkStart w:id="26"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6"/>
    <w:bookmarkStart w:id="27"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7"/>
    <w:bookmarkStart w:id="28" w:name="X34aea600efe0d885cebbc001a71d4afe468c47a"/>
    <w:p>
      <w:pPr>
        <w:pStyle w:val="Heading3"/>
      </w:pPr>
      <w:r>
        <w:t xml:space="preserve">3.9 An exploratory PHLDA3 miRNA/ceRNA candidate network (Supplementary Fig. S4)</w:t>
      </w:r>
    </w:p>
    <w:p>
      <w:pPr>
        <w:pStyle w:val="FirstParagraph"/>
      </w:pPr>
      <w:r>
        <w:t xml:space="preserve">To nominate candidate post-transcriptional regulators of PHLDA3, we constructed an exploratory AGO2-CLIP-supported miRNA/lncRNA network. Of 84 PHLDA3-targeting miRNAs with AGO2-CLIP support (ENCORI), 17 were both CLIP-supported and inversely correlated with PHLDA3 in TCGA-THCA, nominating candidate repressors led by miR-7-5p (r = −0.39) and the miR-15/16 family (miR-195/424/497-5p; CLIP evidence = 14). Several established cancer-associated lncRNAs—SNHG12 (r = 0.51), H19, MEG3, MIR4435-2HG and GUSBP11—were positively correlated with PHLDA3 and shared predicted/CLIP-supported binding sites for these repressor miRNAs, consistent with a candidate competing-endogenous-RNA (ceRNA)-style regulatory hypothesis. This network is hypothesis-generating rather than mechanistic proof: it nominates candidates for experimental testing (miRNA mimic/inhibitor, lncRNA knockdown with miRNA-inhibitor rescue, luciferase-reporter 3′-UTR assays, and RIP/RNA pull-down) and does not establish that any lncRNA (e.g. SNHG12) regulates PHLDA3 through miRNA sponging.</w:t>
      </w:r>
    </w:p>
    <w:bookmarkEnd w:id="28"/>
    <w:bookmarkStart w:id="29" w:name="Xfe36fd310fa6033be1105867e1e85ec29bada85"/>
    <w:p>
      <w:pPr>
        <w:pStyle w:val="Heading3"/>
      </w:pPr>
      <w:r>
        <w:t xml:space="preserve">3.10 Candidate drug repurposing (Supplementary Fig. S5)</w:t>
      </w:r>
    </w:p>
    <w:p>
      <w:pPr>
        <w:pStyle w:val="FirstParagraph"/>
      </w:pPr>
      <w:r>
        <w:t xml:space="preserve">As an exploratory, secondary analysis (full results in Supplementary), we asked which perturbations oppose the PHLDA3-high co-expression signature. Two independent connectivity methods (L1000CDS2 reverse mode and the clue.io Connectivity Map at the mechanism-of-action-class level) concordantly nominated histone deacetylase and HSP90 inhibitors (HDAC-inhibitor normalised connectivity score −1.08); HDAC inhibition is an established redifferentiation strategy in thyroid cancer. In a separate pan-cancer cell-line analysis (GDSC2, 805 lines; not thyroid-specific), higher PHLDA3 correlated with greater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9"/>
    <w:bookmarkStart w:id="30"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30"/>
    <w:bookmarkEnd w:id="31"/>
    <w:bookmarkStart w:id="32" w:name="discussion"/>
    <w:p>
      <w:pPr>
        <w:pStyle w:val="Heading2"/>
      </w:pPr>
      <w:r>
        <w:t xml:space="preserve">4. Discussion</w:t>
      </w:r>
    </w:p>
    <w:p>
      <w:pPr>
        <w:pStyle w:val="FirstParagraph"/>
      </w:pPr>
      <w:r>
        <w:t xml:space="preserve">Across complementary modalities PHLDA3 is transcriptionally induced in thyroid cancer cells and is associated with lymph-node metastasis—a clinically important endpoint—remaining significant after adjustment for BRAF status, though attenuated to non-significance when RET/NTRK/ALK kinase-fusion status is additionally modelled (Section 3.4). Because PHLDA3 is comparably high in BRAF</w:t>
      </w:r>
      <w:r>
        <w:rPr>
          <w:vertAlign w:val="superscript"/>
        </w:rPr>
        <w:t xml:space="preserve">V600E</w:t>
      </w:r>
      <w:r>
        <w:t xml:space="preserve"> </w:t>
      </w:r>
      <w:r>
        <w:t xml:space="preserve">and fusion-positive tumours—the two aggressive, node-prone driver classes—this indicates that PHLDA3 marks the aggressive driver landscape rather than acting as a fully driver-independent predictor—indeed, the PHLDA3–N1 association is absent in BRAF-wildtype, fusion-negative tumours (Section 3.4). PHLDA3 is therefore best interpreted as a tumour-cell-intrinsic transcriptomic read-out of aggressive, driver-defined THCA—especially BRAF</w:t>
      </w:r>
      <w:r>
        <w:rPr>
          <w:vertAlign w:val="superscript"/>
        </w:rPr>
        <w:t xml:space="preserve">V600E</w:t>
      </w:r>
      <w:r>
        <w:t xml:space="preserve"> </w:t>
      </w:r>
      <w:r>
        <w:t xml:space="preserve">and kinase-fusion-positive tumours—rather than as a single-gene N1 predictor: this captures aggressive molecular subtypes rather than predicting nodal metastasis independently of them. The single-cell data localise induction to malignant cells, and the mechanism analyses indicate that over-expression reflects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and the exploratory drug-signature analysis nominates HDAC inhibitors, consistent with epigenetic de-repression as one contributing mechanism.</w:t>
      </w:r>
    </w:p>
    <w:p>
      <w:pPr>
        <w:pStyle w:val="BodyText"/>
      </w:pPr>
      <w:r>
        <w:t xml:space="preserve">Clinically, PHLDA3 may serve as a transcriptomic read-out of aggressive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2"/>
    <w:bookmarkStart w:id="33"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3"/>
    <w:bookmarkStart w:id="34"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aggressive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aggressive driver-defined THCA, rather than a driver-independent predictor of nodal metastasis. External validation in annotated cohorts and functional studies of its regulation downstream of p53 are the key next steps.</w:t>
      </w:r>
    </w:p>
    <w:bookmarkEnd w:id="34"/>
    <w:bookmarkStart w:id="35"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5"/>
    <w:bookmarkStart w:id="36" w:name="author-contributions"/>
    <w:p>
      <w:pPr>
        <w:pStyle w:val="Heading2"/>
      </w:pPr>
      <w:r>
        <w:t xml:space="preserve">Author Contributions</w:t>
      </w:r>
    </w:p>
    <w:bookmarkEnd w:id="36"/>
    <w:bookmarkStart w:id="37"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7"/>
    <w:bookmarkStart w:id="38" w:name="orcid-id"/>
    <w:p>
      <w:pPr>
        <w:pStyle w:val="Heading2"/>
      </w:pPr>
      <w:r>
        <w:t xml:space="preserve">ORCID iD</w:t>
      </w:r>
    </w:p>
    <w:p>
      <w:pPr>
        <w:pStyle w:val="FirstParagraph"/>
      </w:pPr>
      <w:hyperlink r:id="rId9">
        <w:r>
          <w:rPr>
            <w:rStyle w:val="Hyperlink"/>
          </w:rPr>
          <w:t xml:space="preserve">Author Name</w:t>
        </w:r>
      </w:hyperlink>
      <w:r>
        <w:t xml:space="preserve"> </w:t>
      </w:r>
      <w:r>
        <w:t xml:space="preserve">https://orcid.org/0000-0000-0000-0000</w:t>
      </w:r>
    </w:p>
    <w:bookmarkEnd w:id="38"/>
    <w:bookmarkStart w:id="39"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bookmarkEnd w:id="39"/>
    <w:bookmarkStart w:id="42" w:name="figure-legends"/>
    <w:p>
      <w:pPr>
        <w:pStyle w:val="Heading2"/>
      </w:pPr>
      <w:r>
        <w:t xml:space="preserve">Figure legends</w:t>
      </w:r>
    </w:p>
    <w:bookmarkStart w:id="40"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aggressive driver landscape.</w:t>
      </w:r>
      <w:r>
        <w:t xml:space="preserve"> </w:t>
      </w:r>
      <w:r>
        <w:t xml:space="preserve">(a) Base multivariable logistic-regression forest for N1 (PHLDA3 + age + sex + T stage). (b) PHLDA3 odds ratio for N1 across nested models (base → + BRAF → + BRAF + RET/NTRK/ALK fusion),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aggressive driver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aggressive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40"/>
    <w:bookmarkStart w:id="41"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ceptualization;%20Data%20curation;%20Formal%20analysis;%20Investigation;%20Methodology;%20Software;%20Validation;%20Visualization;%20Writing%20&#8211;%20original%20draft;%20Writing%20&#8211;%20review%20and%20editing.%20As%20the%20sole%20author,%20the%20author%20conceived%20and%20designed%20the%20study,%20performed%20all%20analyses,%20and%20wrote%20the%20manuscript." TargetMode="External" /></Relationships>
</file>

<file path=word/_rels/footnotes.xml.rels><?xml version="1.0" encoding="UTF-8"?><Relationships xmlns="http://schemas.openxmlformats.org/package/2006/relationships"><Relationship Type="http://schemas.openxmlformats.org/officeDocument/2006/relationships/hyperlink" Id="rId9" Target="Conceptualization;%20Data%20curation;%20Formal%20analysis;%20Investigation;%20Methodology;%20Software;%20Validation;%20Visualization;%20Writing%20&#8211;%20original%20draft;%20Writing%20&#8211;%20review%20and%20editing.%20As%20the%20sole%20author,%20the%20author%20conceived%20and%20designed%20the%20study,%20performed%20all%20analyses,%20and%20wrote%20the%20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2026-06-25T02:39:33Z</dcterms:created>
  <dcterms:modified xsi:type="dcterms:W3CDTF">2026-06-25T02:39:33Z</dcterms:modified>
</cp:coreProperties>
</file>

<file path=docProps/custom.xml><?xml version="1.0" encoding="utf-8"?>
<Properties xmlns="http://schemas.openxmlformats.org/officeDocument/2006/custom-properties" xmlns:vt="http://schemas.openxmlformats.org/officeDocument/2006/docPropsVTypes"/>
</file>