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073fc3e53dad5c0ca1c9c15485aa5235844e04e"/>
    <w:p>
      <w:pPr>
        <w:pStyle w:val="Heading1"/>
      </w:pPr>
      <w:r>
        <w:t xml:space="preserve">PHLDA3 marks kinase-driver-defined thyroid carcinoma: an integrated multi-omics and single-cell analysis</w:t>
      </w:r>
    </w:p>
    <w:p>
      <w:pPr>
        <w:pStyle w:val="FirstParagraph"/>
      </w:pPr>
      <w:r>
        <w:t xml:space="preserve">Xia Wu</w:t>
      </w:r>
      <w:r>
        <w:t xml:space="preserve">1</w:t>
      </w:r>
    </w:p>
    <w:p>
      <w:pPr>
        <w:pStyle w:val="BodyText"/>
      </w:pPr>
      <w:r>
        <w:t xml:space="preserve">1</w:t>
      </w:r>
      <w:r>
        <w:t xml:space="preserve">Department of Internal Medicine, Carver College of Medicine, University of Iowa, Iowa City, IA, USA</w:t>
      </w:r>
    </w:p>
    <w:p>
      <w:pPr>
        <w:pStyle w:val="BodyText"/>
      </w:pPr>
      <w:r>
        <w:rPr>
          <w:b/>
          <w:bCs/>
        </w:rPr>
        <w:t xml:space="preserve">Corresponding author:</w:t>
      </w:r>
      <w:r>
        <w:t xml:space="preserve"> </w:t>
      </w:r>
      <w:r>
        <w:t xml:space="preserve">Xia Wu, Department of Internal Medicine, Carver College of Medicine, University of Iowa, Iowa City, IA, USA. Email: xwu76@uiowa.edu</w:t>
      </w:r>
    </w:p>
    <w:p>
      <w:pPr>
        <w:pStyle w:val="BodyText"/>
      </w:pPr>
      <w:r>
        <w:rPr>
          <w:i/>
          <w:iCs/>
        </w:rPr>
        <w:t xml:space="preserve">Running head:</w:t>
      </w:r>
      <w:r>
        <w:t xml:space="preserve"> </w:t>
      </w:r>
      <w:r>
        <w:t xml:space="preserve">PHLDA3 marks kinase-driver-defined thyroid carcinoma</w:t>
      </w:r>
    </w:p>
    <w:p>
      <w:r>
        <w:pict>
          <v:rect style="width:0;height:1.5pt" o:hralign="center" o:hrstd="t" o:hr="t"/>
        </w:pict>
      </w:r>
    </w:p>
    <w:bookmarkStart w:id="9"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aggressive driver classes of THCA—BRAF</w:t>
      </w:r>
      <w:r>
        <w:rPr>
          <w:vertAlign w:val="superscript"/>
        </w:rPr>
        <w:t xml:space="preserve">V600E</w:t>
      </w:r>
      <w:r>
        <w:t xml:space="preserve"> </w:t>
      </w:r>
      <w:r>
        <w:t xml:space="preserve">and RET/NTRK/ALK fusion-positive tumours—both of which are node-metastasis-prone.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aggressive, driver-defined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w:t>
      </w:r>
      <w:r>
        <w:t xml:space="preserve"> </w:t>
      </w:r>
      <w:r>
        <w:t xml:space="preserve">22</w:t>
      </w:r>
      <w:r>
        <w:t xml:space="preserve"> </w:t>
      </w:r>
      <w:r>
        <w:t xml:space="preserve">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Whether this canonical tumour suppressor behaves the same way in thyroid carcinoma is unknown, and its expression, regulation and clinical correlates there have not been defined. We therefore asked three questions: is PHLDA3 expression altered in THCA and in which cells; what regulates it; and does it carry clinical information independent of the established molecular drivers? To resolve these, we integrated bulk and single-cell transcriptomes with an external cohort, pan-cancer reference data, somatic-mutation, copy-number, DNA-methylation and structural-variant data, and purity-adjusted immune analysis. We show that, contrary to its tumour-suppressor behaviour in neuroendocrine tissue, PHLDA3 is transcriptionally induced in malignant thyroid cells—associated with promoter hypomethylation rather than copy-number gain—and primarily marks the kinase-driver-defined tumours (BRAF</w:t>
      </w:r>
      <w:r>
        <w:rPr>
          <w:vertAlign w:val="superscript"/>
        </w:rPr>
        <w:t xml:space="preserve">V600E</w:t>
      </w:r>
      <w:r>
        <w:t xml:space="preserve"> </w:t>
      </w:r>
      <w:r>
        <w:t xml:space="preserve">and RET/NTRK/ALK fusion-positive) that are prone to lymph-node metastasis, rather than acting as a driver-independent predictor.</w:t>
      </w:r>
    </w:p>
    <w:bookmarkEnd w:id="10"/>
    <w:bookmarkStart w:id="18" w:name="materials-and-methods"/>
    <w:p>
      <w:pPr>
        <w:pStyle w:val="Heading2"/>
      </w:pPr>
      <w:r>
        <w:t xml:space="preserve">2. Materials and methods</w:t>
      </w:r>
    </w:p>
    <w:bookmarkStart w:id="11"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(cBioPortal study identifier</w:t>
      </w:r>
      <w:r>
        <w:t xml:space="preserve"> </w:t>
      </w:r>
      <w:r>
        <w:rPr>
          <w:rStyle w:val="VerbatimChar"/>
        </w:rPr>
        <w:t xml:space="preserve">thca_tcga_pan_can_atlas_2018</w:t>
      </w:r>
      <w:r>
        <w:t xml:space="preserve">)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1"/>
    <w:bookmarkStart w:id="12"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 Cases with a missing value for a given variable were excluded pairwise from that analysis; consequently model sample sizes vary with covariate availability (for example, the N1 models include the 432 patients with complete N stage, age and T stage, of 502 tumours).</w:t>
      </w:r>
    </w:p>
    <w:bookmarkEnd w:id="12"/>
    <w:bookmarkStart w:id="13"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 All cross-validation used stratified 10-fold folds preserving the N1 event rate; discrimination is reported as the cross-validated AUC. Logistic models were fitted in Python (statsmodels 0.14, scikit-learn 1.8); the analysis cohort for each model comprised all cases with complete data for its covariates, so reported sample sizes differ across models.</w:t>
      </w:r>
    </w:p>
    <w:bookmarkEnd w:id="13"/>
    <w:bookmarkStart w:id="14"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4"/>
    <w:bookmarkStart w:id="15"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5"/>
    <w:bookmarkStart w:id="16"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6"/>
    <w:bookmarkStart w:id="17"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w:t>
      </w:r>
    </w:p>
    <w:bookmarkEnd w:id="17"/>
    <w:bookmarkEnd w:id="18"/>
    <w:bookmarkStart w:id="30" w:name="results"/>
    <w:p>
      <w:pPr>
        <w:pStyle w:val="Heading2"/>
      </w:pPr>
      <w:r>
        <w:t xml:space="preserve">3. Results</w:t>
      </w:r>
    </w:p>
    <w:bookmarkStart w:id="19"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19"/>
    <w:bookmarkStart w:id="20"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0"/>
    <w:bookmarkStart w:id="21"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1"/>
    <w:bookmarkStart w:id="22" w:name="X2ae0315b66312edc2917c6d89b96c4c27f2dd3e"/>
    <w:p>
      <w:pPr>
        <w:pStyle w:val="Heading3"/>
      </w:pPr>
      <w:r>
        <w:t xml:space="preserve">3.4 PHLDA3 is associated with lymph-node metastasis, but the association is shared with the aggressive 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Because fusion-positive tumours are both strongly node-prone and high in PHLDA3 (Section 3.6, Fig. 2c), PHLDA3’s N1 association is largely shared with the aggressive 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not observed in the BRAF-wildtype, fusion-negative subset.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it was retained only to transparently show the limited clinical utility of PHLDA3 alone.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2"/>
    <w:bookmarkStart w:id="23"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3"/>
    <w:bookmarkStart w:id="24"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4"/>
    <w:bookmarkStart w:id="25"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5"/>
    <w:bookmarkStart w:id="26"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6"/>
    <w:bookmarkStart w:id="27" w:name="X34aea600efe0d885cebbc001a71d4afe468c47a"/>
    <w:p>
      <w:pPr>
        <w:pStyle w:val="Heading3"/>
      </w:pPr>
      <w:r>
        <w:t xml:space="preserve">3.9 An exploratory PHLDA3 miRNA/ceRNA candidate network (Supplementary Fig. S4)</w:t>
      </w:r>
    </w:p>
    <w:p>
      <w:pPr>
        <w:pStyle w:val="FirstParagraph"/>
      </w:pPr>
      <w:r>
        <w:t xml:space="preserve">As an exploratory analysis (details in Supplementary Fig. S4), we constructed an AGO2-CLIP-supported miRNA/lncRNA network to nominate candidate post-transcriptional regulators of PHLDA3. Seventeen CLIP-supported miRNAs were inversely correlated with PHLDA3 (led by miR-7-5p and the miR-15/16 family), and several cancer-associated lncRNAs (e.g. SNHG12) were positively correlated and shared their predicted binding sites, consistent with a candidate competing-endogenous-RNA (ceRNA)-style hypothesis. This network is hypothesis-generating only; it does not establish miRNA sponging and is not part of the primary findings.</w:t>
      </w:r>
    </w:p>
    <w:bookmarkEnd w:id="27"/>
    <w:bookmarkStart w:id="28" w:name="Xb31cd24769d276c3c18e264caf0632e63cf0ed0"/>
    <w:p>
      <w:pPr>
        <w:pStyle w:val="Heading3"/>
      </w:pPr>
      <w:r>
        <w:t xml:space="preserve">3.10 Candidate drug repurposing (exploratory; Supplementary Fig. S5)</w:t>
      </w:r>
    </w:p>
    <w:p>
      <w:pPr>
        <w:pStyle w:val="FirstParagraph"/>
      </w:pPr>
      <w:r>
        <w:t xml:space="preserve">As a secondary, exploratory analysis (Supplementary Fig. S5), we asked which perturbations oppose the PHLDA3-high co-expression signature. Two connectivity methods (L1000CDS2; clue.io Connectivity Map) concordantly nominated HDAC and HSP90 inhibitors, and in a pan-cancer cell-line analysis (GDSC2; not thyroid-specific) higher PHLDA3 tracked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8"/>
    <w:bookmarkStart w:id="29"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29"/>
    <w:bookmarkEnd w:id="30"/>
    <w:bookmarkStart w:id="31" w:name="discussion"/>
    <w:p>
      <w:pPr>
        <w:pStyle w:val="Heading2"/>
      </w:pPr>
      <w:r>
        <w:t xml:space="preserve">4. Discussion</w:t>
      </w:r>
    </w:p>
    <w:p>
      <w:pPr>
        <w:pStyle w:val="FirstParagraph"/>
      </w:pPr>
      <w:r>
        <w:t xml:space="preserve">PHLDA3 is transcriptionally induced in malignant thyroid cells and is associated with lymph-node metastasis, but this association attenuates to non-significance once RET/NTRK/ALK kinase-fusion status is modelled and is not seen in BRAF-wildtype, fusion-negative tumours (Section 3.4). Because PHLDA3 is comparably high in BRAF</w:t>
      </w:r>
      <w:r>
        <w:rPr>
          <w:vertAlign w:val="superscript"/>
        </w:rPr>
        <w:t xml:space="preserve">V600E</w:t>
      </w:r>
      <w:r>
        <w:t xml:space="preserve"> </w:t>
      </w:r>
      <w:r>
        <w:t xml:space="preserve">and kinase-fusion-positive tumours—the two node-metastasis-prone driver classes—it is best interpreted as a tumour-cell-intrinsic transcriptomic read-out of kinase-driver-defined THCA rather than a driver-independent N1 predictor: it captures these molecular subtypes rather than predicting nodal metastasis independently of them. The single-cell data localise induction to malignant cells, and the mechanism analyses indicate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consistent with the immune-active microenvironment described in thyroid cancer</w:t>
      </w:r>
      <w:r>
        <w:t xml:space="preserve"> </w:t>
      </w:r>
      <w:r>
        <w:t xml:space="preserve">24</w:t>
      </w:r>
      <w:r>
        <w:t xml:space="preserve">; the exploratory drug-signature analysis nominates HDAC inhibitors, consistent with epigenetic de-repression as one contributing mechanism.</w:t>
      </w:r>
    </w:p>
    <w:p>
      <w:pPr>
        <w:pStyle w:val="BodyText"/>
      </w:pPr>
      <w:r>
        <w:t xml:space="preserve">Clinically, PHLDA3 may serve as a transcriptomic read-out of aggressive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1"/>
    <w:bookmarkStart w:id="32"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 </w:t>
      </w:r>
      <w:r>
        <w:t xml:space="preserve">23</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2"/>
    <w:bookmarkStart w:id="33"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node-metastasis-prone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kinase-driver-defined THCA, rather than a driver-independent predictor of nodal metastasis. External validation in annotated cohorts and functional studies of its regulation downstream of p53 are the key next steps.</w:t>
      </w:r>
    </w:p>
    <w:bookmarkEnd w:id="33"/>
    <w:bookmarkStart w:id="34"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4"/>
    <w:bookmarkStart w:id="35" w:name="author-contributions"/>
    <w:p>
      <w:pPr>
        <w:pStyle w:val="Heading2"/>
      </w:pPr>
      <w:r>
        <w:t xml:space="preserve">Author Contributions</w:t>
      </w:r>
    </w:p>
    <w:p>
      <w:pPr>
        <w:pStyle w:val="FirstParagraph"/>
      </w:pPr>
      <w:r>
        <w:t xml:space="preserve">Xia Wu: Conceptualization; Data curation; Formal analysis; Investigation; Methodology; Software; Validation; Visualization; Writing – original draft; Writing – review and editing. As the sole author, the author conceived and designed the study, performed all analyses, and wrote the manuscript.</w:t>
      </w:r>
    </w:p>
    <w:bookmarkEnd w:id="35"/>
    <w:bookmarkStart w:id="36"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6"/>
    <w:bookmarkStart w:id="37" w:name="orcid-id"/>
    <w:p>
      <w:pPr>
        <w:pStyle w:val="Heading2"/>
      </w:pPr>
      <w:r>
        <w:t xml:space="preserve">ORCID iD</w:t>
      </w:r>
    </w:p>
    <w:p>
      <w:pPr>
        <w:pStyle w:val="FirstParagraph"/>
      </w:pPr>
      <w:r>
        <w:t xml:space="preserve">Xia Wu https://orcid.org/0009-0006-9852-812X</w:t>
      </w:r>
    </w:p>
    <w:bookmarkEnd w:id="37"/>
    <w:bookmarkStart w:id="38"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p>
      <w:pPr>
        <w:pStyle w:val="Compact"/>
        <w:numPr>
          <w:ilvl w:val="0"/>
          <w:numId w:val="1001"/>
        </w:numPr>
      </w:pPr>
      <w:r>
        <w:t xml:space="preserve">Kawase T, Ohki R, Shibata T, et al. PH domain-only protein PHLDA3 is a p53-regulated repressor of Akt.</w:t>
      </w:r>
      <w:r>
        <w:t xml:space="preserve"> </w:t>
      </w:r>
      <w:r>
        <w:rPr>
          <w:i/>
          <w:iCs/>
        </w:rPr>
        <w:t xml:space="preserve">Cell</w:t>
      </w:r>
      <w:r>
        <w:t xml:space="preserve">. 2009;136(3):535-550. doi:10.1016/j.cell.2008.12.002</w:t>
      </w:r>
    </w:p>
    <w:p>
      <w:pPr>
        <w:pStyle w:val="Compact"/>
        <w:numPr>
          <w:ilvl w:val="0"/>
          <w:numId w:val="1001"/>
        </w:numPr>
      </w:pPr>
      <w:r>
        <w:t xml:space="preserve">Vuong HG, Altibi AMA, Duong UNP, Hassell L. Prognostic implication of BRAF and TERT promoter mutation combination in papillary thyroid carcinoma: a meta-analysis.</w:t>
      </w:r>
      <w:r>
        <w:t xml:space="preserve"> </w:t>
      </w:r>
      <w:r>
        <w:rPr>
          <w:i/>
          <w:iCs/>
        </w:rPr>
        <w:t xml:space="preserve">Clin Endocrinol (Oxf)</w:t>
      </w:r>
      <w:r>
        <w:t xml:space="preserve">. 2017;87(5):411-417. doi:10.1111/cen.13413</w:t>
      </w:r>
    </w:p>
    <w:p>
      <w:pPr>
        <w:pStyle w:val="Compact"/>
        <w:numPr>
          <w:ilvl w:val="0"/>
          <w:numId w:val="1001"/>
        </w:numPr>
      </w:pPr>
      <w:r>
        <w:t xml:space="preserve">Yin H, Tang Y, Guo Y, Wen S. Immune microenvironment of thyroid cancer.</w:t>
      </w:r>
      <w:r>
        <w:t xml:space="preserve"> </w:t>
      </w:r>
      <w:r>
        <w:rPr>
          <w:i/>
          <w:iCs/>
        </w:rPr>
        <w:t xml:space="preserve">J Cancer</w:t>
      </w:r>
      <w:r>
        <w:t xml:space="preserve">. 2020;11(16):4884-4896. doi:10.7150/jca.44506</w:t>
      </w:r>
    </w:p>
    <w:bookmarkEnd w:id="38"/>
    <w:bookmarkStart w:id="41" w:name="figure-legends"/>
    <w:p>
      <w:pPr>
        <w:pStyle w:val="Heading2"/>
      </w:pPr>
      <w:r>
        <w:t xml:space="preserve">Figure legends</w:t>
      </w:r>
    </w:p>
    <w:bookmarkStart w:id="39"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aggressive driver landscape.</w:t>
      </w:r>
      <w:r>
        <w:t xml:space="preserve"> </w:t>
      </w:r>
      <w:r>
        <w:t xml:space="preserve">(a) Base multivariable logistic-regression forest for N1 (PHLDA3 + age + sex + T stage). (b) PHLDA3 odds ratio for N1 across nested models (base → + BRAF → + BRAF + RET/NTRK/ALK fusion),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aggressive driver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39"/>
    <w:bookmarkStart w:id="40"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 and was retained only to transparently show the limited clinical utility of PHLDA3 alone.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2026-06-25T02:50:43Z</dcterms:created>
  <dcterms:modified xsi:type="dcterms:W3CDTF">2026-06-25T02:50:43Z</dcterms:modified>
</cp:coreProperties>
</file>

<file path=docProps/custom.xml><?xml version="1.0" encoding="utf-8"?>
<Properties xmlns="http://schemas.openxmlformats.org/officeDocument/2006/custom-properties" xmlns:vt="http://schemas.openxmlformats.org/officeDocument/2006/docPropsVTypes"/>
</file>