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CB34" w14:textId="4A227C2B" w:rsidR="00DC695F" w:rsidRPr="00786DD3" w:rsidRDefault="00DC695F" w:rsidP="00DC695F">
      <w:pPr>
        <w:jc w:val="center"/>
        <w:rPr>
          <w:rFonts w:ascii="Arial" w:hAnsi="Arial" w:cs="Arial"/>
          <w:b/>
          <w:bCs/>
          <w:sz w:val="36"/>
          <w:szCs w:val="36"/>
          <w:u w:val="single"/>
        </w:rPr>
      </w:pPr>
      <w:r w:rsidRPr="00786DD3">
        <w:rPr>
          <w:rFonts w:ascii="Arial" w:hAnsi="Arial" w:cs="Arial"/>
          <w:b/>
          <w:bCs/>
          <w:sz w:val="36"/>
          <w:szCs w:val="36"/>
          <w:u w:val="single"/>
        </w:rPr>
        <w:t>PyCitySchools Analysis</w:t>
      </w:r>
    </w:p>
    <w:p w14:paraId="2802688C" w14:textId="77777777" w:rsidR="00DC695F" w:rsidRPr="00E11B57" w:rsidRDefault="00DC695F" w:rsidP="00DC695F">
      <w:pPr>
        <w:spacing w:after="0"/>
        <w:jc w:val="center"/>
        <w:rPr>
          <w:rFonts w:ascii="Arial" w:hAnsi="Arial" w:cs="Arial"/>
          <w:b/>
          <w:bCs/>
          <w:sz w:val="32"/>
          <w:szCs w:val="32"/>
        </w:rPr>
      </w:pPr>
    </w:p>
    <w:p w14:paraId="7D126294" w14:textId="538A24F8" w:rsidR="00DC695F" w:rsidRPr="00E11B57" w:rsidRDefault="00DC695F" w:rsidP="00DC695F">
      <w:pPr>
        <w:spacing w:after="0"/>
        <w:rPr>
          <w:rFonts w:ascii="Arial" w:hAnsi="Arial" w:cs="Arial"/>
          <w:sz w:val="24"/>
          <w:szCs w:val="24"/>
          <w:u w:val="single"/>
        </w:rPr>
      </w:pPr>
      <w:r w:rsidRPr="00E11B57">
        <w:rPr>
          <w:rFonts w:ascii="Arial" w:hAnsi="Arial" w:cs="Arial"/>
          <w:sz w:val="24"/>
          <w:szCs w:val="24"/>
          <w:u w:val="single"/>
        </w:rPr>
        <w:t>Documents:</w:t>
      </w:r>
    </w:p>
    <w:p w14:paraId="455CB6F6" w14:textId="74E62637" w:rsidR="00DC695F" w:rsidRPr="00E11B57" w:rsidRDefault="00DC695F" w:rsidP="00DC695F">
      <w:pPr>
        <w:pStyle w:val="ListParagraph"/>
        <w:numPr>
          <w:ilvl w:val="0"/>
          <w:numId w:val="1"/>
        </w:numPr>
        <w:spacing w:after="0"/>
        <w:rPr>
          <w:rFonts w:ascii="Arial" w:hAnsi="Arial" w:cs="Arial"/>
          <w:sz w:val="24"/>
          <w:szCs w:val="24"/>
        </w:rPr>
      </w:pPr>
      <w:proofErr w:type="spellStart"/>
      <w:r w:rsidRPr="00E11B57">
        <w:rPr>
          <w:rFonts w:ascii="Arial" w:hAnsi="Arial" w:cs="Arial"/>
          <w:sz w:val="24"/>
          <w:szCs w:val="24"/>
        </w:rPr>
        <w:t>PyCitySchools.ipynb</w:t>
      </w:r>
      <w:proofErr w:type="spellEnd"/>
    </w:p>
    <w:p w14:paraId="10E3C420" w14:textId="473A0F8B" w:rsidR="00DC695F" w:rsidRPr="00E11B57" w:rsidRDefault="00DC695F" w:rsidP="00DC695F">
      <w:pPr>
        <w:pStyle w:val="ListParagraph"/>
        <w:numPr>
          <w:ilvl w:val="0"/>
          <w:numId w:val="1"/>
        </w:numPr>
        <w:spacing w:after="0"/>
        <w:rPr>
          <w:rFonts w:ascii="Arial" w:hAnsi="Arial" w:cs="Arial"/>
          <w:sz w:val="24"/>
          <w:szCs w:val="24"/>
        </w:rPr>
      </w:pPr>
      <w:r w:rsidRPr="00E11B57">
        <w:rPr>
          <w:rFonts w:ascii="Arial" w:hAnsi="Arial" w:cs="Arial"/>
          <w:sz w:val="24"/>
          <w:szCs w:val="24"/>
        </w:rPr>
        <w:t>schools_complete.csv</w:t>
      </w:r>
    </w:p>
    <w:p w14:paraId="5064393E" w14:textId="5018EDC2" w:rsidR="00DC695F" w:rsidRPr="00E11B57" w:rsidRDefault="00DC695F" w:rsidP="00DC695F">
      <w:pPr>
        <w:pStyle w:val="ListParagraph"/>
        <w:numPr>
          <w:ilvl w:val="0"/>
          <w:numId w:val="1"/>
        </w:numPr>
        <w:spacing w:after="0"/>
        <w:rPr>
          <w:rFonts w:ascii="Arial" w:hAnsi="Arial" w:cs="Arial"/>
          <w:sz w:val="24"/>
          <w:szCs w:val="24"/>
        </w:rPr>
      </w:pPr>
      <w:r w:rsidRPr="00E11B57">
        <w:rPr>
          <w:rFonts w:ascii="Arial" w:hAnsi="Arial" w:cs="Arial"/>
          <w:sz w:val="24"/>
          <w:szCs w:val="24"/>
        </w:rPr>
        <w:t>students_complete.csv</w:t>
      </w:r>
    </w:p>
    <w:p w14:paraId="6B907CB3" w14:textId="2847EB1E" w:rsidR="00DC695F" w:rsidRPr="00E11B57" w:rsidRDefault="00DC695F" w:rsidP="00DC695F">
      <w:pPr>
        <w:rPr>
          <w:rFonts w:ascii="Arial" w:hAnsi="Arial" w:cs="Arial"/>
          <w:b/>
          <w:bCs/>
          <w:sz w:val="28"/>
          <w:szCs w:val="28"/>
        </w:rPr>
      </w:pPr>
    </w:p>
    <w:p w14:paraId="6A13B5B6" w14:textId="66798DE9" w:rsidR="00DC695F" w:rsidRDefault="00E11B57" w:rsidP="00E11B57">
      <w:pPr>
        <w:ind w:firstLine="360"/>
        <w:jc w:val="both"/>
        <w:rPr>
          <w:rFonts w:ascii="Arial" w:hAnsi="Arial" w:cs="Arial"/>
          <w:sz w:val="24"/>
          <w:szCs w:val="24"/>
        </w:rPr>
      </w:pPr>
      <w:r>
        <w:rPr>
          <w:rFonts w:ascii="Arial" w:hAnsi="Arial" w:cs="Arial"/>
          <w:sz w:val="24"/>
          <w:szCs w:val="24"/>
        </w:rPr>
        <w:t xml:space="preserve">We analyze data from schools and their students based on their math and reading scores. The schools and the students are identified by ID, grades, gender, both reading and math scores, the type of school, size and budget. </w:t>
      </w:r>
    </w:p>
    <w:p w14:paraId="60462139" w14:textId="7D757207" w:rsidR="00E11B57" w:rsidRDefault="00E11B57" w:rsidP="00E11B57">
      <w:pPr>
        <w:ind w:firstLine="360"/>
        <w:jc w:val="both"/>
        <w:rPr>
          <w:rFonts w:ascii="Arial" w:hAnsi="Arial" w:cs="Arial"/>
          <w:sz w:val="24"/>
          <w:szCs w:val="24"/>
        </w:rPr>
      </w:pPr>
    </w:p>
    <w:p w14:paraId="1DA46D15" w14:textId="53847A6B" w:rsidR="00E11B57" w:rsidRDefault="00E11B57" w:rsidP="00E11B57">
      <w:pPr>
        <w:ind w:firstLine="360"/>
        <w:jc w:val="both"/>
        <w:rPr>
          <w:rFonts w:ascii="Arial" w:hAnsi="Arial" w:cs="Arial"/>
          <w:sz w:val="24"/>
          <w:szCs w:val="24"/>
        </w:rPr>
      </w:pPr>
      <w:r>
        <w:rPr>
          <w:rFonts w:ascii="Arial" w:hAnsi="Arial" w:cs="Arial"/>
          <w:sz w:val="24"/>
          <w:szCs w:val="24"/>
        </w:rPr>
        <w:t>We can see that the district summary</w:t>
      </w:r>
      <w:r w:rsidR="002E0729">
        <w:rPr>
          <w:rFonts w:ascii="Arial" w:hAnsi="Arial" w:cs="Arial"/>
          <w:sz w:val="24"/>
          <w:szCs w:val="24"/>
        </w:rPr>
        <w:t xml:space="preserve"> (</w:t>
      </w:r>
      <w:r w:rsidR="002E0729">
        <w:rPr>
          <w:rFonts w:ascii="Arial" w:hAnsi="Arial" w:cs="Arial"/>
          <w:i/>
          <w:iCs/>
          <w:sz w:val="24"/>
          <w:szCs w:val="24"/>
        </w:rPr>
        <w:t>See exhibit A)</w:t>
      </w:r>
      <w:r>
        <w:rPr>
          <w:rFonts w:ascii="Arial" w:hAnsi="Arial" w:cs="Arial"/>
          <w:sz w:val="24"/>
          <w:szCs w:val="24"/>
        </w:rPr>
        <w:t xml:space="preserve"> allows us to review the total of students per schools the average of their scores as a hole and</w:t>
      </w:r>
      <w:r w:rsidR="002E0729">
        <w:rPr>
          <w:rFonts w:ascii="Arial" w:hAnsi="Arial" w:cs="Arial"/>
          <w:sz w:val="24"/>
          <w:szCs w:val="24"/>
        </w:rPr>
        <w:t xml:space="preserve"> overall passing rate for all the schools combined. By calculating the averages and overall passing rate per school (</w:t>
      </w:r>
      <w:r w:rsidR="002E0729">
        <w:rPr>
          <w:rFonts w:ascii="Arial" w:hAnsi="Arial" w:cs="Arial"/>
          <w:i/>
          <w:iCs/>
          <w:sz w:val="24"/>
          <w:szCs w:val="24"/>
        </w:rPr>
        <w:t xml:space="preserve">See exhibit B) </w:t>
      </w:r>
      <w:r w:rsidR="002E0729">
        <w:rPr>
          <w:rFonts w:ascii="Arial" w:hAnsi="Arial" w:cs="Arial"/>
          <w:sz w:val="24"/>
          <w:szCs w:val="24"/>
        </w:rPr>
        <w:t>we were able to find the five highest-performing schools by the percent overall passing (</w:t>
      </w:r>
      <w:r w:rsidR="002E0729">
        <w:rPr>
          <w:rFonts w:ascii="Arial" w:hAnsi="Arial" w:cs="Arial"/>
          <w:i/>
          <w:iCs/>
          <w:sz w:val="24"/>
          <w:szCs w:val="24"/>
        </w:rPr>
        <w:t>See exhibit C)</w:t>
      </w:r>
      <w:r w:rsidR="002E0729">
        <w:rPr>
          <w:rFonts w:ascii="Arial" w:hAnsi="Arial" w:cs="Arial"/>
          <w:sz w:val="24"/>
          <w:szCs w:val="24"/>
        </w:rPr>
        <w:t xml:space="preserve"> and the five bottom performing schools by percent overall passing </w:t>
      </w:r>
      <w:r w:rsidR="002E0729">
        <w:rPr>
          <w:rFonts w:ascii="Arial" w:hAnsi="Arial" w:cs="Arial"/>
          <w:sz w:val="24"/>
          <w:szCs w:val="24"/>
        </w:rPr>
        <w:t>(</w:t>
      </w:r>
      <w:r w:rsidR="002E0729">
        <w:rPr>
          <w:rFonts w:ascii="Arial" w:hAnsi="Arial" w:cs="Arial"/>
          <w:i/>
          <w:iCs/>
          <w:sz w:val="24"/>
          <w:szCs w:val="24"/>
        </w:rPr>
        <w:t xml:space="preserve">See exhibit </w:t>
      </w:r>
      <w:r w:rsidR="002E0729">
        <w:rPr>
          <w:rFonts w:ascii="Arial" w:hAnsi="Arial" w:cs="Arial"/>
          <w:i/>
          <w:iCs/>
          <w:sz w:val="24"/>
          <w:szCs w:val="24"/>
        </w:rPr>
        <w:t>D</w:t>
      </w:r>
      <w:r w:rsidR="002E0729">
        <w:rPr>
          <w:rFonts w:ascii="Arial" w:hAnsi="Arial" w:cs="Arial"/>
          <w:i/>
          <w:iCs/>
          <w:sz w:val="24"/>
          <w:szCs w:val="24"/>
        </w:rPr>
        <w:t>)</w:t>
      </w:r>
      <w:r w:rsidR="002E0729">
        <w:rPr>
          <w:rFonts w:ascii="Arial" w:hAnsi="Arial" w:cs="Arial"/>
          <w:sz w:val="24"/>
          <w:szCs w:val="24"/>
        </w:rPr>
        <w:t xml:space="preserve">. </w:t>
      </w:r>
      <w:r w:rsidR="00786DD3">
        <w:rPr>
          <w:rFonts w:ascii="Arial" w:hAnsi="Arial" w:cs="Arial"/>
          <w:sz w:val="24"/>
          <w:szCs w:val="24"/>
        </w:rPr>
        <w:t>Notice the Cabrera High School was the highest-performing school and the Rodriguez High School was the bottom performing school.</w:t>
      </w:r>
    </w:p>
    <w:p w14:paraId="1C592FC4" w14:textId="248A4454" w:rsidR="00786DD3" w:rsidRDefault="00786DD3" w:rsidP="00E11B57">
      <w:pPr>
        <w:ind w:firstLine="360"/>
        <w:jc w:val="both"/>
        <w:rPr>
          <w:rFonts w:ascii="Arial" w:hAnsi="Arial" w:cs="Arial"/>
          <w:sz w:val="24"/>
          <w:szCs w:val="24"/>
        </w:rPr>
      </w:pPr>
    </w:p>
    <w:p w14:paraId="676C00FD" w14:textId="15F9632F" w:rsidR="00786DD3" w:rsidRDefault="00786DD3" w:rsidP="00E11B57">
      <w:pPr>
        <w:ind w:firstLine="360"/>
        <w:jc w:val="both"/>
        <w:rPr>
          <w:rFonts w:ascii="Arial" w:hAnsi="Arial" w:cs="Arial"/>
          <w:i/>
          <w:iCs/>
          <w:sz w:val="24"/>
          <w:szCs w:val="24"/>
        </w:rPr>
      </w:pPr>
      <w:r>
        <w:rPr>
          <w:rFonts w:ascii="Arial" w:hAnsi="Arial" w:cs="Arial"/>
          <w:sz w:val="24"/>
          <w:szCs w:val="24"/>
        </w:rPr>
        <w:t>Finally, notice that by school type, Charter schools had the best percent overall passing with 90.43% (</w:t>
      </w:r>
      <w:r>
        <w:rPr>
          <w:rFonts w:ascii="Arial" w:hAnsi="Arial" w:cs="Arial"/>
          <w:i/>
          <w:iCs/>
          <w:sz w:val="24"/>
          <w:szCs w:val="24"/>
        </w:rPr>
        <w:t>See exhibit E).</w:t>
      </w:r>
      <w:r>
        <w:rPr>
          <w:rFonts w:ascii="Arial" w:hAnsi="Arial" w:cs="Arial"/>
          <w:sz w:val="24"/>
          <w:szCs w:val="24"/>
        </w:rPr>
        <w:t xml:space="preserve"> However, Bailey High School is a District school type with the highest of spending ranges per student (</w:t>
      </w:r>
      <w:r>
        <w:rPr>
          <w:rFonts w:ascii="Arial" w:hAnsi="Arial" w:cs="Arial"/>
          <w:i/>
          <w:iCs/>
          <w:sz w:val="24"/>
          <w:szCs w:val="24"/>
        </w:rPr>
        <w:t xml:space="preserve">See exhibit F) </w:t>
      </w:r>
      <w:r>
        <w:rPr>
          <w:rFonts w:ascii="Arial" w:hAnsi="Arial" w:cs="Arial"/>
          <w:sz w:val="24"/>
          <w:szCs w:val="24"/>
        </w:rPr>
        <w:t>but it is also in the group of Large School Size along with the Total School Budget of $3,124,928.00 (</w:t>
      </w:r>
      <w:r>
        <w:rPr>
          <w:rFonts w:ascii="Arial" w:hAnsi="Arial" w:cs="Arial"/>
          <w:i/>
          <w:iCs/>
          <w:sz w:val="24"/>
          <w:szCs w:val="24"/>
        </w:rPr>
        <w:t>See Exhibit G).</w:t>
      </w:r>
    </w:p>
    <w:p w14:paraId="1B5ED0D4" w14:textId="1F7E04D2" w:rsidR="00786DD3" w:rsidRDefault="00786DD3">
      <w:pPr>
        <w:rPr>
          <w:rFonts w:ascii="Arial" w:hAnsi="Arial" w:cs="Arial"/>
          <w:i/>
          <w:iCs/>
          <w:sz w:val="24"/>
          <w:szCs w:val="24"/>
        </w:rPr>
      </w:pPr>
      <w:r>
        <w:rPr>
          <w:rFonts w:ascii="Arial" w:hAnsi="Arial" w:cs="Arial"/>
          <w:i/>
          <w:iCs/>
          <w:sz w:val="24"/>
          <w:szCs w:val="24"/>
        </w:rPr>
        <w:br w:type="page"/>
      </w:r>
    </w:p>
    <w:p w14:paraId="408BC1C8" w14:textId="508B26E7" w:rsidR="00786DD3" w:rsidRPr="00786DD3" w:rsidRDefault="00786DD3" w:rsidP="00786DD3">
      <w:pPr>
        <w:ind w:firstLine="360"/>
        <w:jc w:val="center"/>
        <w:rPr>
          <w:rFonts w:ascii="Arial" w:hAnsi="Arial" w:cs="Arial"/>
          <w:b/>
          <w:bCs/>
          <w:sz w:val="32"/>
          <w:szCs w:val="32"/>
          <w:u w:val="single"/>
        </w:rPr>
      </w:pPr>
      <w:r w:rsidRPr="00786DD3">
        <w:rPr>
          <w:rFonts w:ascii="Arial" w:hAnsi="Arial" w:cs="Arial"/>
          <w:b/>
          <w:bCs/>
          <w:sz w:val="32"/>
          <w:szCs w:val="32"/>
          <w:u w:val="single"/>
        </w:rPr>
        <w:lastRenderedPageBreak/>
        <w:t>EXHIBITS</w:t>
      </w:r>
    </w:p>
    <w:p w14:paraId="388D949A" w14:textId="54D9B6E1" w:rsidR="002E0729" w:rsidRDefault="002E0729" w:rsidP="00E11B57">
      <w:pPr>
        <w:ind w:firstLine="360"/>
        <w:jc w:val="both"/>
        <w:rPr>
          <w:rFonts w:ascii="Arial" w:hAnsi="Arial" w:cs="Arial"/>
          <w:sz w:val="24"/>
          <w:szCs w:val="24"/>
        </w:rPr>
      </w:pPr>
    </w:p>
    <w:p w14:paraId="3F49BDE4" w14:textId="1A0F84EC" w:rsidR="002E0729" w:rsidRDefault="002E0729" w:rsidP="00E11B57">
      <w:pPr>
        <w:ind w:firstLine="360"/>
        <w:jc w:val="both"/>
        <w:rPr>
          <w:rFonts w:ascii="Arial" w:hAnsi="Arial" w:cs="Arial"/>
          <w:sz w:val="24"/>
          <w:szCs w:val="24"/>
        </w:rPr>
      </w:pPr>
      <w:r>
        <w:rPr>
          <w:rFonts w:ascii="Arial" w:hAnsi="Arial" w:cs="Arial"/>
          <w:sz w:val="24"/>
          <w:szCs w:val="24"/>
        </w:rPr>
        <w:t>Exhibit A</w:t>
      </w:r>
    </w:p>
    <w:p w14:paraId="253244F0" w14:textId="49613D9A" w:rsidR="002E0729" w:rsidRDefault="002E0729" w:rsidP="00E11B57">
      <w:pPr>
        <w:ind w:firstLine="360"/>
        <w:jc w:val="both"/>
        <w:rPr>
          <w:rFonts w:ascii="Arial" w:hAnsi="Arial" w:cs="Arial"/>
          <w:sz w:val="24"/>
          <w:szCs w:val="24"/>
        </w:rPr>
      </w:pPr>
      <w:r>
        <w:rPr>
          <w:noProof/>
        </w:rPr>
        <w:drawing>
          <wp:inline distT="0" distB="0" distL="0" distR="0" wp14:anchorId="30B4C133" wp14:editId="64D1849F">
            <wp:extent cx="59436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470"/>
                    </a:xfrm>
                    <a:prstGeom prst="rect">
                      <a:avLst/>
                    </a:prstGeom>
                  </pic:spPr>
                </pic:pic>
              </a:graphicData>
            </a:graphic>
          </wp:inline>
        </w:drawing>
      </w:r>
    </w:p>
    <w:p w14:paraId="32851F67" w14:textId="38127FD2" w:rsidR="002E0729" w:rsidRDefault="002E0729" w:rsidP="00E11B57">
      <w:pPr>
        <w:ind w:firstLine="360"/>
        <w:jc w:val="both"/>
        <w:rPr>
          <w:rFonts w:ascii="Arial" w:hAnsi="Arial" w:cs="Arial"/>
          <w:sz w:val="24"/>
          <w:szCs w:val="24"/>
        </w:rPr>
      </w:pPr>
    </w:p>
    <w:p w14:paraId="38BE671E" w14:textId="212E4727" w:rsidR="002E0729" w:rsidRDefault="002E0729" w:rsidP="00E11B57">
      <w:pPr>
        <w:ind w:firstLine="360"/>
        <w:jc w:val="both"/>
        <w:rPr>
          <w:rFonts w:ascii="Arial" w:hAnsi="Arial" w:cs="Arial"/>
          <w:sz w:val="24"/>
          <w:szCs w:val="24"/>
        </w:rPr>
      </w:pPr>
      <w:r>
        <w:rPr>
          <w:rFonts w:ascii="Arial" w:hAnsi="Arial" w:cs="Arial"/>
          <w:sz w:val="24"/>
          <w:szCs w:val="24"/>
        </w:rPr>
        <w:t>Exhibit B</w:t>
      </w:r>
    </w:p>
    <w:p w14:paraId="076C676E" w14:textId="19ABEA18" w:rsidR="002E0729" w:rsidRDefault="002E0729" w:rsidP="00E11B57">
      <w:pPr>
        <w:ind w:firstLine="360"/>
        <w:jc w:val="both"/>
        <w:rPr>
          <w:rFonts w:ascii="Arial" w:hAnsi="Arial" w:cs="Arial"/>
          <w:sz w:val="24"/>
          <w:szCs w:val="24"/>
        </w:rPr>
      </w:pPr>
      <w:r>
        <w:rPr>
          <w:noProof/>
        </w:rPr>
        <w:drawing>
          <wp:inline distT="0" distB="0" distL="0" distR="0" wp14:anchorId="1E80AB13" wp14:editId="32E8EF5C">
            <wp:extent cx="5943600" cy="3420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0110"/>
                    </a:xfrm>
                    <a:prstGeom prst="rect">
                      <a:avLst/>
                    </a:prstGeom>
                  </pic:spPr>
                </pic:pic>
              </a:graphicData>
            </a:graphic>
          </wp:inline>
        </w:drawing>
      </w:r>
    </w:p>
    <w:p w14:paraId="734060C6" w14:textId="07CD85C4" w:rsidR="00786DD3" w:rsidRDefault="00786DD3" w:rsidP="00E11B57">
      <w:pPr>
        <w:ind w:firstLine="360"/>
        <w:jc w:val="both"/>
        <w:rPr>
          <w:rFonts w:ascii="Arial" w:hAnsi="Arial" w:cs="Arial"/>
          <w:sz w:val="24"/>
          <w:szCs w:val="24"/>
        </w:rPr>
      </w:pPr>
    </w:p>
    <w:p w14:paraId="7291712A" w14:textId="3EE83E4B" w:rsidR="00786DD3" w:rsidRDefault="00786DD3" w:rsidP="00E11B57">
      <w:pPr>
        <w:ind w:firstLine="360"/>
        <w:jc w:val="both"/>
        <w:rPr>
          <w:rFonts w:ascii="Arial" w:hAnsi="Arial" w:cs="Arial"/>
          <w:sz w:val="24"/>
          <w:szCs w:val="24"/>
        </w:rPr>
      </w:pPr>
      <w:r>
        <w:rPr>
          <w:rFonts w:ascii="Arial" w:hAnsi="Arial" w:cs="Arial"/>
          <w:sz w:val="24"/>
          <w:szCs w:val="24"/>
        </w:rPr>
        <w:t>Exhibit C</w:t>
      </w:r>
    </w:p>
    <w:p w14:paraId="6EAAA82C" w14:textId="0A878ECF" w:rsidR="00786DD3" w:rsidRDefault="00786DD3" w:rsidP="00E11B57">
      <w:pPr>
        <w:ind w:firstLine="360"/>
        <w:jc w:val="both"/>
        <w:rPr>
          <w:rFonts w:ascii="Arial" w:hAnsi="Arial" w:cs="Arial"/>
          <w:sz w:val="24"/>
          <w:szCs w:val="24"/>
        </w:rPr>
      </w:pPr>
      <w:r>
        <w:rPr>
          <w:noProof/>
        </w:rPr>
        <w:drawing>
          <wp:inline distT="0" distB="0" distL="0" distR="0" wp14:anchorId="4C5B685E" wp14:editId="545CE344">
            <wp:extent cx="594360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1465"/>
                    </a:xfrm>
                    <a:prstGeom prst="rect">
                      <a:avLst/>
                    </a:prstGeom>
                  </pic:spPr>
                </pic:pic>
              </a:graphicData>
            </a:graphic>
          </wp:inline>
        </w:drawing>
      </w:r>
    </w:p>
    <w:p w14:paraId="0D7E4C48" w14:textId="414118A8" w:rsidR="00786DD3" w:rsidRDefault="00786DD3" w:rsidP="00E11B57">
      <w:pPr>
        <w:ind w:firstLine="360"/>
        <w:jc w:val="both"/>
        <w:rPr>
          <w:rFonts w:ascii="Arial" w:hAnsi="Arial" w:cs="Arial"/>
          <w:sz w:val="24"/>
          <w:szCs w:val="24"/>
        </w:rPr>
      </w:pPr>
    </w:p>
    <w:p w14:paraId="795BCF34" w14:textId="279B26EB" w:rsidR="00786DD3" w:rsidRDefault="00786DD3" w:rsidP="00E11B57">
      <w:pPr>
        <w:ind w:firstLine="360"/>
        <w:jc w:val="both"/>
        <w:rPr>
          <w:rFonts w:ascii="Arial" w:hAnsi="Arial" w:cs="Arial"/>
          <w:sz w:val="24"/>
          <w:szCs w:val="24"/>
        </w:rPr>
      </w:pPr>
      <w:r>
        <w:rPr>
          <w:rFonts w:ascii="Arial" w:hAnsi="Arial" w:cs="Arial"/>
          <w:sz w:val="24"/>
          <w:szCs w:val="24"/>
        </w:rPr>
        <w:lastRenderedPageBreak/>
        <w:t>Exhibit D</w:t>
      </w:r>
    </w:p>
    <w:p w14:paraId="0630C8E3" w14:textId="37085687" w:rsidR="00786DD3" w:rsidRDefault="00786DD3" w:rsidP="00E11B57">
      <w:pPr>
        <w:ind w:firstLine="360"/>
        <w:jc w:val="both"/>
        <w:rPr>
          <w:rFonts w:ascii="Arial" w:hAnsi="Arial" w:cs="Arial"/>
          <w:sz w:val="24"/>
          <w:szCs w:val="24"/>
        </w:rPr>
      </w:pPr>
      <w:r>
        <w:rPr>
          <w:noProof/>
        </w:rPr>
        <w:drawing>
          <wp:inline distT="0" distB="0" distL="0" distR="0" wp14:anchorId="791AE337" wp14:editId="6A109527">
            <wp:extent cx="5943600" cy="1527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7810"/>
                    </a:xfrm>
                    <a:prstGeom prst="rect">
                      <a:avLst/>
                    </a:prstGeom>
                  </pic:spPr>
                </pic:pic>
              </a:graphicData>
            </a:graphic>
          </wp:inline>
        </w:drawing>
      </w:r>
    </w:p>
    <w:p w14:paraId="55EC386E" w14:textId="623DC76C" w:rsidR="00786DD3" w:rsidRDefault="00786DD3" w:rsidP="00E11B57">
      <w:pPr>
        <w:ind w:firstLine="360"/>
        <w:jc w:val="both"/>
        <w:rPr>
          <w:rFonts w:ascii="Arial" w:hAnsi="Arial" w:cs="Arial"/>
          <w:sz w:val="24"/>
          <w:szCs w:val="24"/>
        </w:rPr>
      </w:pPr>
    </w:p>
    <w:p w14:paraId="771876E9" w14:textId="0EC60AA7" w:rsidR="00786DD3" w:rsidRDefault="00786DD3" w:rsidP="00E11B57">
      <w:pPr>
        <w:ind w:firstLine="360"/>
        <w:jc w:val="both"/>
        <w:rPr>
          <w:rFonts w:ascii="Arial" w:hAnsi="Arial" w:cs="Arial"/>
          <w:sz w:val="24"/>
          <w:szCs w:val="24"/>
        </w:rPr>
      </w:pPr>
      <w:r>
        <w:rPr>
          <w:rFonts w:ascii="Arial" w:hAnsi="Arial" w:cs="Arial"/>
          <w:sz w:val="24"/>
          <w:szCs w:val="24"/>
        </w:rPr>
        <w:t>Exhibit E</w:t>
      </w:r>
    </w:p>
    <w:p w14:paraId="5E935B3E" w14:textId="17C6B8C6" w:rsidR="00786DD3" w:rsidRDefault="00786DD3" w:rsidP="00E11B57">
      <w:pPr>
        <w:ind w:firstLine="360"/>
        <w:jc w:val="both"/>
        <w:rPr>
          <w:rFonts w:ascii="Arial" w:hAnsi="Arial" w:cs="Arial"/>
          <w:sz w:val="24"/>
          <w:szCs w:val="24"/>
        </w:rPr>
      </w:pPr>
      <w:r>
        <w:rPr>
          <w:noProof/>
        </w:rPr>
        <w:drawing>
          <wp:inline distT="0" distB="0" distL="0" distR="0" wp14:anchorId="7AD1B509" wp14:editId="08C56884">
            <wp:extent cx="5943600" cy="89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6620"/>
                    </a:xfrm>
                    <a:prstGeom prst="rect">
                      <a:avLst/>
                    </a:prstGeom>
                  </pic:spPr>
                </pic:pic>
              </a:graphicData>
            </a:graphic>
          </wp:inline>
        </w:drawing>
      </w:r>
    </w:p>
    <w:p w14:paraId="3DAB3CF3" w14:textId="6D4E18E1" w:rsidR="00786DD3" w:rsidRDefault="00786DD3" w:rsidP="00E11B57">
      <w:pPr>
        <w:ind w:firstLine="360"/>
        <w:jc w:val="both"/>
        <w:rPr>
          <w:rFonts w:ascii="Arial" w:hAnsi="Arial" w:cs="Arial"/>
          <w:sz w:val="24"/>
          <w:szCs w:val="24"/>
        </w:rPr>
      </w:pPr>
    </w:p>
    <w:p w14:paraId="26CFADA2" w14:textId="1EB8FD93" w:rsidR="00786DD3" w:rsidRDefault="00786DD3" w:rsidP="00786DD3">
      <w:pPr>
        <w:ind w:firstLine="360"/>
        <w:jc w:val="both"/>
        <w:rPr>
          <w:rFonts w:ascii="Arial" w:hAnsi="Arial" w:cs="Arial"/>
          <w:sz w:val="24"/>
          <w:szCs w:val="24"/>
        </w:rPr>
      </w:pPr>
      <w:r>
        <w:rPr>
          <w:rFonts w:ascii="Arial" w:hAnsi="Arial" w:cs="Arial"/>
          <w:sz w:val="24"/>
          <w:szCs w:val="24"/>
        </w:rPr>
        <w:t>Exhibit F</w:t>
      </w:r>
    </w:p>
    <w:p w14:paraId="57FB1AAE" w14:textId="2FC41178" w:rsidR="00786DD3" w:rsidRDefault="00786DD3" w:rsidP="00E11B57">
      <w:pPr>
        <w:ind w:firstLine="360"/>
        <w:jc w:val="both"/>
        <w:rPr>
          <w:rFonts w:ascii="Arial" w:hAnsi="Arial" w:cs="Arial"/>
          <w:sz w:val="24"/>
          <w:szCs w:val="24"/>
        </w:rPr>
      </w:pPr>
      <w:r>
        <w:rPr>
          <w:noProof/>
        </w:rPr>
        <w:drawing>
          <wp:inline distT="0" distB="0" distL="0" distR="0" wp14:anchorId="1DFD1B11" wp14:editId="1A4DA51D">
            <wp:extent cx="5943600" cy="1631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1950"/>
                    </a:xfrm>
                    <a:prstGeom prst="rect">
                      <a:avLst/>
                    </a:prstGeom>
                  </pic:spPr>
                </pic:pic>
              </a:graphicData>
            </a:graphic>
          </wp:inline>
        </w:drawing>
      </w:r>
    </w:p>
    <w:p w14:paraId="0FDEEA76" w14:textId="75D55761" w:rsidR="00786DD3" w:rsidRDefault="00786DD3" w:rsidP="00E11B57">
      <w:pPr>
        <w:ind w:firstLine="360"/>
        <w:jc w:val="both"/>
        <w:rPr>
          <w:rFonts w:ascii="Arial" w:hAnsi="Arial" w:cs="Arial"/>
          <w:sz w:val="24"/>
          <w:szCs w:val="24"/>
        </w:rPr>
      </w:pPr>
    </w:p>
    <w:p w14:paraId="14860C04" w14:textId="39E4B4D0" w:rsidR="00786DD3" w:rsidRDefault="00786DD3" w:rsidP="00E11B57">
      <w:pPr>
        <w:ind w:firstLine="360"/>
        <w:jc w:val="both"/>
        <w:rPr>
          <w:rFonts w:ascii="Arial" w:hAnsi="Arial" w:cs="Arial"/>
          <w:sz w:val="24"/>
          <w:szCs w:val="24"/>
        </w:rPr>
      </w:pPr>
      <w:r>
        <w:rPr>
          <w:rFonts w:ascii="Arial" w:hAnsi="Arial" w:cs="Arial"/>
          <w:sz w:val="24"/>
          <w:szCs w:val="24"/>
        </w:rPr>
        <w:t>Exhibit G</w:t>
      </w:r>
    </w:p>
    <w:p w14:paraId="28208789" w14:textId="7595F7BC" w:rsidR="00786DD3" w:rsidRPr="00E11B57" w:rsidRDefault="00786DD3" w:rsidP="00E11B57">
      <w:pPr>
        <w:ind w:firstLine="360"/>
        <w:jc w:val="both"/>
        <w:rPr>
          <w:rFonts w:ascii="Arial" w:hAnsi="Arial" w:cs="Arial"/>
          <w:sz w:val="24"/>
          <w:szCs w:val="24"/>
        </w:rPr>
      </w:pPr>
      <w:r>
        <w:rPr>
          <w:noProof/>
        </w:rPr>
        <w:drawing>
          <wp:inline distT="0" distB="0" distL="0" distR="0" wp14:anchorId="154DD55F" wp14:editId="15A76754">
            <wp:extent cx="5943600" cy="174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1805"/>
                    </a:xfrm>
                    <a:prstGeom prst="rect">
                      <a:avLst/>
                    </a:prstGeom>
                  </pic:spPr>
                </pic:pic>
              </a:graphicData>
            </a:graphic>
          </wp:inline>
        </w:drawing>
      </w:r>
    </w:p>
    <w:sectPr w:rsidR="00786DD3" w:rsidRPr="00E1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7849"/>
    <w:multiLevelType w:val="hybridMultilevel"/>
    <w:tmpl w:val="BA7CA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69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5F"/>
    <w:rsid w:val="002E0729"/>
    <w:rsid w:val="00786DD3"/>
    <w:rsid w:val="00DC695F"/>
    <w:rsid w:val="00E1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F0C9"/>
  <w15:chartTrackingRefBased/>
  <w15:docId w15:val="{FB649177-4337-4A25-A4DE-A5F0A8A3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 Miranda</dc:creator>
  <cp:keywords/>
  <dc:description/>
  <cp:lastModifiedBy>Candida Miranda</cp:lastModifiedBy>
  <cp:revision>2</cp:revision>
  <dcterms:created xsi:type="dcterms:W3CDTF">2023-01-26T02:17:00Z</dcterms:created>
  <dcterms:modified xsi:type="dcterms:W3CDTF">2023-01-26T02:47:00Z</dcterms:modified>
</cp:coreProperties>
</file>