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F3864"/>
          <w:sz w:val="40"/>
          <w:szCs w:val="40"/>
        </w:rPr>
        <w:t xml:space="preserve">Identity Program Communications Plan</w:t>
      </w:r>
    </w:p>
    <w:p>
      <w:pPr>
        <w:spacing w:after="160" w:before="0"/>
      </w:pPr>
      <w:r>
        <w:rPr>
          <w:rFonts w:ascii="Calibri" w:cs="Calibri" w:eastAsia="Calibri" w:hAnsi="Calibri"/>
          <w:color w:val="595959"/>
          <w:sz w:val="22"/>
          <w:szCs w:val="22"/>
        </w:rPr>
        <w:t xml:space="preserve">[Client Name] | Identity Governance and Access Management Program | Month 1 through Month 13</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400"/>
        <w:gridCol w:w="4800"/>
      </w:tblGrid>
      <w:t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Document owner</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[PM name, title]</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Version</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v1.0 | [Date]</w:t>
            </w:r>
          </w:p>
        </w:tc>
      </w:tr>
      <w:t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Sponsor</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[Executive sponsor]</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Review cadence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Monthly, at the program governance meeting</w:t>
            </w:r>
          </w:p>
        </w:tc>
      </w:tr>
      <w:tr>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Scope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[Identity workstreams in scope, e.g., IGA rollout, SSO consolidation, MFA enforcement, privileged access onboarding]</w:t>
            </w:r>
          </w:p>
        </w:tc>
        <w:tc>
          <w:tcPr>
            <w:tcW w:type="dxa" w:w="2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Source of truth</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Delivery tasks, RAID, and decisions live in [ServiceNow]. This plan owns messaging, audiences, and timing only.</w:t>
            </w:r>
          </w:p>
        </w:tc>
      </w:tr>
    </w:tbl>
    <w:p>
      <w:pPr>
        <w:pStyle w:val="Heading1"/>
        <w:spacing w:after="80" w:before="240"/>
      </w:pPr>
      <w:r>
        <w:rPr>
          <w:rFonts w:ascii="Calibri" w:cs="Calibri" w:eastAsia="Calibri" w:hAnsi="Calibri"/>
          <w:b/>
          <w:bCs/>
          <w:color w:val="1F3864"/>
          <w:sz w:val="26"/>
          <w:szCs w:val="26"/>
        </w:rPr>
        <w:t xml:space="preserve">1. Purpose and Scope</w:t>
      </w:r>
    </w:p>
    <w:p>
      <w:pPr>
        <w:spacing w:after="40" w:before="40" w:line="252"/>
      </w:pPr>
      <w:r>
        <w:rPr>
          <w:rFonts w:ascii="Calibri" w:cs="Calibri" w:eastAsia="Calibri" w:hAnsi="Calibri"/>
          <w:b w:val="false"/>
          <w:bCs w:val="false"/>
          <w:i w:val="false"/>
          <w:iCs w:val="false"/>
          <w:color w:val="222222"/>
          <w:sz w:val="20"/>
          <w:szCs w:val="20"/>
        </w:rPr>
        <w:t xml:space="preserve">This plan defines who we communicate with, what they hear, when they hear it, and what we ask of them across the identity program from Month 1 through Month 13. It moves each audience through a deliberate arc: first awareness of what is happening and why, then understanding of what changes for them, then preparation, then a clear and specific ask, and finally reinforcement that shows what the program has delivered.</w:t>
      </w:r>
    </w:p>
    <w:p>
      <w:pPr>
        <w:spacing w:after="40" w:before="40" w:line="252"/>
      </w:pPr>
      <w:r>
        <w:rPr>
          <w:rFonts w:ascii="Calibri" w:cs="Calibri" w:eastAsia="Calibri" w:hAnsi="Calibri"/>
          <w:b w:val="false"/>
          <w:bCs w:val="false"/>
          <w:i w:val="false"/>
          <w:iCs w:val="false"/>
          <w:color w:val="222222"/>
          <w:sz w:val="20"/>
          <w:szCs w:val="20"/>
        </w:rPr>
        <w:t xml:space="preserve">Every communication in this plan does one of two things, and the strongest do both: it tells people what we need them to do, or it tells them what we have already done. Asks land better when they arrive alongside evidence of progress.</w:t>
      </w:r>
    </w:p>
    <w:p>
      <w:pPr>
        <w:pStyle w:val="Heading1"/>
        <w:spacing w:after="80" w:before="240"/>
      </w:pPr>
      <w:r>
        <w:rPr>
          <w:rFonts w:ascii="Calibri" w:cs="Calibri" w:eastAsia="Calibri" w:hAnsi="Calibri"/>
          <w:b/>
          <w:bCs/>
          <w:color w:val="1F3864"/>
          <w:sz w:val="26"/>
          <w:szCs w:val="26"/>
        </w:rPr>
        <w:t xml:space="preserve">2. Guiding Principles</w:t>
      </w:r>
    </w:p>
    <w:p>
      <w:pPr>
        <w:pStyle w:val="ListParagraph"/>
        <w:numPr>
          <w:ilvl w:val="0"/>
          <w:numId w:val="2"/>
        </w:numPr>
        <w:spacing w:after="20" w:before="20" w:line="252"/>
      </w:pPr>
      <w:r>
        <w:rPr>
          <w:rFonts w:ascii="Calibri" w:cs="Calibri" w:eastAsia="Calibri" w:hAnsi="Calibri"/>
          <w:b w:val="false"/>
          <w:bCs w:val="false"/>
          <w:i w:val="false"/>
          <w:iCs w:val="false"/>
          <w:color w:val="222222"/>
          <w:sz w:val="20"/>
          <w:szCs w:val="20"/>
        </w:rPr>
        <w:t xml:space="preserve">Lead with what it means for the reader, not what the program is doing. The WIIFM comes before the roadmap.</w:t>
      </w:r>
    </w:p>
    <w:p>
      <w:pPr>
        <w:pStyle w:val="ListParagraph"/>
        <w:numPr>
          <w:ilvl w:val="0"/>
          <w:numId w:val="2"/>
        </w:numPr>
        <w:spacing w:after="20" w:before="20" w:line="252"/>
      </w:pPr>
      <w:r>
        <w:rPr>
          <w:rFonts w:ascii="Calibri" w:cs="Calibri" w:eastAsia="Calibri" w:hAnsi="Calibri"/>
          <w:b w:val="false"/>
          <w:bCs w:val="false"/>
          <w:i w:val="false"/>
          <w:iCs w:val="false"/>
          <w:color w:val="222222"/>
          <w:sz w:val="20"/>
          <w:szCs w:val="20"/>
        </w:rPr>
        <w:t xml:space="preserve">Pair every ask with progress. When we ask people to enroll, certify, or change a behavior, we also show what has already been completed on their behalf.</w:t>
      </w:r>
    </w:p>
    <w:p>
      <w:pPr>
        <w:pStyle w:val="ListParagraph"/>
        <w:numPr>
          <w:ilvl w:val="0"/>
          <w:numId w:val="2"/>
        </w:numPr>
        <w:spacing w:after="20" w:before="20" w:line="252"/>
      </w:pPr>
      <w:r>
        <w:rPr>
          <w:rFonts w:ascii="Calibri" w:cs="Calibri" w:eastAsia="Calibri" w:hAnsi="Calibri"/>
          <w:b w:val="false"/>
          <w:bCs w:val="false"/>
          <w:i w:val="false"/>
          <w:iCs w:val="false"/>
          <w:color w:val="222222"/>
          <w:sz w:val="20"/>
          <w:szCs w:val="20"/>
        </w:rPr>
        <w:t xml:space="preserve">No surprises for the help desk. Support teams are briefed before any communication that could generate calls, with expected volume and canned responses.</w:t>
      </w:r>
    </w:p>
    <w:p>
      <w:pPr>
        <w:pStyle w:val="ListParagraph"/>
        <w:numPr>
          <w:ilvl w:val="0"/>
          <w:numId w:val="2"/>
        </w:numPr>
        <w:spacing w:after="20" w:before="20" w:line="252"/>
      </w:pPr>
      <w:r>
        <w:rPr>
          <w:rFonts w:ascii="Calibri" w:cs="Calibri" w:eastAsia="Calibri" w:hAnsi="Calibri"/>
          <w:b w:val="false"/>
          <w:bCs w:val="false"/>
          <w:i w:val="false"/>
          <w:iCs w:val="false"/>
          <w:color w:val="222222"/>
          <w:sz w:val="20"/>
          <w:szCs w:val="20"/>
        </w:rPr>
        <w:t xml:space="preserve">The messenger matters as much as the message. Enterprise-wide changes come from the sponsor; team-level asks come from people leaders; technical detail comes from the program.</w:t>
      </w:r>
    </w:p>
    <w:p>
      <w:pPr>
        <w:pStyle w:val="ListParagraph"/>
        <w:numPr>
          <w:ilvl w:val="0"/>
          <w:numId w:val="2"/>
        </w:numPr>
        <w:spacing w:after="20" w:before="20" w:line="252"/>
      </w:pPr>
      <w:r>
        <w:rPr>
          <w:rFonts w:ascii="Calibri" w:cs="Calibri" w:eastAsia="Calibri" w:hAnsi="Calibri"/>
          <w:b w:val="false"/>
          <w:bCs w:val="false"/>
          <w:i w:val="false"/>
          <w:iCs w:val="false"/>
          <w:color w:val="222222"/>
          <w:sz w:val="20"/>
          <w:szCs w:val="20"/>
        </w:rPr>
        <w:t xml:space="preserve">Plain language, no jargon. If a message requires knowing what IGA stands for, it is rewritten.</w:t>
      </w:r>
    </w:p>
    <w:p>
      <w:pPr>
        <w:pStyle w:val="ListParagraph"/>
        <w:numPr>
          <w:ilvl w:val="0"/>
          <w:numId w:val="2"/>
        </w:numPr>
        <w:spacing w:after="20" w:before="20" w:line="252"/>
      </w:pPr>
      <w:r>
        <w:rPr>
          <w:rFonts w:ascii="Calibri" w:cs="Calibri" w:eastAsia="Calibri" w:hAnsi="Calibri"/>
          <w:b w:val="false"/>
          <w:bCs w:val="false"/>
          <w:i w:val="false"/>
          <w:iCs w:val="false"/>
          <w:color w:val="222222"/>
          <w:sz w:val="20"/>
          <w:szCs w:val="20"/>
        </w:rPr>
        <w:t xml:space="preserve">Repetition across channels is a feature. Assume any single message reaches a third of its audience; plan three touches for anything with a deadline.</w:t>
      </w:r>
    </w:p>
    <w:p>
      <w:pPr>
        <w:pStyle w:val="ListParagraph"/>
        <w:numPr>
          <w:ilvl w:val="0"/>
          <w:numId w:val="2"/>
        </w:numPr>
        <w:spacing w:after="20" w:before="20" w:line="252"/>
      </w:pPr>
      <w:r>
        <w:rPr>
          <w:rFonts w:ascii="Calibri" w:cs="Calibri" w:eastAsia="Calibri" w:hAnsi="Calibri"/>
          <w:b w:val="false"/>
          <w:bCs w:val="false"/>
          <w:i w:val="false"/>
          <w:iCs w:val="false"/>
          <w:color w:val="222222"/>
          <w:sz w:val="20"/>
          <w:szCs w:val="20"/>
        </w:rPr>
        <w:t xml:space="preserve">Dates in communications match dates in the delivery plan. If the schedule moves, the calendar in Section 7 is updated in the same week.</w:t>
      </w:r>
    </w:p>
    <w:p>
      <w:pPr>
        <w:pStyle w:val="ListParagraph"/>
        <w:numPr>
          <w:ilvl w:val="0"/>
          <w:numId w:val="2"/>
        </w:numPr>
        <w:spacing w:after="20" w:before="20" w:line="252"/>
      </w:pPr>
      <w:r>
        <w:rPr>
          <w:rFonts w:ascii="Calibri" w:cs="Calibri" w:eastAsia="Calibri" w:hAnsi="Calibri"/>
          <w:b w:val="false"/>
          <w:bCs w:val="false"/>
          <w:i w:val="false"/>
          <w:iCs w:val="false"/>
          <w:color w:val="222222"/>
          <w:sz w:val="20"/>
          <w:szCs w:val="20"/>
        </w:rPr>
        <w:t xml:space="preserve">Every message traces back to the message house in Section 3. If a draft cannot be mapped to a pillar, it is either rewritten or it does not go out.</w:t>
      </w:r>
    </w:p>
    <w:p>
      <w:pPr>
        <w:pStyle w:val="Heading1"/>
        <w:spacing w:after="80" w:before="240"/>
      </w:pPr>
      <w:r>
        <w:rPr>
          <w:rFonts w:ascii="Calibri" w:cs="Calibri" w:eastAsia="Calibri" w:hAnsi="Calibri"/>
          <w:b/>
          <w:bCs/>
          <w:color w:val="1F3864"/>
          <w:sz w:val="26"/>
          <w:szCs w:val="26"/>
        </w:rPr>
        <w:t xml:space="preserve">3. Message House</w:t>
      </w:r>
    </w:p>
    <w:p>
      <w:pPr>
        <w:spacing w:after="80" w:before="40" w:line="252"/>
      </w:pPr>
      <w:r>
        <w:rPr>
          <w:rFonts w:ascii="Calibri" w:cs="Calibri" w:eastAsia="Calibri" w:hAnsi="Calibri"/>
          <w:b w:val="false"/>
          <w:bCs w:val="false"/>
          <w:i w:val="false"/>
          <w:iCs w:val="false"/>
          <w:color w:val="222222"/>
          <w:sz w:val="20"/>
          <w:szCs w:val="20"/>
        </w:rPr>
        <w:t xml:space="preserve">One narrative, three pillars. Every communication in this plan maps to at least one pillar and reinforces the roof statement. This is what keeps 13 months of communications sounding like one program instead of thirty disconnected emails.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40"/>
              <w:jc w:val="center"/>
            </w:pPr>
            <w:r>
              <w:rPr>
                <w:rFonts w:ascii="Calibri" w:cs="Calibri" w:eastAsia="Calibri" w:hAnsi="Calibri"/>
                <w:b/>
                <w:bCs/>
                <w:i w:val="false"/>
                <w:iCs w:val="false"/>
                <w:color w:val="FFFFFF"/>
                <w:sz w:val="18"/>
                <w:szCs w:val="18"/>
              </w:rPr>
              <w:t xml:space="preserve">CORE NARRATIVE (the roof)</w:t>
            </w:r>
          </w:p>
          <w:p>
            <w:pPr>
              <w:spacing w:after="40" w:before="0"/>
              <w:jc w:val="center"/>
            </w:pPr>
            <w:r>
              <w:rPr>
                <w:rFonts w:ascii="Calibri" w:cs="Calibri" w:eastAsia="Calibri" w:hAnsi="Calibri"/>
                <w:b w:val="false"/>
                <w:bCs w:val="false"/>
                <w:i/>
                <w:iCs/>
                <w:color w:val="FFFFFF"/>
                <w:sz w:val="20"/>
                <w:szCs w:val="20"/>
              </w:rPr>
              <w:t xml:space="preserve">[One identity, done right: we are making access to [Client] systems simpler for you and safer for the people we serve.]</w:t>
            </w:r>
          </w:p>
        </w:tc>
      </w:tr>
    </w:tbl>
    <w:p>
      <w:pPr>
        <w:spacing w:after="20" w:before="20" w:line="252"/>
      </w:pPr>
      <w:r>
        <w:rPr>
          <w:rFonts w:ascii="Calibri" w:cs="Calibri" w:eastAsia="Calibri" w:hAnsi="Calibri"/>
          <w:b w:val="false"/>
          <w:bCs w:val="false"/>
          <w:i w:val="false"/>
          <w:iCs w:val="false"/>
          <w:color w:val="222222"/>
          <w:sz w:val="20"/>
          <w:szCs w:val="20"/>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Pillar 1: Safer</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Pillar 2: Simpler</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Pillar 3: Ready</w:t>
            </w:r>
          </w:p>
        </w:tc>
      </w:tr>
      <w:t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Pillar statement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[We are strengthening protection of customer, workforce, and institutional data against credential-based attacks.]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[We are reducing the daily friction of passwords, lockouts, and access requests.]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[We prepare every audience before their change lands — training, support, and a clear ask, with no surprises.]</w:t>
            </w:r>
          </w:p>
        </w:tc>
      </w:tr>
      <w:t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Proof points (update quarterly)</w:t>
            </w:r>
          </w:p>
        </w:tc>
        <w:tc>
          <w:tcPr>
            <w:tcW w:type="dxa" w:w="3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[X% of breaches involve stolen credentials; MFA blocks the vast majority of credential attacks; peer institutions' incidents]</w:t>
            </w:r>
          </w:p>
        </w:tc>
        <w:tc>
          <w:tcPr>
            <w:tcW w:type="dxa" w:w="3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[Apps consolidated to one login: N; average access request time before vs. after; lockout ticket reduction from pilot]</w:t>
            </w:r>
          </w:p>
        </w:tc>
        <w:tc>
          <w:tcPr>
            <w:tcW w:type="dxa" w:w="3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[Training completion by wave: N%; readiness gates passed before each go-live: N of N; help desk briefed before every wave]</w:t>
            </w:r>
          </w:p>
        </w:tc>
      </w:tr>
      <w:tr>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Who this lands with</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Leadership, compliance, frontline staff</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General workforce, frontline staff, help desk</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People leaders, frontline staff, help desk</w:t>
            </w:r>
          </w:p>
        </w:tc>
      </w:tr>
    </w:tbl>
    <w:p>
      <w:pPr>
        <w:spacing w:after="40" w:before="120" w:line="252"/>
      </w:pPr>
      <w:r>
        <w:rPr>
          <w:rFonts w:ascii="Calibri" w:cs="Calibri" w:eastAsia="Calibri" w:hAnsi="Calibri"/>
          <w:b/>
          <w:bCs/>
          <w:i w:val="false"/>
          <w:iCs w:val="false"/>
          <w:color w:val="222222"/>
          <w:sz w:val="20"/>
          <w:szCs w:val="20"/>
        </w:rPr>
        <w:t xml:space="preserve">Standard tellings. Leaders use these verbatim so the story stays consistent:</w:t>
      </w:r>
    </w:p>
    <w:p>
      <w:pPr>
        <w:pStyle w:val="ListParagraph"/>
        <w:numPr>
          <w:ilvl w:val="0"/>
          <w:numId w:val="2"/>
        </w:numPr>
        <w:spacing w:after="20" w:before="20" w:line="252"/>
      </w:pPr>
      <w:r>
        <w:rPr>
          <w:rFonts w:ascii="Calibri" w:cs="Calibri" w:eastAsia="Calibri" w:hAnsi="Calibri"/>
          <w:b w:val="false"/>
          <w:bCs w:val="false"/>
          <w:i w:val="false"/>
          <w:iCs w:val="false"/>
          <w:color w:val="222222"/>
          <w:sz w:val="20"/>
          <w:szCs w:val="20"/>
        </w:rPr>
        <w:t xml:space="preserve">10 seconds: [We are moving to one secure login for [Client] systems. It protects our data and saves you time. One action is needed from you this year, and we will tell you exactly when.]</w:t>
      </w:r>
    </w:p>
    <w:p>
      <w:pPr>
        <w:pStyle w:val="ListParagraph"/>
        <w:numPr>
          <w:ilvl w:val="0"/>
          <w:numId w:val="2"/>
        </w:numPr>
        <w:spacing w:after="20" w:before="20" w:line="252"/>
      </w:pPr>
      <w:r>
        <w:rPr>
          <w:rFonts w:ascii="Calibri" w:cs="Calibri" w:eastAsia="Calibri" w:hAnsi="Calibri"/>
          <w:b w:val="false"/>
          <w:bCs w:val="false"/>
          <w:i w:val="false"/>
          <w:iCs w:val="false"/>
          <w:color w:val="222222"/>
          <w:sz w:val="20"/>
          <w:szCs w:val="20"/>
        </w:rPr>
        <w:t xml:space="preserve">30 seconds: adds the why now [threat landscape, audit obligations] and the timeline [enrollment waves [months 9-12]], and names where to learn more [intranet page].</w:t>
      </w:r>
    </w:p>
    <w:p>
      <w:pPr>
        <w:pStyle w:val="ListParagraph"/>
        <w:numPr>
          <w:ilvl w:val="0"/>
          <w:numId w:val="2"/>
        </w:numPr>
        <w:spacing w:after="20" w:before="20" w:line="252"/>
      </w:pPr>
      <w:r>
        <w:rPr>
          <w:rFonts w:ascii="Calibri" w:cs="Calibri" w:eastAsia="Calibri" w:hAnsi="Calibri"/>
          <w:b w:val="false"/>
          <w:bCs w:val="false"/>
          <w:i w:val="false"/>
          <w:iCs w:val="false"/>
          <w:color w:val="222222"/>
          <w:sz w:val="20"/>
          <w:szCs w:val="20"/>
        </w:rPr>
        <w:t xml:space="preserve">2 minutes: the town hall version. Roof statement, one proof point per pillar, the phase arc from Section 4, and the specific ask for the audience in the room. Maintained as a speaker one-pager by [OCM lead].</w:t>
      </w:r>
    </w:p>
    <w:p>
      <w:pPr>
        <w:pStyle w:val="Heading1"/>
        <w:spacing w:after="80" w:before="240"/>
      </w:pPr>
      <w:r>
        <w:rPr>
          <w:rFonts w:ascii="Calibri" w:cs="Calibri" w:eastAsia="Calibri" w:hAnsi="Calibri"/>
          <w:b/>
          <w:bCs/>
          <w:color w:val="1F3864"/>
          <w:sz w:val="26"/>
          <w:szCs w:val="26"/>
        </w:rPr>
        <w:t xml:space="preserve">4. Communication Phases</w:t>
      </w:r>
    </w:p>
    <w:p>
      <w:pPr>
        <w:spacing w:after="80" w:before="40" w:line="252"/>
      </w:pPr>
      <w:r>
        <w:rPr>
          <w:rFonts w:ascii="Calibri" w:cs="Calibri" w:eastAsia="Calibri" w:hAnsi="Calibri"/>
          <w:b w:val="false"/>
          <w:bCs w:val="false"/>
          <w:i w:val="false"/>
          <w:iCs w:val="false"/>
          <w:color w:val="222222"/>
          <w:sz w:val="20"/>
          <w:szCs w:val="20"/>
        </w:rPr>
        <w:t xml:space="preserve">The program year is organized into five phases. Each phase has a single message intent. Individual workstreams may sit in different phases at the same time; use the intent that matches where each audience actually is.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000"/>
        <w:gridCol w:w="3200"/>
        <w:gridCol w:w="32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Phase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Timeframe</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Message intent</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Audience emphasis</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Success looks like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1. Awareness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Months 1-3</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Here is what is happening and why it matters. Introduce the program, the drivers (security, compliance, user experience), and the high-level timeline.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Leadership first, then people leaders, then all workforce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People can name the program and say why it exists. No one hears about it first from a rumor or an outage.</w:t>
            </w:r>
          </w:p>
        </w:tc>
      </w:tr>
      <w:t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2. Understanding</w:t>
            </w:r>
          </w:p>
        </w:tc>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Months 4-6</w:t>
            </w:r>
          </w:p>
        </w:tc>
        <w:tc>
          <w:tcPr>
            <w:tcW w:type="dxa" w:w="4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Here is what changes for you, specifically. Persona-level detail: what stays the same, what changes, and when.</w:t>
            </w:r>
          </w:p>
        </w:tc>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workforce, segmented by persona; application owners</w:t>
            </w:r>
          </w:p>
        </w:tc>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Each audience can describe the change in their own terms. Help desk pre-briefed on the top expected questions.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3. Preparation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Months 7-9</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Here is how to get ready. Training, enrollment windows, self-service guides, office hours, and dry runs.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workforce; support teams; early adopter and pilot groups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Pilot groups complete their actions. Guides published and findable. Training attendance tracked against target.</w:t>
            </w:r>
          </w:p>
        </w:tc>
      </w:tr>
      <w:t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4. Action</w:t>
            </w:r>
          </w:p>
        </w:tc>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Months 10-12</w:t>
            </w:r>
          </w:p>
        </w:tc>
        <w:tc>
          <w:tcPr>
            <w:tcW w:type="dxa" w:w="4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Here is what we need you to do, and by when. Direct, dated, specific asks with consequences of inaction stated plainly.</w:t>
            </w:r>
          </w:p>
        </w:tc>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workforce, with escalating reminders to non-completers via their managers</w:t>
            </w:r>
          </w:p>
        </w:tc>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Completion rates hit target by deadline. Escalations to managers cover the final stragglers, not the majority.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5. Reinforcement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Month 13</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Here is what we have done together. Program results, thank-yous, what improved, and what business-as-usual support looks like going forward.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audiences; leadership receives a closing results briefing</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Results published. Support ownership transitioned and communicated. Lessons captured for the next wave.</w:t>
            </w:r>
          </w:p>
        </w:tc>
      </w:tr>
    </w:tbl>
    <w:p>
      <w:r>
        <w:br w:type="page"/>
      </w:r>
    </w:p>
    <w:p>
      <w:pPr>
        <w:pStyle w:val="Heading1"/>
        <w:spacing w:after="80" w:before="240"/>
      </w:pPr>
      <w:r>
        <w:rPr>
          <w:rFonts w:ascii="Calibri" w:cs="Calibri" w:eastAsia="Calibri" w:hAnsi="Calibri"/>
          <w:b/>
          <w:bCs/>
          <w:color w:val="1F3864"/>
          <w:sz w:val="26"/>
          <w:szCs w:val="26"/>
        </w:rPr>
        <w:t xml:space="preserve">5. Audience and Message Matrix</w:t>
      </w:r>
    </w:p>
    <w:p>
      <w:pPr>
        <w:spacing w:after="80" w:before="40" w:line="252"/>
      </w:pPr>
      <w:r>
        <w:rPr>
          <w:rFonts w:ascii="Calibri" w:cs="Calibri" w:eastAsia="Calibri" w:hAnsi="Calibri"/>
          <w:b w:val="false"/>
          <w:bCs w:val="false"/>
          <w:i w:val="false"/>
          <w:iCs w:val="false"/>
          <w:color w:val="222222"/>
          <w:sz w:val="20"/>
          <w:szCs w:val="20"/>
        </w:rPr>
        <w:t xml:space="preserve">One row per audience. The core message and the ask change by phase; the WIIFM, channel, and messenger stay mostly stable. Update the ask column as the program moves through the arc.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000"/>
        <w:gridCol w:w="2800"/>
        <w:gridCol w:w="2000"/>
        <w:gridCol w:w="20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Audience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WIIFM (in their terms)</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Core message</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The ask</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Primary channel</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Messenger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Executive sponsors and leadership</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Reduced risk exposure, audit readiness, and a defensible story for the board and regulators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The program protects the institution and its people, and it is on track. Here is the status, the risk picture, and where we need your voice.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Deliver the launch message. Reinforce deadlines at leadership forums. Unblock escalations within [X] days.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Governance briefing; 1:1 pre-reads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Program sponsor / program director</w:t>
            </w:r>
          </w:p>
        </w:tc>
      </w:tr>
      <w:t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People leaders and managers</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Fewer access delays for their teams, fewer surprises, and a clear script so they are never caught flat-footed</w:t>
            </w:r>
          </w:p>
        </w:tc>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Your team will be asked to take specific actions on specific dates. Here is what to tell them and how to help stragglers.</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Cascade key messages within [X] days of receipt. Follow up with non-completers on your team.</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Manager briefing pack; leader newsletter</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Their leadership chain, with program-supplied content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Frontline staff [adjust for client]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Faster, more reliable access to core business systems with less password friction, and no disruption to frontline operations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Changes are scheduled around your workflows and change-freeze windows. Here is exactly what changes at the workstation and when.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Complete enrollment during your unit's window. Use the tip sheet at first login after cutover.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Team huddles; tip sheets at workstations; department liaisons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Department leadership and local champions</w:t>
            </w:r>
          </w:p>
        </w:tc>
      </w:tr>
      <w:t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General workforce</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Fewer passwords, faster access requests, and less time locked out</w:t>
            </w:r>
          </w:p>
        </w:tc>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One identity, less friction. Here is the one thing we need from you this quarter and how long it takes.</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Enroll in [MFA / new SSO] by [date]. Takes about [X] minutes. Non-completion means [stated consequence].</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Email; intranet; town halls</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Sponsor for launch; program for how-to detail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IT and application owners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Cleaner integrations, a documented onboarding path, and fewer one-off access requests hitting their queues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Your applications will be onboarded to [SailPoint / Okta / CyberArk] on this schedule. Here is what we need from you before your slot.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Complete the application intake by [date]. Attend your onboarding working session. Validate access mappings within [X] days.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Working sessions; technical runbooks; [ServiceNow] tasks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Program engineering leads</w:t>
            </w:r>
          </w:p>
        </w:tc>
      </w:tr>
      <w:t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Help desk and support teams</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Fewer repeat tickets long-term, and never being blindsided by a change they were not told about</w:t>
            </w:r>
          </w:p>
        </w:tc>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Every user-facing change reaches you before it reaches users, with expected call drivers and approved responses.</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Review pre-launch briefings. Tag identity-related tickets with [category] so we can track call drivers.</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Support briefings; knowledge base articles</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Program OCM lead with support management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Affiliates, vendors, and external partners [if applicable]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Continued access without interruption, and a clear contact path if something breaks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Your access method is changing on [date]. Here is what to do and who to contact.</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Complete external enrollment by [date]. Update saved links and documented procedures.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Direct email from sponsor contact; partner portal notice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Relationship owner, with program-supplied content</w:t>
            </w:r>
          </w:p>
        </w:tc>
      </w:tr>
    </w:tbl>
    <w:p>
      <w:r>
        <w:br w:type="page"/>
      </w:r>
    </w:p>
    <w:p>
      <w:pPr>
        <w:pStyle w:val="Heading1"/>
        <w:spacing w:after="80" w:before="240"/>
      </w:pPr>
      <w:r>
        <w:rPr>
          <w:rFonts w:ascii="Calibri" w:cs="Calibri" w:eastAsia="Calibri" w:hAnsi="Calibri"/>
          <w:b/>
          <w:bCs/>
          <w:color w:val="1F3864"/>
          <w:sz w:val="26"/>
          <w:szCs w:val="26"/>
        </w:rPr>
        <w:t xml:space="preserve">6. Sponsor Action Roadmap</w:t>
      </w:r>
    </w:p>
    <w:p>
      <w:pPr>
        <w:spacing w:after="80" w:before="40" w:line="252"/>
      </w:pPr>
      <w:r>
        <w:rPr>
          <w:rFonts w:ascii="Calibri" w:cs="Calibri" w:eastAsia="Calibri" w:hAnsi="Calibri"/>
          <w:b w:val="false"/>
          <w:bCs w:val="false"/>
          <w:i w:val="false"/>
          <w:iCs w:val="false"/>
          <w:color w:val="222222"/>
          <w:sz w:val="20"/>
          <w:szCs w:val="20"/>
        </w:rPr>
        <w:t xml:space="preserve">Active and visible sponsorship is the single strongest predictor of adoption. This is the sponsor's personal calendar of what they say, attend, and sign. The program drafts everything; the sponsor's job is presence, not production. Reviewed with the sponsor quarterly, and misses are treated as program risks, not scheduling noise.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400"/>
        <w:gridCol w:w="2000"/>
        <w:gridCol w:w="16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Timeframe</w:t>
            </w:r>
          </w:p>
        </w:tc>
        <w:tc>
          <w:tcPr>
            <w:tcW w:type="dxa" w:w="4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Say (sponsor voice)</w:t>
            </w:r>
          </w:p>
        </w:tc>
        <w:tc>
          <w:tcPr>
            <w:tcW w:type="dxa" w:w="4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Attend / be visible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Sign / decide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Prep owner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Months 1-3 (Awareness)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Launch announcement under sponsor signature. Two-minute telling delivered live at Town hall #1.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Town hall #1. One leadership forum where the sponsor personally introduces the program.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Approve message house and this plan. Confirm governance decision rights.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[OCM lead]</w:t>
            </w:r>
          </w:p>
        </w:tc>
      </w:tr>
      <w:t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Months 4-6 (Understanding)</w:t>
            </w:r>
          </w:p>
        </w:tc>
        <w:tc>
          <w:tcPr>
            <w:tcW w:type="dxa" w:w="4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Progress update #1 quote: name one delivered milestone in the sponsor's own words.</w:t>
            </w:r>
          </w:p>
        </w:tc>
        <w:tc>
          <w:tcPr>
            <w:tcW w:type="dxa" w:w="4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Drop-in at one department briefing [pick a skeptical department deliberately].</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Approve wave sequencing and pilot department selection.</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Months 7-9 (Preparation)</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Pilot recognition message: thank the pilot department by name.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Visit pilot department during enrollment week. Attend one office hours session unannounced.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Sign off readiness gate criteria (Section 8) before the Action phase.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[OCM lead]</w:t>
            </w:r>
          </w:p>
        </w:tc>
      </w:tr>
      <w:tr>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Months 10-12 (Action)</w:t>
            </w:r>
          </w:p>
        </w:tc>
        <w:tc>
          <w:tcPr>
            <w:tcW w:type="dxa" w:w="4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The ask goes out under sponsor signature, wave by wave. Escalation note to leaders of lagging departments at [60%] threshold.</w:t>
            </w:r>
          </w:p>
        </w:tc>
        <w:tc>
          <w:tcPr>
            <w:tcW w:type="dxa" w:w="4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Town hall or leader forum appearance mid-Action phase to reinforce the deadline.</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Gate decisions for each wave: go, go with conditions, or delay. Risk acceptance if any gate is waived.</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13 (Reinforcement)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Results and thank-you message: what we did together, by the numbers.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Closing leadership briefing. Recognition moment for champions and support teams.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Accept transition to BAU support ownership. Approve lessons-learned publication.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[OCM lead]</w:t>
            </w:r>
          </w:p>
        </w:tc>
      </w:tr>
    </w:tbl>
    <w:p>
      <w:pPr>
        <w:spacing w:after="40" w:before="80" w:line="252"/>
      </w:pPr>
      <w:r>
        <w:rPr>
          <w:rFonts w:ascii="Calibri" w:cs="Calibri" w:eastAsia="Calibri" w:hAnsi="Calibri"/>
          <w:b w:val="false"/>
          <w:bCs w:val="false"/>
          <w:i/>
          <w:iCs/>
          <w:color w:val="222222"/>
          <w:sz w:val="20"/>
          <w:szCs w:val="20"/>
        </w:rPr>
        <w:t xml:space="preserve">Rule of thumb: if the workforce has not seen or heard the sponsor in the last six weeks during an active phase, that is a finding for the monthly governance report.</w:t>
      </w:r>
    </w:p>
    <w:p>
      <w:r>
        <w:br w:type="page"/>
      </w:r>
    </w:p>
    <w:p>
      <w:pPr>
        <w:pStyle w:val="Heading1"/>
        <w:spacing w:after="80" w:before="240"/>
      </w:pPr>
      <w:r>
        <w:rPr>
          <w:rFonts w:ascii="Calibri" w:cs="Calibri" w:eastAsia="Calibri" w:hAnsi="Calibri"/>
          <w:b/>
          <w:bCs/>
          <w:color w:val="1F3864"/>
          <w:sz w:val="26"/>
          <w:szCs w:val="26"/>
        </w:rPr>
        <w:t xml:space="preserve">7. Communications Calendar: Month 1 through Month 13</w:t>
      </w:r>
    </w:p>
    <w:p>
      <w:pPr>
        <w:spacing w:after="80" w:before="40" w:line="252"/>
      </w:pPr>
      <w:r>
        <w:rPr>
          <w:rFonts w:ascii="Calibri" w:cs="Calibri" w:eastAsia="Calibri" w:hAnsi="Calibri"/>
          <w:b w:val="false"/>
          <w:bCs w:val="false"/>
          <w:i w:val="false"/>
          <w:iCs w:val="false"/>
          <w:color w:val="222222"/>
          <w:sz w:val="20"/>
          <w:szCs w:val="20"/>
        </w:rPr>
        <w:t xml:space="preserve">This is the working schedule. Replace bracketed items with actual milestones from the delivery plan and keep the two in lockstep. Status values: Planned, Drafting, In review, Sent, Deferred.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200"/>
        <w:gridCol w:w="2400"/>
        <w:gridCol w:w="2000"/>
        <w:gridCol w:w="16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Month</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Phase</w:t>
            </w:r>
          </w:p>
        </w:tc>
        <w:tc>
          <w:tcPr>
            <w:tcW w:type="dxa" w:w="5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Planned communications</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Audience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Channel</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Status</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Awareness</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Sponsor announcement: program launch, why now, high-level timeline. Leadership pre-brief one week ahead of broad send.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Leadership, then all workforce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Email; leadership forum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r>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2</w:t>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Awareness</w:t>
            </w:r>
          </w:p>
        </w:tc>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Program intro on intranet: FAQ page live, program mailbox opens. Manager briefing pack v1 issued.</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workforce; people leaders</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Intranet; briefing pack</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Awareness</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Town hall #1: what is changing and why, live Q&amp;A. Help desk briefing #1: expected question themes.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workforce; help desk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Town hall; support briefing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r>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4</w:t>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Understanding</w:t>
            </w:r>
          </w:p>
        </w:tc>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Persona-specific 'what changes for you' one-pagers: [frontline, general workforce, IT owners]. Application owner intake opens with schedule of onboarding slots.</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Segmented by persona; app owners</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Email; intranet; working sessions</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Understanding</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Progress update #1: here is what we have done so far ([foundation build, pilot scope locked]). Reminder of what is coming in Q1.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workforce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Newsletter; intranet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r>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6</w:t>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Understanding</w:t>
            </w:r>
          </w:p>
        </w:tc>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Light-touch month [holiday and change-freeze aware]: knowledge base articles published; no major asks issued.</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workforce; help desk</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Knowledge base</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Preparation</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Pilot group launch communication: [pilot dept] enrollment opens. Training schedule published. Office hours begin [cadence].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Pilot group; all workforce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Direct email; intranet; office hours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r>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8</w:t>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Preparation</w:t>
            </w:r>
          </w:p>
        </w:tc>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Pilot results shared: what we learned, what we fixed. Self-service guides finalized. Manager pack v2 with cascade scripts for the action phase.</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workforce; people leaders</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Newsletter; briefing pack</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Preparation</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Pre-launch countdown: your enrollment window is coming, here is how to prepare. Help desk briefing #2 with call scripts and volume forecast.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workforce; help desk</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Email; support briefing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r>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10</w:t>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Action</w:t>
            </w:r>
          </w:p>
        </w:tc>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The ask, wave 1: enroll in [MFA / SSO] by [date]. Sponsor-signed. Includes what we have already done and why this step matters.</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Wave 1 population</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Email from sponsor; manager cascade</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11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Action</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The ask, wave 2, plus reminder cadence for wave 1 non-completers [T-14, T-7, T-2 days]. Manager escalation lists issued weekly.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Wave 2; wave 1 stragglers via managers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Email; manager follow-up</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r>
        <w:tc>
          <w:tcPr>
            <w:tcW w:type="dxa" w:w="1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12</w:t>
            </w:r>
          </w:p>
        </w:tc>
        <w:tc>
          <w:tcPr>
            <w:tcW w:type="dxa" w:w="17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Action</w:t>
            </w:r>
          </w:p>
        </w:tc>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Final deadline communications: last call with stated consequence of non-completion. Access certification campaign launch [if in scope].</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non-completers; certifiers</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Email; manager escalation; [ServiceNow] tasks</w:t>
            </w:r>
          </w:p>
        </w:tc>
        <w:tc>
          <w:tcPr>
            <w:tcW w:type="dxa" w:w="1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Month 13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Reinforcement</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Results announcement: what we did together, by the numbers [enrollment rate, apps onboarded, tickets reduced]. Thank-you from sponsor. Transition to BAU support communicated.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audiences; leadership closing briefing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Email; town hall #2; governance briefing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Planned</w:t>
            </w:r>
          </w:p>
        </w:tc>
      </w:tr>
    </w:tbl>
    <w:p>
      <w:r>
        <w:br w:type="page"/>
      </w:r>
    </w:p>
    <w:p>
      <w:pPr>
        <w:pStyle w:val="Heading1"/>
        <w:spacing w:after="80" w:before="240"/>
      </w:pPr>
      <w:r>
        <w:rPr>
          <w:rFonts w:ascii="Calibri" w:cs="Calibri" w:eastAsia="Calibri" w:hAnsi="Calibri"/>
          <w:b/>
          <w:bCs/>
          <w:color w:val="1F3864"/>
          <w:sz w:val="26"/>
          <w:szCs w:val="26"/>
        </w:rPr>
        <w:t xml:space="preserve">8. Readiness Gates</w:t>
      </w:r>
    </w:p>
    <w:p>
      <w:pPr>
        <w:spacing w:after="80" w:before="40" w:line="252"/>
      </w:pPr>
      <w:r>
        <w:rPr>
          <w:rFonts w:ascii="Calibri" w:cs="Calibri" w:eastAsia="Calibri" w:hAnsi="Calibri"/>
          <w:b w:val="false"/>
          <w:bCs w:val="false"/>
          <w:i w:val="false"/>
          <w:iCs w:val="false"/>
          <w:color w:val="222222"/>
          <w:sz w:val="20"/>
          <w:szCs w:val="20"/>
        </w:rPr>
        <w:t xml:space="preserve">No Action-phase wave launches on the calendar date alone. Each wave passes a gate that confirms the population is ready, not just that the emails were scheduled. Gate review happens [10] business days before each wave. Outcomes: Go, Go with conditions (named owner and date for each condition), or Delay (sponsor decision, with the delay communicated per Appendix 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gridCol w:w="2600"/>
        <w:gridCol w:w="26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Gate</w:t>
            </w:r>
          </w:p>
        </w:tc>
        <w:tc>
          <w:tcPr>
            <w:tcW w:type="dxa" w:w="6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Criteria (all must be met or explicitly waived by sponsor)</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Evidence source</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Decision maker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Gate 1: Pilot exit (Month 8)</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Pilot enrollment at or above [90%]. Help desk ticket themes reviewed and top [5] fixes shipped. Self-service guide tested by non-pilot users. Rollback procedure exercised once.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[ServiceNow] dashboards; pilot survey</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[Program director]</w:t>
            </w:r>
          </w:p>
        </w:tc>
      </w:tr>
      <w:t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Gate 2: Wave 1 launch (Month 10)</w:t>
            </w:r>
          </w:p>
        </w:tc>
        <w:tc>
          <w:tcPr>
            <w:tcW w:type="dxa" w:w="6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Help desk briefed and call scripts confirmed [5] days prior. Awareness pulse for wave population at or above [70%]. Training or guide completion at or above [X%]. T-14 and T-7 reminder comms drafted and approved. Contingency statements (Appendix A) approved and staged.</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Pulse survey; comms tracker; support sign-off</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[Sponsor]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Gate 3: Wave 2+ launches (May - Month 12)</w:t>
            </w:r>
          </w:p>
        </w:tc>
        <w:tc>
          <w:tcPr>
            <w:tcW w:type="dxa" w:w="6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Prior wave completion at or above [85%] or manager escalations actively running. Help desk volume back within [normal band]. No open Sev-[1/2] identity incidents from the prior wave. Lessons from prior wave applied to comms content.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Completion dashboard; incident log</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[Sponsor]</w:t>
            </w:r>
          </w:p>
        </w:tc>
      </w:tr>
      <w:tr>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Gate 4: BAU transition (Month 13)</w:t>
            </w:r>
          </w:p>
        </w:tc>
        <w:tc>
          <w:tcPr>
            <w:tcW w:type="dxa" w:w="6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Support ownership documented and accepted. Knowledge base current. Certification cadence scheduled. Results validated by [data owner] before publication.</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Transition checklist; KB audit</w:t>
            </w:r>
          </w:p>
        </w:tc>
        <w:tc>
          <w:tcPr>
            <w:tcW w:type="dxa" w:w="2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[Program director + support owner]</w:t>
            </w:r>
          </w:p>
        </w:tc>
      </w:tr>
    </w:tbl>
    <w:p>
      <w:r>
        <w:br w:type="page"/>
      </w:r>
    </w:p>
    <w:p>
      <w:pPr>
        <w:pStyle w:val="Heading1"/>
        <w:spacing w:after="80" w:before="240"/>
      </w:pPr>
      <w:r>
        <w:rPr>
          <w:rFonts w:ascii="Calibri" w:cs="Calibri" w:eastAsia="Calibri" w:hAnsi="Calibri"/>
          <w:b/>
          <w:bCs/>
          <w:color w:val="1F3864"/>
          <w:sz w:val="26"/>
          <w:szCs w:val="26"/>
        </w:rPr>
        <w:t xml:space="preserve">9. Standing Communications</w:t>
      </w:r>
    </w:p>
    <w:p>
      <w:pPr>
        <w:spacing w:after="80" w:before="40" w:line="252"/>
      </w:pPr>
      <w:r>
        <w:rPr>
          <w:rFonts w:ascii="Calibri" w:cs="Calibri" w:eastAsia="Calibri" w:hAnsi="Calibri"/>
          <w:b w:val="false"/>
          <w:bCs w:val="false"/>
          <w:i w:val="false"/>
          <w:iCs w:val="false"/>
          <w:color w:val="222222"/>
          <w:sz w:val="20"/>
          <w:szCs w:val="20"/>
        </w:rPr>
        <w:t xml:space="preserve">Recurring items that run regardless of phase. These carry the drumbeat; the calendar in Section 7 carries the moments.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600"/>
        <w:gridCol w:w="2200"/>
        <w:gridCol w:w="20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Item</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Cadence</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Content</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Audience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Owner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Program newsletter section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Monthly</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One progress item, one upcoming item, one ask or reminder. Never more than three items.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workforce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[OCM lead]</w:t>
            </w:r>
          </w:p>
        </w:tc>
      </w:tr>
      <w:t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Intranet program page</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Updated within 5 business days of any change</w:t>
            </w:r>
          </w:p>
        </w:tc>
        <w:tc>
          <w:tcPr>
            <w:tcW w:type="dxa" w:w="4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Timeline, FAQ, guides, office hours schedule, and the What We Have Done log from Section 10.</w:t>
            </w:r>
          </w:p>
        </w:tc>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All workforce</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[OCM lead]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Office hours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[Weekly during Preparation and Action phases]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Drop-in help for enrollment, access questions, and app owner onboarding.</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Anyone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[Program engineers on rotation]</w:t>
            </w:r>
          </w:p>
        </w:tc>
      </w:tr>
      <w:t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Help desk briefing</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Before every user-facing change, minimum [5] business days ahead</w:t>
            </w:r>
          </w:p>
        </w:tc>
        <w:tc>
          <w:tcPr>
            <w:tcW w:type="dxa" w:w="4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What is changing, expected call drivers, approved responses, escalation path.</w:t>
            </w:r>
          </w:p>
        </w:tc>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Help desk and support teams</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[OCM lead with support mgmt]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Governance status report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Monthly</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Comms delivered vs. planned, completion metrics, feedback themes, upcoming month preview.</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Sponsor and governance board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[PM]</w:t>
            </w:r>
          </w:p>
        </w:tc>
      </w:tr>
    </w:tbl>
    <w:p>
      <w:pPr>
        <w:pStyle w:val="Heading1"/>
        <w:spacing w:after="80" w:before="240"/>
      </w:pPr>
      <w:r>
        <w:rPr>
          <w:rFonts w:ascii="Calibri" w:cs="Calibri" w:eastAsia="Calibri" w:hAnsi="Calibri"/>
          <w:b/>
          <w:bCs/>
          <w:color w:val="1F3864"/>
          <w:sz w:val="26"/>
          <w:szCs w:val="26"/>
        </w:rPr>
        <w:t xml:space="preserve">10. What We Have Already Done: Progress Log</w:t>
      </w:r>
    </w:p>
    <w:p>
      <w:pPr>
        <w:spacing w:after="80" w:before="40" w:line="252"/>
      </w:pPr>
      <w:r>
        <w:rPr>
          <w:rFonts w:ascii="Calibri" w:cs="Calibri" w:eastAsia="Calibri" w:hAnsi="Calibri"/>
          <w:b w:val="false"/>
          <w:bCs w:val="false"/>
          <w:i w:val="false"/>
          <w:iCs w:val="false"/>
          <w:color w:val="222222"/>
          <w:sz w:val="20"/>
          <w:szCs w:val="20"/>
        </w:rPr>
        <w:t xml:space="preserve">A running record of communications sent and program milestones delivered, starting from now. This log feeds the monthly progress items and the Section 7 progress updates, and it is published on the intranet page so any skeptic can see the receipts. Add a row every time something ships.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3200"/>
        <w:gridCol w:w="40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Date</w:t>
            </w:r>
          </w:p>
        </w:tc>
        <w:tc>
          <w:tcPr>
            <w:tcW w:type="dxa" w:w="5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What was delivered or communicated</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Audience reached</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Outcome and notes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[Month 1]</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[Example: Program kickoff completed; governance structure and workstream leads confirmed]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[Program team; sponsor]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[Baseline for the launch announcement]</w:t>
            </w:r>
          </w:p>
        </w:tc>
      </w:tr>
      <w:t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[Date]</w:t>
            </w:r>
          </w:p>
        </w:tc>
        <w:tc>
          <w:tcPr>
            <w:tcW w:type="dxa" w:w="5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[Add rows as communications are sent and milestones land]</w:t>
            </w:r>
          </w:p>
        </w:tc>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 ]</w:t>
            </w:r>
          </w:p>
        </w:tc>
        <w:tc>
          <w:tcPr>
            <w:tcW w:type="dxa" w:w="4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 ]</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[Date]</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 ]</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 ]</w:t>
            </w:r>
          </w:p>
        </w:tc>
      </w:tr>
    </w:tbl>
    <w:p>
      <w:pPr>
        <w:pStyle w:val="Heading1"/>
        <w:spacing w:after="80" w:before="240"/>
      </w:pPr>
      <w:r>
        <w:rPr>
          <w:rFonts w:ascii="Calibri" w:cs="Calibri" w:eastAsia="Calibri" w:hAnsi="Calibri"/>
          <w:b/>
          <w:bCs/>
          <w:color w:val="1F3864"/>
          <w:sz w:val="26"/>
          <w:szCs w:val="26"/>
        </w:rPr>
        <w:t xml:space="preserve">11. Approvals and Lead Times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3600"/>
        <w:gridCol w:w="38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Communication type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Drafted by</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Reviewed by</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Approved by / lead time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Enterprise-wide announcement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[OCM lead]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[PM; corporate communications; legal or compliance if required]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[Sponsor] | [10] business days before send</w:t>
            </w:r>
          </w:p>
        </w:tc>
      </w:tr>
      <w:tr>
        <w:tc>
          <w:tcPr>
            <w:tcW w:type="dxa" w:w="3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Persona or department communication</w:t>
            </w:r>
          </w:p>
        </w:tc>
        <w:tc>
          <w:tcPr>
            <w:tcW w:type="dxa" w:w="3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[OCM lead]</w:t>
            </w:r>
          </w:p>
        </w:tc>
        <w:tc>
          <w:tcPr>
            <w:tcW w:type="dxa" w:w="3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[Department leadership; PM]</w:t>
            </w:r>
          </w:p>
        </w:tc>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[Program director] | [5] business days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Operational or how-to content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[Workstream lead]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[OCM lead]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[PM] | [3] business days</w:t>
            </w:r>
          </w:p>
        </w:tc>
      </w:tr>
    </w:tbl>
    <w:p>
      <w:pPr>
        <w:pStyle w:val="Heading1"/>
        <w:spacing w:after="80" w:before="240"/>
      </w:pPr>
      <w:r>
        <w:rPr>
          <w:rFonts w:ascii="Calibri" w:cs="Calibri" w:eastAsia="Calibri" w:hAnsi="Calibri"/>
          <w:b/>
          <w:bCs/>
          <w:color w:val="1F3864"/>
          <w:sz w:val="26"/>
          <w:szCs w:val="26"/>
        </w:rPr>
        <w:t xml:space="preserve">12. Measurement and Triggers</w:t>
      </w:r>
    </w:p>
    <w:p>
      <w:pPr>
        <w:spacing w:after="80" w:before="40" w:line="252"/>
      </w:pPr>
      <w:r>
        <w:rPr>
          <w:rFonts w:ascii="Calibri" w:cs="Calibri" w:eastAsia="Calibri" w:hAnsi="Calibri"/>
          <w:b w:val="false"/>
          <w:bCs w:val="false"/>
          <w:i w:val="false"/>
          <w:iCs w:val="false"/>
          <w:color w:val="222222"/>
          <w:sz w:val="20"/>
          <w:szCs w:val="20"/>
        </w:rPr>
        <w:t xml:space="preserve">Every metric has a target, a threshold, and a pre-agreed play that fires when the threshold is crossed. The point is that crossing a threshold triggers action, not a discussion about whether to act. All metrics appear in the monthly governance status report with a named owner; metrics that no one acts on are cut.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400"/>
        <w:gridCol w:w="4600"/>
        <w:gridCol w:w="20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Metric</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Target</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Trigger threshold</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Pre-agreed play when triggered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Owner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Wave enrollment completion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[95%] by deadline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Below [60%] at T-14 days</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Manager escalation lists issued same week; sponsor note to leaders of departments below [50%]; office hours capacity doubled.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[PM]</w:t>
            </w:r>
          </w:p>
        </w:tc>
      </w:tr>
      <w:tr>
        <w:tc>
          <w:tcPr>
            <w:tcW w:type="dxa" w:w="3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Awareness pulse (wave population)</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[80%] can state the ask and date</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Below [70%] at gate review</w:t>
            </w:r>
          </w:p>
        </w:tc>
        <w:tc>
          <w:tcPr>
            <w:tcW w:type="dxa" w:w="4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Gate outcome moves to Go-with-conditions; targeted re-communication via managers within [5] days; re-pulse before launch.</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[OCM lead]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Help desk identity ticket volume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Within [normal band]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Above [X/day] for [3] consecutive days post-change</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Top-3 ticket themes triaged within [24h]; knowledge base and FAQ updated; targeted fix-it comms to affected population.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[Support mgr + PM]</w:t>
            </w:r>
          </w:p>
        </w:tc>
      </w:tr>
      <w:tr>
        <w:tc>
          <w:tcPr>
            <w:tcW w:type="dxa" w:w="3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Email reach (open rate on ask messages)</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[60%]</w:t>
            </w:r>
          </w:p>
        </w:tc>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Below [40%] on any ask message</w:t>
            </w:r>
          </w:p>
        </w:tc>
        <w:tc>
          <w:tcPr>
            <w:tcW w:type="dxa" w:w="4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Channel shift: same message via manager cascade and team huddles; subject line and sender revised for next send.</w:t>
            </w:r>
          </w:p>
        </w:tc>
        <w:tc>
          <w:tcPr>
            <w:tcW w:type="dxa" w:w="2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[OCM lead]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Phase-end sentiment pulse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[70%] favorable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Below [50%] or any department below [40%]</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Listening session in lowest-scoring department within [10] days; findings and one visible fix reported in the next progress update.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[OCM lead]</w:t>
            </w:r>
          </w:p>
        </w:tc>
      </w:tr>
    </w:tbl>
    <w:p>
      <w:r>
        <w:br w:type="page"/>
      </w:r>
    </w:p>
    <w:p>
      <w:pPr>
        <w:pStyle w:val="Heading1"/>
        <w:spacing w:after="80" w:before="240"/>
      </w:pPr>
      <w:r>
        <w:rPr>
          <w:rFonts w:ascii="Calibri" w:cs="Calibri" w:eastAsia="Calibri" w:hAnsi="Calibri"/>
          <w:b/>
          <w:bCs/>
          <w:color w:val="1F3864"/>
          <w:sz w:val="26"/>
          <w:szCs w:val="26"/>
        </w:rPr>
        <w:t xml:space="preserve">Appendix A: Contingency Communications</w:t>
      </w:r>
    </w:p>
    <w:p>
      <w:pPr>
        <w:spacing w:after="80" w:before="40" w:line="252"/>
      </w:pPr>
      <w:r>
        <w:rPr>
          <w:rFonts w:ascii="Calibri" w:cs="Calibri" w:eastAsia="Calibri" w:hAnsi="Calibri"/>
          <w:b w:val="false"/>
          <w:bCs w:val="false"/>
          <w:i w:val="false"/>
          <w:iCs w:val="false"/>
          <w:color w:val="222222"/>
          <w:sz w:val="20"/>
          <w:szCs w:val="20"/>
        </w:rPr>
        <w:t xml:space="preserve">Pre-drafted and pre-approved holding statements for the scenarios most likely to occur in an identity program. These exist so the first hour of an incident is spent responding, not wordsmithing. Each statement is approved now, stored in [location], and sent within [30] minutes of trigger confirmation. Fill in the bracketed specifics at send time only.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5600"/>
        <w:gridCol w:w="34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Scenario</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Trigger and approver</w:t>
            </w:r>
          </w:p>
        </w:tc>
        <w:tc>
          <w:tcPr>
            <w:tcW w:type="dxa" w:w="5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Holding statement (pre-approved draft)</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FFFFFF"/>
                <w:sz w:val="18"/>
                <w:szCs w:val="18"/>
              </w:rPr>
              <w:t xml:space="preserve">Send channel and follow-up</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Authentication or SSO outage during business hours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Confirmed [Sev-1/2] incident affecting login. Approver: [incident commander]; comms sent by [OCM lead].</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[We are aware some users cannot sign in to [systems] as of [time]. Teams are actively working on it. Workaround: [use X / contact help desk at Y]. Next update by [time]. Mission-critical systems: [status].]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Intranet banner + email + help desk script. Updates every [60] min until resolved; closure note with cause summary within [1] business day.</w:t>
            </w:r>
          </w:p>
        </w:tc>
      </w:tr>
      <w:tr>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Enrollment wave delayed</w:t>
            </w:r>
          </w:p>
        </w:tc>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Gate outcome is Delay, or a blocking defect found post-launch. Approver: [sponsor].</w:t>
            </w:r>
          </w:p>
        </w:tc>
        <w:tc>
          <w:tcPr>
            <w:tcW w:type="dxa" w:w="5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[The [wave name] enrollment window is moving from [old date] to [new date]. Nothing is needed from you right now. If you already enrolled, your enrollment stands. We will confirm the new window [X] days ahead.]</w:t>
            </w:r>
          </w:p>
        </w:tc>
        <w:tc>
          <w:tcPr>
            <w:tcW w:type="dxa" w:w="3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Email to affected wave + manager note + intranet update. Calendar in Section 7 updated same week.</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Rollback of a deployed change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Decision to revert [SSO cutover / policy change]. Approver: [sponsor + program director].</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[We have returned [system] to the previous sign-in experience while we resolve [brief plain-language reason]. Use your previous credentials. No action needed. We will share the new go-forward date by [date].]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Email + intranet + help desk script within [30] min of rollback completion. Leadership pre-notified before broad send.</w:t>
            </w:r>
          </w:p>
        </w:tc>
      </w:tr>
      <w:tr>
        <w:tc>
          <w:tcPr>
            <w:tcW w:type="dxa" w:w="2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Sustained elevated help desk volume</w:t>
            </w:r>
          </w:p>
        </w:tc>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Ticket trigger in Section 12 fires. Approver: [PM].</w:t>
            </w:r>
          </w:p>
        </w:tc>
        <w:tc>
          <w:tcPr>
            <w:tcW w:type="dxa" w:w="5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[We are seeing higher-than-normal wait times for identity support. Fastest paths: [self-service link] for [top issue 1], [guide link] for [top issue 2]. If those do not resolve it, the help desk remains available and we have added capacity.]</w:t>
            </w:r>
          </w:p>
        </w:tc>
        <w:tc>
          <w:tcPr>
            <w:tcW w:type="dxa" w:w="3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Intranet + targeted email to affected departments. Retire the message once volume returns to the normal band.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bCs/>
                <w:i w:val="false"/>
                <w:iCs w:val="false"/>
                <w:color w:val="222222"/>
                <w:sz w:val="18"/>
                <w:szCs w:val="18"/>
              </w:rPr>
              <w:t xml:space="preserve">Phishing or fraud attempt impersonating the program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Report of emails impersonating enrollment comms. Approver: [security operations + sponsor].</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[Emails asking you to [action] are not from us. Legitimate program emails come only from [address], never ask for your password, and always link to [domain]. Report suspicious messages via [method].]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line="240"/>
            </w:pPr>
            <w:r>
              <w:rPr>
                <w:rFonts w:ascii="Calibri" w:cs="Calibri" w:eastAsia="Calibri" w:hAnsi="Calibri"/>
                <w:b w:val="false"/>
                <w:bCs w:val="false"/>
                <w:i w:val="false"/>
                <w:iCs w:val="false"/>
                <w:color w:val="222222"/>
                <w:sz w:val="18"/>
                <w:szCs w:val="18"/>
              </w:rPr>
              <w:t xml:space="preserve">Email + intranet banner + help desk script, same day. All subsequent program emails carry the authenticity footer.</w:t>
            </w:r>
          </w:p>
        </w:tc>
      </w:tr>
    </w:tbl>
    <w:p>
      <w:pPr>
        <w:spacing w:after="40" w:before="80" w:line="252"/>
      </w:pPr>
      <w:r>
        <w:rPr>
          <w:rFonts w:ascii="Calibri" w:cs="Calibri" w:eastAsia="Calibri" w:hAnsi="Calibri"/>
          <w:b w:val="false"/>
          <w:bCs w:val="false"/>
          <w:i/>
          <w:iCs/>
          <w:color w:val="222222"/>
          <w:sz w:val="20"/>
          <w:szCs w:val="20"/>
        </w:rPr>
        <w:t xml:space="preserve">Standing rule: every contingency send is logged in the Section 10 progress log with the trigger, send time, and resolution. Silence during an incident is itself a message, and it is the wrong one.</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2026-07-06T22:31:44.915Z</dcterms:created>
  <dcterms:modified xsi:type="dcterms:W3CDTF">2026-07-06T22:31:44.928Z</dcterms:modified>
</cp:coreProperties>
</file>

<file path=docProps/custom.xml><?xml version="1.0" encoding="utf-8"?>
<Properties xmlns="http://schemas.openxmlformats.org/officeDocument/2006/custom-properties" xmlns:vt="http://schemas.openxmlformats.org/officeDocument/2006/docPropsVTypes"/>
</file>