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3864"/>
          <w:sz w:val="56"/>
          <w:szCs w:val="56"/>
        </w:rPr>
        <w:t xml:space="preserve">PMO Framework</w:t>
      </w:r>
    </w:p>
    <w:p>
      <w:pPr>
        <w:spacing w:after="160"/>
        <w:jc w:val="center"/>
      </w:pPr>
      <w:r>
        <w:rPr>
          <w:rFonts w:ascii="Arial" w:cs="Arial" w:eastAsia="Arial" w:hAnsi="Arial"/>
          <w:color w:val="2E75B6"/>
          <w:sz w:val="30"/>
          <w:szCs w:val="30"/>
        </w:rPr>
        <w:t xml:space="preserve">Methodology, Artifacts, and AI Enablement</w:t>
      </w:r>
    </w:p>
    <w:p>
      <w:pPr>
        <w:spacing w:after="200"/>
        <w:jc w:val="center"/>
      </w:pPr>
      <w:r>
        <w:rPr>
          <w:rFonts w:ascii="Arial" w:cs="Arial" w:eastAsia="Arial" w:hAnsi="Arial"/>
          <w:i/>
          <w:iCs/>
          <w:color w:val="595959"/>
          <w:sz w:val="22"/>
          <w:szCs w:val="22"/>
        </w:rPr>
        <w:t xml:space="preserve">Companion to PMO_Project_Workbook.xlsx and PMO_Templates_Pack.docx</w:t>
      </w:r>
    </w:p>
    <w:p>
      <w:pPr>
        <w:spacing w:after="600"/>
        <w:jc w:val="center"/>
      </w:pPr>
      <w:r>
        <w:rPr>
          <w:rFonts w:ascii="Arial" w:cs="Arial" w:eastAsia="Arial" w:hAnsi="Arial"/>
          <w:i/>
          <w:iCs/>
          <w:color w:val="595959"/>
          <w:sz w:val="20"/>
          <w:szCs w:val="20"/>
        </w:rPr>
        <w:t xml:space="preserve">Document version: v1.1  —  2026-04-27</w:t>
      </w:r>
    </w:p>
    <w:p>
      <w:pPr>
        <w:spacing w:after="120" w:before="400"/>
        <w:jc w:val="center"/>
      </w:pPr>
      <w:r>
        <w:rPr>
          <w:rFonts w:ascii="Arial" w:cs="Arial" w:eastAsia="Arial" w:hAnsi="Arial"/>
          <w:b/>
          <w:bCs/>
          <w:sz w:val="26"/>
          <w:szCs w:val="26"/>
        </w:rPr>
        <w:t xml:space="preserve">What this is</w:t>
      </w:r>
    </w:p>
    <w:p>
      <w:pPr>
        <w:spacing w:after="100"/>
        <w:jc w:val="center"/>
      </w:pPr>
      <w:r>
        <w:rPr>
          <w:rFonts w:ascii="Arial" w:cs="Arial" w:eastAsia="Arial" w:hAnsi="Arial"/>
          <w:sz w:val="22"/>
          <w:szCs w:val="22"/>
        </w:rPr>
        <w:t xml:space="preserve">The methodology document. Describes each PMO artifact, when to use it,</w:t>
      </w:r>
    </w:p>
    <w:p>
      <w:pPr>
        <w:spacing w:after="100"/>
        <w:jc w:val="center"/>
      </w:pPr>
      <w:r>
        <w:rPr>
          <w:rFonts w:ascii="Arial" w:cs="Arial" w:eastAsia="Arial" w:hAnsi="Arial"/>
          <w:sz w:val="22"/>
          <w:szCs w:val="22"/>
        </w:rPr>
        <w:t xml:space="preserve">who owns it, and how AI makes it dynamic. Use the workbook for live working artifacts;</w:t>
      </w:r>
    </w:p>
    <w:p>
      <w:pPr>
        <w:spacing w:after="100"/>
        <w:jc w:val="center"/>
      </w:pPr>
      <w:r>
        <w:rPr>
          <w:rFonts w:ascii="Arial" w:cs="Arial" w:eastAsia="Arial" w:hAnsi="Arial"/>
          <w:sz w:val="22"/>
          <w:szCs w:val="22"/>
        </w:rPr>
        <w:t xml:space="preserve">use the templates pack for fillable standalone documents.</w:t>
      </w:r>
    </w:p>
    <w:p>
      <w:r>
        <w:br w:type="page"/>
      </w:r>
    </w:p>
    <w:p>
      <w:pPr>
        <w:pStyle w:val="Heading1"/>
        <w:spacing w:after="200" w:before="360"/>
      </w:pPr>
      <w:r>
        <w:rPr>
          <w:rFonts w:ascii="Arial" w:cs="Arial" w:eastAsia="Arial" w:hAnsi="Arial"/>
          <w:b/>
          <w:bCs/>
          <w:color w:val="1F3864"/>
          <w:sz w:val="36"/>
          <w:szCs w:val="36"/>
        </w:rPr>
        <w:t xml:space="preserve">Contents</w:t>
      </w:r>
    </w:p>
    <w:p>
      <w:pPr>
        <w:spacing w:after="200"/>
      </w:pPr>
      <w:r>
        <w:rPr>
          <w:rFonts w:ascii="Arial" w:cs="Arial" w:eastAsia="Arial" w:hAnsi="Arial"/>
          <w:i/>
          <w:iCs/>
          <w:sz w:val="22"/>
          <w:szCs w:val="22"/>
        </w:rPr>
        <w:t xml:space="preserve">Artifacts are organized by project lifecycle phase. In Word, Google Docs, and most readers, the headings below are clickable in the Navigation / Outline pane.</w:t>
      </w:r>
    </w:p>
    <w:p>
      <w:pPr>
        <w:spacing w:after="80" w:before="200"/>
      </w:pPr>
      <w:r>
        <w:rPr>
          <w:rFonts w:ascii="Arial" w:cs="Arial" w:eastAsia="Arial" w:hAnsi="Arial"/>
          <w:b/>
          <w:bCs/>
          <w:color w:val="2E75B6"/>
          <w:sz w:val="24"/>
          <w:szCs w:val="24"/>
        </w:rPr>
        <w:t xml:space="preserve">INITIATE</w:t>
      </w:r>
    </w:p>
    <w:p>
      <w:pPr>
        <w:spacing w:after="60"/>
        <w:ind w:left="360"/>
      </w:pPr>
      <w:r>
        <w:rPr>
          <w:rFonts w:ascii="Arial" w:cs="Arial" w:eastAsia="Arial" w:hAnsi="Arial"/>
          <w:sz w:val="22"/>
          <w:szCs w:val="22"/>
        </w:rPr>
        <w:t xml:space="preserve">1. Project Charter</w:t>
      </w:r>
    </w:p>
    <w:p>
      <w:pPr>
        <w:spacing w:after="60"/>
        <w:ind w:left="360"/>
      </w:pPr>
      <w:r>
        <w:rPr>
          <w:rFonts w:ascii="Arial" w:cs="Arial" w:eastAsia="Arial" w:hAnsi="Arial"/>
          <w:sz w:val="22"/>
          <w:szCs w:val="22"/>
        </w:rPr>
        <w:t xml:space="preserve">2. Project Kickoff Pack</w:t>
      </w:r>
    </w:p>
    <w:p>
      <w:pPr>
        <w:spacing w:after="60"/>
        <w:ind w:left="360"/>
      </w:pPr>
      <w:r>
        <w:rPr>
          <w:rFonts w:ascii="Arial" w:cs="Arial" w:eastAsia="Arial" w:hAnsi="Arial"/>
          <w:sz w:val="22"/>
          <w:szCs w:val="22"/>
        </w:rPr>
        <w:t xml:space="preserve">3. Stakeholder Register &amp; Engagement Plan</w:t>
      </w:r>
    </w:p>
    <w:p>
      <w:pPr>
        <w:spacing w:after="60"/>
        <w:ind w:left="360"/>
      </w:pPr>
      <w:r>
        <w:rPr>
          <w:rFonts w:ascii="Arial" w:cs="Arial" w:eastAsia="Arial" w:hAnsi="Arial"/>
          <w:sz w:val="22"/>
          <w:szCs w:val="22"/>
        </w:rPr>
        <w:t xml:space="preserve">4. RACI Matrix</w:t>
      </w:r>
    </w:p>
    <w:p>
      <w:pPr>
        <w:spacing w:after="80" w:before="200"/>
      </w:pPr>
      <w:r>
        <w:rPr>
          <w:rFonts w:ascii="Arial" w:cs="Arial" w:eastAsia="Arial" w:hAnsi="Arial"/>
          <w:b/>
          <w:bCs/>
          <w:color w:val="2E75B6"/>
          <w:sz w:val="24"/>
          <w:szCs w:val="24"/>
        </w:rPr>
        <w:t xml:space="preserve">PLAN</w:t>
      </w:r>
    </w:p>
    <w:p>
      <w:pPr>
        <w:spacing w:after="60"/>
        <w:ind w:left="360"/>
      </w:pPr>
      <w:r>
        <w:rPr>
          <w:rFonts w:ascii="Arial" w:cs="Arial" w:eastAsia="Arial" w:hAnsi="Arial"/>
          <w:sz w:val="22"/>
          <w:szCs w:val="22"/>
        </w:rPr>
        <w:t xml:space="preserve">5. Integrated Project Plan / Workbook</w:t>
      </w:r>
    </w:p>
    <w:p>
      <w:pPr>
        <w:spacing w:after="60"/>
        <w:ind w:left="360"/>
      </w:pPr>
      <w:r>
        <w:rPr>
          <w:rFonts w:ascii="Arial" w:cs="Arial" w:eastAsia="Arial" w:hAnsi="Arial"/>
          <w:sz w:val="22"/>
          <w:szCs w:val="22"/>
        </w:rPr>
        <w:t xml:space="preserve">6. Business Requirements Document (BRD)</w:t>
      </w:r>
    </w:p>
    <w:p>
      <w:pPr>
        <w:spacing w:after="60"/>
        <w:ind w:left="360"/>
      </w:pPr>
      <w:r>
        <w:rPr>
          <w:rFonts w:ascii="Arial" w:cs="Arial" w:eastAsia="Arial" w:hAnsi="Arial"/>
          <w:sz w:val="22"/>
          <w:szCs w:val="22"/>
        </w:rPr>
        <w:t xml:space="preserve">7. Technical Requirements / Functional Specification</w:t>
      </w:r>
    </w:p>
    <w:p>
      <w:pPr>
        <w:spacing w:after="60"/>
        <w:ind w:left="360"/>
      </w:pPr>
      <w:r>
        <w:rPr>
          <w:rFonts w:ascii="Arial" w:cs="Arial" w:eastAsia="Arial" w:hAnsi="Arial"/>
          <w:sz w:val="22"/>
          <w:szCs w:val="22"/>
        </w:rPr>
        <w:t xml:space="preserve">8. Communications Plan</w:t>
      </w:r>
    </w:p>
    <w:p>
      <w:pPr>
        <w:spacing w:after="60"/>
        <w:ind w:left="360"/>
      </w:pPr>
      <w:r>
        <w:rPr>
          <w:rFonts w:ascii="Arial" w:cs="Arial" w:eastAsia="Arial" w:hAnsi="Arial"/>
          <w:sz w:val="22"/>
          <w:szCs w:val="22"/>
        </w:rPr>
        <w:t xml:space="preserve">9. Organizational Change Management (OCM) Plan</w:t>
      </w:r>
    </w:p>
    <w:p>
      <w:pPr>
        <w:spacing w:after="60"/>
        <w:ind w:left="360"/>
      </w:pPr>
      <w:r>
        <w:rPr>
          <w:rFonts w:ascii="Arial" w:cs="Arial" w:eastAsia="Arial" w:hAnsi="Arial"/>
          <w:sz w:val="22"/>
          <w:szCs w:val="22"/>
        </w:rPr>
        <w:t xml:space="preserve">10. Training &amp; Awareness Plan</w:t>
      </w:r>
    </w:p>
    <w:p>
      <w:pPr>
        <w:spacing w:after="60"/>
        <w:ind w:left="360"/>
      </w:pPr>
      <w:r>
        <w:rPr>
          <w:rFonts w:ascii="Arial" w:cs="Arial" w:eastAsia="Arial" w:hAnsi="Arial"/>
          <w:sz w:val="22"/>
          <w:szCs w:val="22"/>
        </w:rPr>
        <w:t xml:space="preserve">11. RAID Log</w:t>
      </w:r>
    </w:p>
    <w:p>
      <w:pPr>
        <w:spacing w:after="60"/>
        <w:ind w:left="360"/>
      </w:pPr>
      <w:r>
        <w:rPr>
          <w:rFonts w:ascii="Arial" w:cs="Arial" w:eastAsia="Arial" w:hAnsi="Arial"/>
          <w:sz w:val="22"/>
          <w:szCs w:val="22"/>
        </w:rPr>
        <w:t xml:space="preserve">12. Schedule &amp; Milestone Tracker</w:t>
      </w:r>
    </w:p>
    <w:p>
      <w:pPr>
        <w:spacing w:after="60"/>
        <w:ind w:left="360"/>
      </w:pPr>
      <w:r>
        <w:rPr>
          <w:rFonts w:ascii="Arial" w:cs="Arial" w:eastAsia="Arial" w:hAnsi="Arial"/>
          <w:sz w:val="22"/>
          <w:szCs w:val="22"/>
        </w:rPr>
        <w:t xml:space="preserve">13. Resource Plan</w:t>
      </w:r>
    </w:p>
    <w:p>
      <w:pPr>
        <w:spacing w:after="60"/>
        <w:ind w:left="360"/>
      </w:pPr>
      <w:r>
        <w:rPr>
          <w:rFonts w:ascii="Arial" w:cs="Arial" w:eastAsia="Arial" w:hAnsi="Arial"/>
          <w:sz w:val="22"/>
          <w:szCs w:val="22"/>
        </w:rPr>
        <w:t xml:space="preserve">14. Project Budget</w:t>
      </w:r>
    </w:p>
    <w:p>
      <w:pPr>
        <w:spacing w:after="80" w:before="200"/>
      </w:pPr>
      <w:r>
        <w:rPr>
          <w:rFonts w:ascii="Arial" w:cs="Arial" w:eastAsia="Arial" w:hAnsi="Arial"/>
          <w:b/>
          <w:bCs/>
          <w:color w:val="2E75B6"/>
          <w:sz w:val="24"/>
          <w:szCs w:val="24"/>
        </w:rPr>
        <w:t xml:space="preserve">PROCURE</w:t>
      </w:r>
    </w:p>
    <w:p>
      <w:pPr>
        <w:spacing w:after="60"/>
        <w:ind w:left="360"/>
      </w:pPr>
      <w:r>
        <w:rPr>
          <w:rFonts w:ascii="Arial" w:cs="Arial" w:eastAsia="Arial" w:hAnsi="Arial"/>
          <w:sz w:val="22"/>
          <w:szCs w:val="22"/>
        </w:rPr>
        <w:t xml:space="preserve">15. Request for Proposal (RFP)</w:t>
      </w:r>
    </w:p>
    <w:p>
      <w:pPr>
        <w:spacing w:after="60"/>
        <w:ind w:left="360"/>
      </w:pPr>
      <w:r>
        <w:rPr>
          <w:rFonts w:ascii="Arial" w:cs="Arial" w:eastAsia="Arial" w:hAnsi="Arial"/>
          <w:sz w:val="22"/>
          <w:szCs w:val="22"/>
        </w:rPr>
        <w:t xml:space="preserve">16. RFP Scoring Rubric</w:t>
      </w:r>
    </w:p>
    <w:p>
      <w:pPr>
        <w:spacing w:after="60"/>
        <w:ind w:left="360"/>
      </w:pPr>
      <w:r>
        <w:rPr>
          <w:rFonts w:ascii="Arial" w:cs="Arial" w:eastAsia="Arial" w:hAnsi="Arial"/>
          <w:sz w:val="22"/>
          <w:szCs w:val="22"/>
        </w:rPr>
        <w:t xml:space="preserve">17. Statement of Work (SOW)</w:t>
      </w:r>
    </w:p>
    <w:p>
      <w:pPr>
        <w:spacing w:after="80" w:before="200"/>
      </w:pPr>
      <w:r>
        <w:rPr>
          <w:rFonts w:ascii="Arial" w:cs="Arial" w:eastAsia="Arial" w:hAnsi="Arial"/>
          <w:b/>
          <w:bCs/>
          <w:color w:val="2E75B6"/>
          <w:sz w:val="24"/>
          <w:szCs w:val="24"/>
        </w:rPr>
        <w:t xml:space="preserve">EXECUTE &amp; MONITOR</w:t>
      </w:r>
    </w:p>
    <w:p>
      <w:pPr>
        <w:spacing w:after="60"/>
        <w:ind w:left="360"/>
      </w:pPr>
      <w:r>
        <w:rPr>
          <w:rFonts w:ascii="Arial" w:cs="Arial" w:eastAsia="Arial" w:hAnsi="Arial"/>
          <w:sz w:val="22"/>
          <w:szCs w:val="22"/>
        </w:rPr>
        <w:t xml:space="preserve">18. Weekly Status Report</w:t>
      </w:r>
    </w:p>
    <w:p>
      <w:pPr>
        <w:spacing w:after="60"/>
        <w:ind w:left="360"/>
      </w:pPr>
      <w:r>
        <w:rPr>
          <w:rFonts w:ascii="Arial" w:cs="Arial" w:eastAsia="Arial" w:hAnsi="Arial"/>
          <w:sz w:val="22"/>
          <w:szCs w:val="22"/>
        </w:rPr>
        <w:t xml:space="preserve">19. Decisions &amp; Changes Log (combined)</w:t>
      </w:r>
    </w:p>
    <w:p>
      <w:pPr>
        <w:spacing w:after="60"/>
        <w:ind w:left="360"/>
      </w:pPr>
      <w:r>
        <w:rPr>
          <w:rFonts w:ascii="Arial" w:cs="Arial" w:eastAsia="Arial" w:hAnsi="Arial"/>
          <w:sz w:val="22"/>
          <w:szCs w:val="22"/>
        </w:rPr>
        <w:t xml:space="preserve">20. Steering Committee / Governance Pack</w:t>
      </w:r>
    </w:p>
    <w:p>
      <w:pPr>
        <w:spacing w:after="80" w:before="200"/>
      </w:pPr>
      <w:r>
        <w:rPr>
          <w:rFonts w:ascii="Arial" w:cs="Arial" w:eastAsia="Arial" w:hAnsi="Arial"/>
          <w:b/>
          <w:bCs/>
          <w:color w:val="2E75B6"/>
          <w:sz w:val="24"/>
          <w:szCs w:val="24"/>
        </w:rPr>
        <w:t xml:space="preserve">TEST &amp; DEPLOY</w:t>
      </w:r>
    </w:p>
    <w:p>
      <w:pPr>
        <w:spacing w:after="60"/>
        <w:ind w:left="360"/>
      </w:pPr>
      <w:r>
        <w:rPr>
          <w:rFonts w:ascii="Arial" w:cs="Arial" w:eastAsia="Arial" w:hAnsi="Arial"/>
          <w:sz w:val="22"/>
          <w:szCs w:val="22"/>
        </w:rPr>
        <w:t xml:space="preserve">21. UAT Plan &amp; Test Cases</w:t>
      </w:r>
    </w:p>
    <w:p>
      <w:pPr>
        <w:spacing w:after="80" w:before="200"/>
      </w:pPr>
      <w:r>
        <w:rPr>
          <w:rFonts w:ascii="Arial" w:cs="Arial" w:eastAsia="Arial" w:hAnsi="Arial"/>
          <w:b/>
          <w:bCs/>
          <w:color w:val="2E75B6"/>
          <w:sz w:val="24"/>
          <w:szCs w:val="24"/>
        </w:rPr>
        <w:t xml:space="preserve">CLOSE</w:t>
      </w:r>
    </w:p>
    <w:p>
      <w:pPr>
        <w:spacing w:after="60"/>
        <w:ind w:left="360"/>
      </w:pPr>
      <w:r>
        <w:rPr>
          <w:rFonts w:ascii="Arial" w:cs="Arial" w:eastAsia="Arial" w:hAnsi="Arial"/>
          <w:sz w:val="22"/>
          <w:szCs w:val="22"/>
        </w:rPr>
        <w:t xml:space="preserve">22. Lessons Learned Register</w:t>
      </w:r>
    </w:p>
    <w:p>
      <w:pPr>
        <w:spacing w:after="60"/>
        <w:ind w:left="360"/>
      </w:pPr>
      <w:r>
        <w:rPr>
          <w:rFonts w:ascii="Arial" w:cs="Arial" w:eastAsia="Arial" w:hAnsi="Arial"/>
          <w:sz w:val="22"/>
          <w:szCs w:val="22"/>
        </w:rPr>
        <w:t xml:space="preserve">23. Project Closeout Report (with Benefits Realization)</w:t>
      </w:r>
    </w:p>
    <w:p>
      <w:pPr>
        <w:spacing w:after="80" w:before="200"/>
      </w:pPr>
      <w:r>
        <w:rPr>
          <w:rFonts w:ascii="Arial" w:cs="Arial" w:eastAsia="Arial" w:hAnsi="Arial"/>
          <w:b/>
          <w:bCs/>
          <w:color w:val="2E75B6"/>
          <w:sz w:val="24"/>
          <w:szCs w:val="24"/>
        </w:rPr>
        <w:t xml:space="preserve">PROGRAM-LEVEL</w:t>
      </w:r>
    </w:p>
    <w:p>
      <w:pPr>
        <w:spacing w:after="60"/>
        <w:ind w:left="360"/>
      </w:pPr>
      <w:r>
        <w:rPr>
          <w:rFonts w:ascii="Arial" w:cs="Arial" w:eastAsia="Arial" w:hAnsi="Arial"/>
          <w:sz w:val="22"/>
          <w:szCs w:val="22"/>
        </w:rPr>
        <w:t xml:space="preserve">24. Program Charter (Multi-Initiative)</w:t>
      </w:r>
    </w:p>
    <w:p>
      <w:pPr>
        <w:spacing w:after="60"/>
        <w:ind w:left="360"/>
      </w:pPr>
      <w:r>
        <w:rPr>
          <w:rFonts w:ascii="Arial" w:cs="Arial" w:eastAsia="Arial" w:hAnsi="Arial"/>
          <w:sz w:val="22"/>
          <w:szCs w:val="22"/>
        </w:rPr>
        <w:t xml:space="preserve">25. Program Governance &amp; Integration Management</w:t>
      </w:r>
    </w:p>
    <w:p>
      <w:pPr>
        <w:spacing w:after="60"/>
        <w:ind w:left="360"/>
      </w:pPr>
      <w:r>
        <w:rPr>
          <w:rFonts w:ascii="Arial" w:cs="Arial" w:eastAsia="Arial" w:hAnsi="Arial"/>
          <w:sz w:val="22"/>
          <w:szCs w:val="22"/>
        </w:rPr>
        <w:t xml:space="preserve">26. Program Benefits Realization</w:t>
      </w:r>
    </w:p>
    <w:p>
      <w:pPr>
        <w:spacing w:after="80" w:before="200"/>
      </w:pPr>
      <w:r>
        <w:rPr>
          <w:rFonts w:ascii="Arial" w:cs="Arial" w:eastAsia="Arial" w:hAnsi="Arial"/>
          <w:b/>
          <w:bCs/>
          <w:color w:val="2E75B6"/>
          <w:sz w:val="24"/>
          <w:szCs w:val="24"/>
        </w:rPr>
        <w:t xml:space="preserve">GOVERNANCE &amp; OPERATING</w:t>
      </w:r>
    </w:p>
    <w:p>
      <w:pPr>
        <w:spacing w:after="60"/>
        <w:ind w:left="360"/>
      </w:pPr>
      <w:r>
        <w:rPr>
          <w:rFonts w:ascii="Arial" w:cs="Arial" w:eastAsia="Arial" w:hAnsi="Arial"/>
          <w:sz w:val="22"/>
          <w:szCs w:val="22"/>
        </w:rPr>
        <w:t xml:space="preserve">27. Project Intake Form</w:t>
      </w:r>
    </w:p>
    <w:p>
      <w:pPr>
        <w:spacing w:after="60"/>
        <w:ind w:left="360"/>
      </w:pPr>
      <w:r>
        <w:rPr>
          <w:rFonts w:ascii="Arial" w:cs="Arial" w:eastAsia="Arial" w:hAnsi="Arial"/>
          <w:sz w:val="22"/>
          <w:szCs w:val="22"/>
        </w:rPr>
        <w:t xml:space="preserve">28. Portfolio Dashboard</w:t>
      </w:r>
    </w:p>
    <w:p>
      <w:pPr>
        <w:spacing w:after="60"/>
        <w:ind w:left="360"/>
      </w:pPr>
      <w:r>
        <w:rPr>
          <w:rFonts w:ascii="Arial" w:cs="Arial" w:eastAsia="Arial" w:hAnsi="Arial"/>
          <w:sz w:val="22"/>
          <w:szCs w:val="22"/>
        </w:rPr>
        <w:t xml:space="preserve">29. Operating Model Document</w:t>
      </w:r>
    </w:p>
    <w:p>
      <w:pPr>
        <w:spacing w:after="80" w:before="200"/>
      </w:pPr>
      <w:r>
        <w:rPr>
          <w:rFonts w:ascii="Arial" w:cs="Arial" w:eastAsia="Arial" w:hAnsi="Arial"/>
          <w:b/>
          <w:bCs/>
          <w:color w:val="2E75B6"/>
          <w:sz w:val="24"/>
          <w:szCs w:val="24"/>
        </w:rPr>
        <w:t xml:space="preserve">SPECIALIZED</w:t>
      </w:r>
    </w:p>
    <w:p>
      <w:pPr>
        <w:spacing w:after="60"/>
        <w:ind w:left="360"/>
      </w:pPr>
      <w:r>
        <w:rPr>
          <w:rFonts w:ascii="Arial" w:cs="Arial" w:eastAsia="Arial" w:hAnsi="Arial"/>
          <w:sz w:val="22"/>
          <w:szCs w:val="22"/>
        </w:rPr>
        <w:t xml:space="preserve">30. Retrospective Pack</w:t>
      </w:r>
    </w:p>
    <w:p>
      <w:pPr>
        <w:spacing w:after="60"/>
        <w:ind w:left="360"/>
      </w:pPr>
      <w:r>
        <w:rPr>
          <w:rFonts w:ascii="Arial" w:cs="Arial" w:eastAsia="Arial" w:hAnsi="Arial"/>
          <w:sz w:val="22"/>
          <w:szCs w:val="22"/>
        </w:rPr>
        <w:t xml:space="preserve">31. Post-Incident Review Pack</w:t>
      </w:r>
    </w:p>
    <w:p>
      <w:pPr>
        <w:spacing w:after="60"/>
        <w:ind w:left="360"/>
      </w:pPr>
      <w:r>
        <w:rPr>
          <w:rFonts w:ascii="Arial" w:cs="Arial" w:eastAsia="Arial" w:hAnsi="Arial"/>
          <w:sz w:val="22"/>
          <w:szCs w:val="22"/>
        </w:rPr>
        <w:t xml:space="preserve">32. Post-Incident Action Tracker</w:t>
      </w:r>
    </w:p>
    <w:p>
      <w:pPr>
        <w:spacing w:after="80" w:before="200"/>
      </w:pPr>
      <w:r>
        <w:rPr>
          <w:rFonts w:ascii="Arial" w:cs="Arial" w:eastAsia="Arial" w:hAnsi="Arial"/>
          <w:b/>
          <w:bCs/>
          <w:color w:val="2E75B6"/>
          <w:sz w:val="24"/>
          <w:szCs w:val="24"/>
        </w:rPr>
        <w:t xml:space="preserve">APPENDICES</w:t>
      </w:r>
    </w:p>
    <w:p>
      <w:pPr>
        <w:spacing w:after="60"/>
        <w:ind w:left="360"/>
      </w:pPr>
      <w:r>
        <w:rPr>
          <w:rFonts w:ascii="Arial" w:cs="Arial" w:eastAsia="Arial" w:hAnsi="Arial"/>
          <w:sz w:val="22"/>
          <w:szCs w:val="22"/>
        </w:rPr>
        <w:t xml:space="preserve">A. AI Capability → PMO Artifact Mapping</w:t>
      </w:r>
    </w:p>
    <w:p>
      <w:pPr>
        <w:spacing w:after="60"/>
        <w:ind w:left="360"/>
      </w:pPr>
      <w:r>
        <w:rPr>
          <w:rFonts w:ascii="Arial" w:cs="Arial" w:eastAsia="Arial" w:hAnsi="Arial"/>
          <w:sz w:val="22"/>
          <w:szCs w:val="22"/>
        </w:rPr>
        <w:t xml:space="preserve">B. Companion Workbook Tab Reference</w:t>
      </w:r>
    </w:p>
    <w:p>
      <w:pPr>
        <w:spacing w:after="60"/>
        <w:ind w:left="360"/>
      </w:pPr>
      <w:r>
        <w:rPr>
          <w:rFonts w:ascii="Arial" w:cs="Arial" w:eastAsia="Arial" w:hAnsi="Arial"/>
          <w:sz w:val="22"/>
          <w:szCs w:val="22"/>
        </w:rPr>
        <w:t xml:space="preserve">C. Companion Templates Pack Reference</w:t>
      </w:r>
    </w:p>
    <w:p>
      <w:pPr>
        <w:spacing w:after="60"/>
        <w:ind w:left="360"/>
      </w:pPr>
      <w:r>
        <w:rPr>
          <w:rFonts w:ascii="Arial" w:cs="Arial" w:eastAsia="Arial" w:hAnsi="Arial"/>
          <w:sz w:val="22"/>
          <w:szCs w:val="22"/>
        </w:rPr>
        <w:t xml:space="preserve">D. Artifact Scaling Guide</w:t>
      </w:r>
    </w:p>
    <w:p>
      <w:pPr>
        <w:spacing w:after="60"/>
        <w:ind w:left="360"/>
      </w:pPr>
      <w:r>
        <w:rPr>
          <w:rFonts w:ascii="Arial" w:cs="Arial" w:eastAsia="Arial" w:hAnsi="Arial"/>
          <w:sz w:val="22"/>
          <w:szCs w:val="22"/>
        </w:rPr>
        <w:t xml:space="preserve">E. Adapting to Other Tooling</w:t>
      </w:r>
    </w:p>
    <w:p>
      <w:r>
        <w:br w:type="page"/>
      </w:r>
    </w:p>
    <w:p>
      <w:pPr>
        <w:pStyle w:val="Heading1"/>
        <w:spacing w:after="200" w:before="360"/>
      </w:pPr>
      <w:r>
        <w:rPr>
          <w:rFonts w:ascii="Arial" w:cs="Arial" w:eastAsia="Arial" w:hAnsi="Arial"/>
          <w:b/>
          <w:bCs/>
          <w:color w:val="1F3864"/>
          <w:sz w:val="36"/>
          <w:szCs w:val="36"/>
        </w:rPr>
        <w:t xml:space="preserve">Part 1 — Project Lifecycle Artifacts</w:t>
      </w:r>
    </w:p>
    <w:p>
      <w:pPr>
        <w:spacing w:after="200"/>
      </w:pPr>
      <w:r>
        <w:rPr>
          <w:rFonts w:ascii="Arial" w:cs="Arial" w:eastAsia="Arial" w:hAnsi="Arial"/>
          <w:sz w:val="22"/>
          <w:szCs w:val="22"/>
        </w:rPr>
        <w:t xml:space="preserve">These are the artifacts every project uses, regardless of industry, methodology, or tooling. Each artifact is consolidated — meaning a 'Stakeholder Register' is one artifact (one page or one tab), not a collection of fragments. Risks live with assumptions, issues, and dependencies in the RAID Log because that's how teams use them in practice. Decisions live with change requests because both record 'something changed, here's why.'</w:t>
      </w:r>
    </w:p>
    <w:p>
      <w:pPr>
        <w:spacing w:after="240"/>
      </w:pPr>
      <w:r>
        <w:rPr>
          <w:rFonts w:ascii="Arial" w:cs="Arial" w:eastAsia="Arial" w:hAnsi="Arial"/>
          <w:i/>
          <w:iCs/>
          <w:sz w:val="22"/>
          <w:szCs w:val="22"/>
        </w:rPr>
        <w:t xml:space="preserve">Each artifact has an AI enablement callout describing specific ways AI can make that artifact dynamic — drawn from the AI capability catalog in Appendix A.</w:t>
      </w:r>
    </w:p>
    <w:p>
      <w:pPr>
        <w:pStyle w:val="Heading1"/>
        <w:spacing w:after="200" w:before="360"/>
      </w:pPr>
      <w:r>
        <w:rPr>
          <w:rFonts w:ascii="Arial" w:cs="Arial" w:eastAsia="Arial" w:hAnsi="Arial"/>
          <w:b/>
          <w:bCs/>
          <w:color w:val="1F3864"/>
          <w:sz w:val="36"/>
          <w:szCs w:val="36"/>
        </w:rPr>
        <w:t xml:space="preserve">INITIATE</w:t>
      </w:r>
    </w:p>
    <w:p>
      <w:pPr>
        <w:pStyle w:val="Heading2"/>
        <w:spacing w:after="160" w:before="320"/>
      </w:pPr>
      <w:r>
        <w:rPr>
          <w:rFonts w:ascii="Arial" w:cs="Arial" w:eastAsia="Arial" w:hAnsi="Arial"/>
          <w:b/>
          <w:bCs/>
          <w:color w:val="2E75B6"/>
          <w:sz w:val="28"/>
          <w:szCs w:val="28"/>
        </w:rPr>
        <w:t xml:space="preserve">1. Project Charter</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Authorize the project and align everyone on why it exists, what it will deliver, who owns it, and how success is measured. The single source of truth referenced throughout the project lifecycle.</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Drafted during Initiate; approved before any significant work starts; revisited at major change points.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drafts; sponsor approves.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at kickoff; updated only when scope, budget, or governance materially changes.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'Charter' (live); Templates Pack §4 has fillable doc form. The Charter doc is the contract; the workbook tab is the working reference.</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identification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ID, sponsor, TPM, date, version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Business case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Problem or opportunity, strategic alignment, expected business value (quantified where possible), cost of not doing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Objectives &amp; success criteria</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3–5 SMART objectives, measurable success criteria, KPIs with targets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In-scope deliverables, explicit out-of-scope, assumptions, constraints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Deliverables &amp; milestones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Major deliverables and top-level milestone dates (detail lives in Schedule)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Stakeholders &amp; governance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 steering committee, decision-making model, escalation path</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Budget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Approved amount, funding source, budget authority for overages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High-level risks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Top 3–5 risks at kickoff (full register lives in RAID Log)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 PMO, Finance, Legal/Security/Compliance as required — name, date, signature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Auto-extract the business case from sponsor interviews and existing strategy docs.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comparable past projects and benchmark scope, cost, and timeline.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missing required sections and flag for completion before approval.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sponsor-tailored vs working-team-tailored versions from one source.</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charter is a contract between the project and the organization. If it's not signed, the project shouldn't have started.</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 Project Kickoff Pack</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Three coordinated artifacts that travel together: pre-read (sent 2–3 business days before kickoff), agenda, and deck outline. Goal is for everyone to arrive at the kickoff meeting already aligned, so the meeting is a conversation, not a presentation.</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Initiate phase, immediately after Charter is approved and before significant work begins.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creates; sponsor reviews pre-read before distribution.</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at project kickoff.</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§1 has fillable doc forms for all three artifacts.</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Pre-read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Why we're doing this, what we're delivering, success criteria, timeline, roles, what's needed before kickoff, agenda preview</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Agenda</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60–90 minute structured agenda with timing, topic, owner, outcome per segment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Deck outline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13-slide structure: cover, why, outcomes, scope, deliverables, approach, timeline, roles, governance, risks, cadence, asks, Q&amp;A</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Auto-draft the pre-read from the approved Charter and Stakeholder Register.</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audience-tailored deck variants (exec vs working team) from a single content source.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Pre-populate agenda timing based on past kickoffs of similar size and complexity.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Capture meeting notes during kickoff and surface action items, decisions, and risks into the workbook tabs.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 kickoff meeting where people are reading slides for the first time is a wasted meeting. The pre-read does the heavy lifting; the meeting handles alignment, debate, and asks.</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3. Stakeholder Register &amp; Engagement Plan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Identify everyone who matters to or is affected by the project, classify their influence and interest, and define how to engage each one over time.</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during Initiate; reviewed and updated throughout — stakeholders change as the project evolves.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owns; updated in collaboration with sponsor and OCM lead (if engaged).</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Monthly review at minimum; immediately on org changes affecting key stakeholders.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'Stakeholders' with dropdowns for influence/interest/RACI/engagement.</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Identification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role/title, org/department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Classification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Influence (High/Med/Low), Interest (High/Med/Low)</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RACI</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Responsible / Accountable / Consulted / Informed for this project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Engagement level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Champion / Supportive / Neutral / Resistant / Blocker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Engagement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Preferred channel, communication needs, cadence, key messages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Notes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Specific concerns, history with similar projects, watch-outs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Suggest stakeholders based on org chart, project type, and similar past projects — flag those typically missed.</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stakeholder engagement drift — who hasn't been engaged at the cadence their RACI level implies.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Predict resistance based on prior change history and recommend tailored engagement approach.</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Auto-summarize stakeholder sentiment from comms patterns and surface shifts.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 stakeholder register without an engagement plan is just a contact list. The plan is what makes it useful.</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4. RACI Matrix</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Decision-level accountability map. For each major activity or decision, who is Responsible (does the work), Accountable (owns the outcome), Consulted (input before decision), or Informed (notified after).</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during Initiate, refined during Plan, revisited after team or governance changes.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drafts; sponsor approves.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creation; reviewed when org or governance materially changes.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'RACI' with auto-validation that each activity has exactly one Accountable; Templates Pack §3 has fillable doc form with sample matrix.</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Activities / decisions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Rows: the major activities and decisions in the project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Roles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Columns: the project roles (Sponsor, TPM, Eng Lead, QA, Business, Security, Compliance, Vendor, etc.)</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RACI assignment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 / A / C / I for each cell</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Integrity check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Each row should have exactly one A; the workbook auto-flags violations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Role definitions &amp; rules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Doc-form RACI captures role definitions, rules, and the approved baseline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Auto-draft a starting RACI from the charter, deliverables, and stakeholder register.</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Validate RACI integrity — flag any activity without exactly one Accountable.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role overload — surface stakeholders who are A on too many activities.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role-by-decision adjustments based on similar past projects.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most-violated rule is 'one A per row.' If two people are accountable, no one is. Use R/A or A/R sparingly — they often hide insufficient delegation.</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PLAN</w:t>
      </w:r>
    </w:p>
    <w:p>
      <w:pPr>
        <w:pStyle w:val="Heading2"/>
        <w:spacing w:after="160" w:before="320"/>
      </w:pPr>
      <w:r>
        <w:rPr>
          <w:rFonts w:ascii="Arial" w:cs="Arial" w:eastAsia="Arial" w:hAnsi="Arial"/>
          <w:b/>
          <w:bCs/>
          <w:color w:val="2E75B6"/>
          <w:sz w:val="28"/>
          <w:szCs w:val="28"/>
        </w:rPr>
        <w:t xml:space="preserve">5. Integrated Project Plan / Workbook</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consolidated working document for the project. Brings together schedule, resources, budget, requirements, and tracking logs in one place so the TPM and team aren't switching between disconnected files.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immediately after charter approval; lives throughout the project.</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owns the workbook; team members update their respective tabs.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review of all tabs at status meeting; daily updates as work progresses.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PMO_Project_Workbook.xlsx — the entire workbook is this artifact.</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Cover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ID + tab map; the workbook home page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Charter / Stakeholders / RACI / 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Foundational artifacts (§1, §3, §4, §6)</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RAID Log / Schedule / Resources / Budget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Live planning and execution artifacts (§11, §12, §13, §14)</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Decisions &amp; Changes / Status Reports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Running history (§19, §18)</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UAT Log / Lessons Learned / Closeout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Test, learn, close (§21, §22, §23)</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Post-Incident Actions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Cross-incident corrective action tracker (§32)</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Pull updates across tabs from chat, email, and meeting transcripts — kill manual data entry.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cross-tab inconsistencies (e.g., milestone in Schedule that has no resource assigned).</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schedule and budget completion based on actuals and similar past projects.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the Status Report row automatically from the other tabs each cycle.</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workbook is the central artifact. Every other live working artifact points back to it. A TPM should be able to brief on the project from the workbook alone.</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6. Business Requirements Document (BRD)</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Captures what the business needs from the project, in business language. Approved by the business owner before technical design begins.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Plan phase, immediately after Charter and before Technical Spec.</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or Business Analyst drafts; business owner approves.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creation; revised when business requirements change (versioned).</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§4 has fillable BRD; Workbook 'Requirements' tab tracks each BR row through implementation and test.</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Executive summary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2–4 sentences capturing what and why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Background &amp; business context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Current state, drivers for change, strategic alignment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Business objectives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3–5 SMART objectives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In/out, assumptions, constraints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Stakeholders &amp; user groups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Who will use the result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Business 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 requirement, priority (MoSCoW), acceptance criterion, source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Process flows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As-is / to-be where applicable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Data 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Business view of data; detailed model in Tech Spec</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Compliance &amp; regulatory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Regulations and the requirements they impose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Risks &amp; open issues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Cross-reference RAID Log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Business owner, sponsor, TPM, compliance/legal as needed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Auto-extract requirement candidates from sponsor interviews, customer feedback, and existing process docs.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ambiguity ('the system should be fast', 'it must be user-friendly') and prompt for measurable rewrites.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Auto-trace requirements to the workbook Requirements tab and to test cases.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Flag requirements that aren't testable or don't have an acceptance criterion.</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BRD is the business's contract for what they want. The Tech Spec is engineering's contract for what they'll build. UAT is how we know we delivered the BRD.</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7. Technical Requirements / Functional Specification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Translates business requirements into technical and functional requirements engineering can build against. Approved by the technical lead and the business owner.</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Plan phase, after BRD approval, before significant development.</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Engineering lead or architect drafts; technical owner approves; business owner acknowledges.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creation; versioned as architecture or major design decisions evolve.</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§5.</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Document control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Version, owners, status, linked BRD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Solution overview</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What's being built in technical terms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Architecture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System context, high-level architecture, technology stack, alternatives considered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Functional 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 requirement, linked BR, acceptance criterion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Non-functional 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Performance, scalability, availability, reliability, security, privacy, usability, maintainability, observability, compliance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Data model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Entities, relationships, classification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Integrations &amp; interfaces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Systems, integration types, directions, frequencies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Security design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Auth, authorization, encryption, secrets, audit, threat model</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Deployment &amp; operations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Environments, pipeline, DR, on-call</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Open technical questions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Carry to Decisions &amp; Changes Log when resolved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Tech owner, architecture review, security, business owner ack</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a draft Tech Spec from the BRD by pattern-matching against architecture in similar past projects.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Validate that every BR row has at least one supporting FR or NFR.</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missing non-functional requirements by comparing against checklists.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technical debt and architecture risks introduced by the proposed approach.</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most-skipped section is non-functional requirements. They're the most expensive to retrofit — performance, security, and reliability requirements should be set early.</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8. Communications Plan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Defines what gets communicated to whom, through which channel, at what cadence, with what message. The artifact most projects under-do.</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Plan phase; refined as stakeholder needs become clearer.</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or comms lead; coordinated with OCM lead.</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Monthly review; ad-hoc updates for major announcements or escalations.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§6 has fillable Communications Plan.</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Communication objectives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this plan must achieve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Audience map</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audience: why we communicate, key messages, channel, frequency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Channel guidance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Which channel for which type of message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Message framework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audience: core message, supporting points, proof</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Communications calendar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Standing comms scheduled in advance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Crisis &amp; escalation comms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Triggers, comms lead, escalation path, pre-approved holding statements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Effectiveness measurement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we know the comms are working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Tailor message variants per audience automatically — exec summary vs detailed team update vs customer-facing.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Schedule and send recurring updates from workbook tabs without manual work.</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Measure effectiveness — open rates, engagement, sentiment — and surface where comms aren't landing.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comm gaps: stakeholders not receiving updates aligned to their RACI involvement level.</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Most projects over-communicate to too many people, under-communicate to the ones who matter, and never measure whether the comms worked. The plan should fix all three.</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9. Organizational Change Management (OCM) Plan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Manages the human side of change — adoption, resistance, sponsorship, training, reinforcement. The Communications Plan is one component of OCM but not the whole thing.</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Plan phase, for projects with meaningful behavioral, process, role, or tooling change.</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OCM lead (dedicated for major change) or TPM (for lighter change).</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Living document — updated as adoption metrics come in.</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§7 has fillable OCM Plan.</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Change vision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What's changing, why, future-state vision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Change impact assessment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affected group: what changes, impact level, resistance risk, adoption complexity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Sponsorship &amp; coalition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Active, visible sponsor activities — not just endorsement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Resistance management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Anticipated sources, concerns, response approach</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Training strategy (high level)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Audiences, modalities, timing, success metrics — links to Training &amp; Awareness Plan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Communications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OCM-specific comms — coordinate with Communications Plan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Reinforcement &amp; sustainment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adoption is sustained 6+ months post-launch</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Adoption metrics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Usage, compliance, sentiment, productivity, resistance indicators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Risks to adoption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Cross-reference RAID Log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 OCM lead, TPM, HR partner if applicable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Score change impact and resistance risk per stakeholder group based on past adoption patterns.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interventions tailored to each group's resistance profile.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adoption metrics in real time and surface where reinforcement is failing.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Personalize change messaging by role, tenure, and prior change history.</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Resistance is information, not opposition. Address the concern to address the resistance. Sponsor 'support' is not an OCM activity — name what the sponsor will actually do, when.</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10. Training &amp; Awareness Plan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Operationalizes the training strategy from the OCM Plan. Specifies who is trained on what, when, by whom, in what format, with what assessment.</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Plan phase; refined as launch approaches.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Training lead or OCM lead.</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Detailed plan locked 4–8 weeks before launch; refreshed for waves and reinforcement.</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§8 has fillable Training &amp; Awareness Plan.</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Training objectives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Measurable outcomes — what people can do after training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Audiences &amp; learning needs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Current state, required state, learning gap per audience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Curriculum</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Modules with audience, learning objectives, duration, modality, owner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Delivery schedule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Waves: pre-launch, launch waves, post-launch reinforcement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Assessment &amp; completion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tracked, assessment method, pass criteria</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Awareness activities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Broader, lighter activities for non-trained audiences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Effectiveness metrics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Completion, comprehension, application, confidence, help desk volume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Logistics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Environments, materials hosting, train-the-trainer, localization, accessibility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role-specific training content variants from a single source-of-truth knowledge base.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Personalize training paths based on existing skills and prior training history.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Auto-assess comprehension and adapt the path when learners struggle with specific concepts.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completion and competence in real time; surface where reinforcement is needed.</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Awareness is not training. Awareness is broader and lighter, designed to ensure people who aren't being trained still understand what's happening.</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11. RAID Log</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Single integrated log for Risks, Assumptions, Issues, and Dependencies. These four are managed together because they interact.</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during Plan; reviewed weekly throughout Execute and Monitor.</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owns; each entry has a named owner.</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review at status meeting; ad-hoc for new high-severity items.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'RAID Log' with auto-scoring and color coding.</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Sequential identifier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Type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 / Assumption / Issue / Dependency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Description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Plain-language description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Likelihood × Impact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Auto-scored High/Medium/Low; combined score for prioritization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Open / Mitigating / Monitoring / Closed / Realized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Owner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Single named person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Dates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Date raised, target close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Mitigation / response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For risks: prevention/response. Issues: resolution. Dependencies: who we're chasing. Assumptions: validation.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risks from chat/email patterns before they're formally logged.</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Score likelihood × impact based on historical similar risks across the org.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Auto-route risks to the right owner based on type and project phase.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Predict which risks will become issues based on early warning signals.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reason this is one log instead of four: the same item often shifts categories (assumption fails → becomes a risk → becomes an issue). Keeping them together preserves history.</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12. Schedule &amp; Milestone Tracker</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Top-level project schedule showing major milestones, deliverables, owners, and status. Detailed task management lives in the work-tracking tool.</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during Plan; updated weekly throughout Execute.</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owns; deliverable owners update status.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update at minimum; immediately on milestone shifts.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'Schedule' with status conditional formatting.</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Milestone / deliverable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and brief description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Owner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Single DRI</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Phase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Initiate / Plan / Execute / Monitor / Close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Planned dates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Planned start, planned end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Actual dates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Actual end (when complete)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Not Started / In Progress / Complete / Delayed / At Risk / Blocked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Dependencies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must complete first; cross-reference RAID Log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slippage on milestones based on velocity, blockers, and past similar work.</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Suggest schedule re-sequencing when dependencies shift.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when a milestone marked 'On-Track' is actually trending Off-Track based on activity signals.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Auto-update milestone status from the work-tracking tool's actuals.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This is not a Gantt chart — Gantt views belong in the work-tracking tool. This artifact is the executive-readable summary.</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13. Resource Plan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Identify who is on the project, in what role, at what allocation, and at what cost. Forms the basis for both labor budget and capacity planning.</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during Plan; updated as team composition changes.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owns; resource managers approve allocations from their teams.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review at status meeting; immediate update on team changes.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'Resources' with auto-calculated allocation summaries.</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Identification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role on project, home department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Type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FTE / Contractor / Vendor / Part-time / Advisor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Allocation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 of time on this project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Duration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Start date and end date on the project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Hourly or loaded rate (used in Budget tab)</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Notes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Specific responsibilities, dependencies on other projects, skills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Summary metrics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Total FTE allocation, total contractor allocation, headcount</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resource conflicts across projects in the portfolio before they happen.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reassignments when a key resource is pulled onto another priority.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skill coverage gaps and recommend training or hiring.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over-allocation across the portfolio (people booked &gt;100%).</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Allocations exceeding 100% across projects are a portfolio-level problem — surface them to PMO leadership.</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14. Project Budget</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Track approved budget against actual spend by category. Provide variance analysis and forecast at completion (EAC) for governance.</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Built during Plan; updated at every month-end close.</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owns; Finance partner reviews.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Monthly close minimum; weekly review for high spend velocity.</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'Budget' with formulas for variance, % used, EAC, VAC.</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Header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Total approved budget, currency, as-of date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Categories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Labor (internal/contractor), Vendors/SOWs, Software, Hardware, Travel, Training, Comms, Contingency, Other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category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Planned, Committed (under contract), Actual to date, Variance, % used, Notes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Totals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Auto-summed across categories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Forecast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Estimate at completion (EAC), Variance at completion (VAC), Burn rate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EAC dynamically based on burn rate and remaining work.</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Flag spend categories trending over budget before month-end close.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Identify cost optimization opportunities by comparing to similar past projects.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Auto-classify expenses into budget categories from invoice and PO data.</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'Committed' is the often-missed category — money under contract but not yet paid. Excluding it is how budgets surprise people at month-end.</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PROCURE</w:t>
      </w:r>
    </w:p>
    <w:p>
      <w:pPr>
        <w:pStyle w:val="Heading2"/>
        <w:spacing w:after="160" w:before="320"/>
      </w:pPr>
      <w:r>
        <w:rPr>
          <w:rFonts w:ascii="Arial" w:cs="Arial" w:eastAsia="Arial" w:hAnsi="Arial"/>
          <w:b/>
          <w:bCs/>
          <w:color w:val="2E75B6"/>
          <w:sz w:val="28"/>
          <w:szCs w:val="28"/>
        </w:rPr>
        <w:t xml:space="preserve">15. Request for Proposal (RFP)</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Solicitation document sent to candidate vendors. Defines what we're buying, the evaluation process, and what vendors must submit.</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Procure phase, after BRD and Tech Spec are stable enough to bid against.</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partners with Procurement; business owner approves scope.</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per procurement.</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§9 has fillable RFP.</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Introduction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About us, purpose of this RFP</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Background &amp; context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vendors need to know to propose well</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Scope of work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 scope, out of scope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Mandatory (Must-Have) and Desirable (scored), with vendor response columns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Service levels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Required SLAs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Security, compliance, privacy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Certifications, data handling, audit rights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Implementation approach</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Vendor describes their proposed approach</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Pricing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Structured template — comparable responses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Vendor qualifications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Company, customer base, references, team</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Evaluation criteria</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Weighted criteria, transparent to vendors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Process &amp; timeline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RFP issued through contract signed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Submission instructions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Format, method, deadline, single contact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Terms &amp; conditions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Standard procurement terms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an RFP draft from the BRD and Technical Spec, ensuring requirements are testable and bid-able.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Compare vendor responses to the structured RFP and produce a normalized comparison automatically.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inconsistencies between vendor proposal claims and reference customer reports.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Flag when vendor responses use marketing language without committing to specific deliverables or SLAs.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 well-structured RFP saves weeks of evaluation later because responses are comparable. A bad RFP produces marketing brochures.</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16. RFP Scoring Rubric</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Used by the evaluation team to score vendor responses against the criteria stated in the RFP.</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Procure phase, after vendor proposals are received.</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Evaluation team chair (typically TPM or business owner).</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per procurement; calibrated as a group after independent scoring.</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§10 has fillable scoring rubric and reference check template.</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Scoring methodology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1–5 scale with rubric definitions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Per-vendor scorecard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Criteria, weight, score, weighted result, evidence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Evaluator calibration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Independent scoring, gap discussion, revised scores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Reference check template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Structured questions across 3 references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Award recommendation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Recommended vendor, strengths, gaps, mitigation, sign-off</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Auto-extract vendor responses to each requirement and produce a side-by-side comparison.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Pre-score requirement-fit dimensions based on response content; humans review and confirm.</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score outliers across evaluators and surface for calibration discussion.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Validate vendor claims against reference customer feedback and public benchmarks.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Scoring should be done independently first, then calibrated as a group. Group scoring without independent baselines surfaces only the loudest voice.</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17. Statement of Work (SOW)</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contractual document defining scope, deliverables, schedule, pricing, and acceptance for vendor work.</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Procure phase, after vendor selection and before work begins.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partners with Procurement and Legal.</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per engagement; amended via Change Orders.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§11.</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Document control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SOW ID, parties, MSA reference, effective date, term</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Background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Why this engagement exists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Scope of work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Vendor responsibilities, client responsibilities, out of scope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Deliverables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 name, description, acceptance criterion, target date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Schedule &amp; milestones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Linked to deliverables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Pricing &amp; payment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Engagement type, total fees, payment schedule, expenses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Acceptance process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deliverables are reviewed and accepted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governance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Vendor PM, client PM, status reporting, escalation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Change control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Process for SOW changes via Change Order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Service levels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SLAs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Personnel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Key personnel named, replacement consent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Issue resolution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Escalation tiers and resolution timing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Confidentiality, IP, data</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Standard contractual protections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Signatures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Both parties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Auto-generate SOW first draft from the awarded RFP response and the BRD.</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ambiguous deliverable language ('best effort', 'reasonable timeframe') and prompt for measurable rewrites.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Compare against template SOWs for similar past engagements to flag missing standard clauses.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SOW execution status against deliverables and milestones, surfacing slippage early.</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Where most vendor disputes originate is in vague SOWs — be specific. 'Acceptance criterion' is the single most-skipped field and the single most-disputed during projects.</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EXECUTE &amp; MONITOR</w:t>
      </w:r>
    </w:p>
    <w:p>
      <w:pPr>
        <w:pStyle w:val="Heading2"/>
        <w:spacing w:after="160" w:before="320"/>
      </w:pPr>
      <w:r>
        <w:rPr>
          <w:rFonts w:ascii="Arial" w:cs="Arial" w:eastAsia="Arial" w:hAnsi="Arial"/>
          <w:b/>
          <w:bCs/>
          <w:color w:val="2E75B6"/>
          <w:sz w:val="28"/>
          <w:szCs w:val="28"/>
        </w:rPr>
        <w:t xml:space="preserve">18. Weekly Status Report</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recurring snapshot of project health. Replaces meetings, reduces back-and-forth, and creates a historical record of how the project trended over time.</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Throughout Execute and Monitor — weekly cadence is standard.</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authors; sponsor and steering committee are the primary audience.</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distributed by end of day on a fixed day.</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'Status Reports' (running history — append a new row each week).</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Header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Report date, reporting period, reported by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Overall status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On-Track / At-Risk / Off-Track with rationale (rationale required when not On-Track)</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Key accomplishments this period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shipped, completed, milestones hit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Planned for next period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What's targeted next cycle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Top risks / issues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From RAID Log — top 3–5 with status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Asks / blockers needing escalation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you need from leadership</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Metrics snapshot (optional)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Schedule variance, budget variance, milestone completion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Auto-draft the status row from the other workbook tabs (Schedule, RAID, Budget, Decisions) each cycle.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when the reported R/A/G doesn't match the underlying data and prompt for explanation.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Personalize the status report per audience — exec summary vs working team detail.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trends over multiple weeks: is the status truly stable, or steadily worsening?</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Status reports should be readable in 2 minutes. If yours takes longer, you're writing the wrong thing.</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19. Decisions &amp; Changes Log (combined)</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Single append-only record of every key project decision and every approved scope/schedule/budget change. Both record 'something changed, here's why' — combining them prevents the most common PM confusion ('which log do I put this in?') and ensures one place to look.</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Throughout Execute — append entries as decisions are made or change requests approved.</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maintains; decision-makers and change approvers contribute.</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Append as events occur; review monthly to ensure nothing was missed.</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'Decisions &amp; Changes' with Type column to filter.</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Sequential identifier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When the decision was made or change approved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Type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Decision / Change Request — Scope / Change Request — Schedule / Change Request — Budget / Change Request — Resources / Multiple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Description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was decided or what changed, in plain language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Rationale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Why this option vs alternatives — preserves reasoning for future review</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Impact (for changes)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Schedule impact (days), budget impact ($), scope impact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Decision-maker / approver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Single named person with authority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Stakeholders consulted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Who provided input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Active / Superseded / Reversed (decisions); Submitted / Under Review / Approved / Rejected / Implemented (changes)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Extract decisions and change events from meeting transcripts and chat threads automatically.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when a current decision contradicts a prior one and flag for explicit supersedence.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Auto-classify Type from description — does this need a formal change workflow or is it a decision?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decisions whose rationale no longer holds (assumptions changed) and prompt for review.</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Append-only — never delete. If a decision is reversed or a change is rolled back, mark the original superseded and add a new row. The history matters as much as the current state.</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20. Steering Committee / Governance Pack</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recurring deliverable for executive governance. Combines status, key decisions needed, risks requiring leadership attention, and budget into a single pack for the steering committee.</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Throughout Execute and Monitor — typically monthly for large programs, bi-weekly for high-velocity projects.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compiles; sponsor presents.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Monthly or bi-weekly; aligned to steering meeting schedule.</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Document (typically PowerPoint or Google Slides), assembled from workbook tabs.</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Cover slide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name, period, status, sponsor, presenter, date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Executive summary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1-page: status, top wins, top concerns, decisions needed today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 overview</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Schedule, scope, budget, resources — each with R/A/G + commentary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Milestones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Recently completed, upcoming, slipping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Top risks &amp; issues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From RAID Log — top 5, with mitigation status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Decisions needed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the steering committee must decide this meeting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Asks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Resources, budget, executive sponsorship needs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Appendix (optional)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Detailed schedule, full RAID, financial detail — for reference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Assemble the pack automatically from workbook tabs each cycle — TPM reviews and refines, doesn't build from scratch.</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Tailor the pack per steering audience (board vs working steering vs sponsor 1:1).</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decisions needed by analyzing what's blocked or pending across the workbook.</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Highlight items that have been on the agenda multiple meetings without resolution.</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executive summary should fit on one slide. If the steering committee can't make the decisions you need them to make from the pack, you've overloaded it with status and underloaded it with asks.</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TEST &amp; DEPLOY</w:t>
      </w:r>
    </w:p>
    <w:p>
      <w:pPr>
        <w:pStyle w:val="Heading2"/>
        <w:spacing w:after="160" w:before="320"/>
      </w:pPr>
      <w:r>
        <w:rPr>
          <w:rFonts w:ascii="Arial" w:cs="Arial" w:eastAsia="Arial" w:hAnsi="Arial"/>
          <w:b/>
          <w:bCs/>
          <w:color w:val="2E75B6"/>
          <w:sz w:val="28"/>
          <w:szCs w:val="28"/>
        </w:rPr>
        <w:t xml:space="preserve">21. UAT Plan &amp; Test Cases</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User Acceptance Testing — the final test phase where the people who will actually use the system validate it does what they need. UAT is the business owner's tool, not engineering's.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Test &amp; Deploy phase, after engineering testing complete.</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UAT lead (business-side, not eng).</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Per release; entry/exit gates are formal approvals.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§12 has fillable UAT Plan; Workbook tab 'UAT Log' for live test execution with auto-calculated pass rate.</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UAT objectives &amp; scope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What's being validated, what's out of scope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Approach</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Environment, testers, session structure, defect logging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Entry criteria</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must be true before UAT starts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Exit criteria</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must be true before UAT signs off</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Defect severity definitions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Critical / Major / Minor / Cosmetic with resolution requirements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Roles &amp; responsibilities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UAT lead, testers, eng, TPM, business owner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Schedule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Preparation, execution waves, defect fix &amp; retest, sign-off</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Test cases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 description, linked requirement, test data, expected result, priority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Defect triage process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defects are logged, triaged, fixed, retested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Sign-off</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Formal acceptance from business owner</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UAT test cases automatically from BRD requirements and user stories.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requirements that don't have test coverage and prompt for additional cases.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Triage UAT defects: cluster similar issues, surface patterns, recommend severity.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Predict UAT pass rate from early test execution and flag risk to go-live timeline.</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If UAT testers are proxies (BAs running the test, not real end users), you're not doing UAT — you're doing integration testing in business clothing.</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CLOSE</w:t>
      </w:r>
    </w:p>
    <w:p>
      <w:pPr>
        <w:pStyle w:val="Heading2"/>
        <w:spacing w:after="160" w:before="320"/>
      </w:pPr>
      <w:r>
        <w:rPr>
          <w:rFonts w:ascii="Arial" w:cs="Arial" w:eastAsia="Arial" w:hAnsi="Arial"/>
          <w:b/>
          <w:bCs/>
          <w:color w:val="2E75B6"/>
          <w:sz w:val="28"/>
          <w:szCs w:val="28"/>
        </w:rPr>
        <w:t xml:space="preserve">22. Lessons Learned Register</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Capture what worked and what didn't in a form that's reusable for future projects. Distinct from the Retrospective — the retro is the discussion, the register is the persistent record.</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Captured throughout the project, formalized at close.</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maintains during project; PMO maintains the cross-project repository.</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Append throughout; comprehensive review at close.</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'Lessons Learned'.</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 &amp; date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When the lesson was captured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Category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Process / Tools / Comms / Staffing / Vendor / Technical / Strategic / Stakeholder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Lesson / observation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Plain-language insight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Recommendation for next time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to do differently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Owner to share / apply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Who is accountable for propagating this lesson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Captured / Shared / Applied / In knowledge base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candidate lessons from retro outputs, status reports, and post-incident reviews automatically.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Match lessons to similar past lessons across the org — flag patterns of recurring issues.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which prior lessons apply to a new project starting up.</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'lesson decay' — captured lessons that aren't applied within X months of capture.</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 'captured' lesson that never gets shared is worthless. PMO leadership should track the % of lessons that move from Captured to Applied as a maturity metric.</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23. Project Closeout Report (with Benefits Realization)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Final accounting of the project: what was delivered vs charter, final budget, what benefits were realized vs promised, and what handoffs are required.</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Close phase — after all deliverables accepted but before team disbands.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authors; sponsor signs off.</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at close; benefits realization may have follow-up reviews at 6 and 12 months.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'Closeout'.</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Header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name, closeout date, reported by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Final outcomes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Objectives met, success criteria, scope/schedule/budget vs original</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Benefits realization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Expected value, realized to date, outstanding benefits, benefit owner post-closeout, measurement plan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Stakeholder feedback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 business, team</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Open items at close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Outstanding risks transferred, unfinished deliverables, operational handoff</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Lessons &amp; knowledge transfer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Top wins to repeat, top changes for next time, where lessons filed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Archive &amp; documentation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Workbook archive, supporting docs, retention period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 PMO, Finance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Auto-compile final outcomes by comparing closeout state to charter at every level.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Predict realized benefits at 6 and 12 months from current trajectory and flag at-risk items.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the closeout report draft from workbook tabs — TPM reviews and refines.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Match this project's outcomes against similar past projects to identify pattern wins and failures.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most-skipped section is Benefits Realization, and it's the most important. Charter said the project would deliver $X — closeout reports whether it did, and assigns someone to track ongoing realization.</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PROGRAM-LEVEL</w:t>
      </w:r>
    </w:p>
    <w:p>
      <w:pPr>
        <w:spacing w:after="240"/>
      </w:pPr>
      <w:r>
        <w:rPr>
          <w:rFonts w:ascii="Arial" w:cs="Arial" w:eastAsia="Arial" w:hAnsi="Arial"/>
          <w:sz w:val="22"/>
          <w:szCs w:val="22"/>
        </w:rPr>
        <w:t xml:space="preserve">Programs are coordinated sets of projects sharing a common strategic outcome. The artifacts in this section are the program-level equivalents of project artifacts — heavier because programs have more components, longer horizons, and benefits that materialize across initiatives, not just within one. Following PgMP-depth conventions: Program Charter, Program Governance &amp; Integration Management, and Program Benefits Realization.</w:t>
      </w:r>
    </w:p>
    <w:p>
      <w:pPr>
        <w:pStyle w:val="Heading2"/>
        <w:spacing w:after="160" w:before="320"/>
      </w:pPr>
      <w:r>
        <w:rPr>
          <w:rFonts w:ascii="Arial" w:cs="Arial" w:eastAsia="Arial" w:hAnsi="Arial"/>
          <w:b/>
          <w:bCs/>
          <w:color w:val="2E75B6"/>
          <w:sz w:val="28"/>
          <w:szCs w:val="28"/>
        </w:rPr>
        <w:t xml:space="preserve">24. Program Charter (Multi-Initiative)</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Authorizes the program — a coordinated set of projects sharing a common strategic outcome. Heavier than a project charter because programs have more components and benefits that materialize across initiatives.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Program inception, before component projects spin up.</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Program Manager drafts; Executive Sponsor approves.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at inception; updated when program scope, components, or governance materially changes.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§2 has fillable Program Charter.</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identification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ID, sponsor, manager, theme/pillar, components, duration, budget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Strategic context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Strategic outcome, why a program (not separate projects), strategic alignment, expected value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scope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Components (in-scope projects), out of scope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governance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Governance model, decision rights, reporting cadence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Integration management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Cross-component dependencies, shared resources, integration risks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benefits realization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Benefits map, sustainment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budget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Total budget, component allocations, contingency, funding source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risk profile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Top program-level risks (different from component risks)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Sponsor, PMO, Finance, component sponsors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Cluster intake-form initiatives into candidate programs based on goal similarity and dependency overlap.</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Roll up component-project benefits to test whether the program-level value case holds.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cross-component dependency conflicts and resource collisions early.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program-level executive summary from component-project status reports.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If you can't state the program's strategic outcome in one sentence, you don't have a program — you have a portfolio of unrelated projects.</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25. Program Governance &amp; Integration Management</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program-level equivalent of governance and execute/monitor — how the program is run across components. Defines decision rights at program vs component level, manages cross-component dependencies, and coordinates workstreams.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Throughout the program lifecycle.</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Program Manager; supported by component PMs.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program operating review; monthly steering committee; quarterly executive review.</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Set of artifacts assembled across multiple sources — typically a program SharePoint or Confluence space referencing component workbooks.</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operating model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decisions flow program ↔ components, who attends what forum, escalation paths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Cross-component dependency register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Dependencies between components — most common source of program failure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Shared resource management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Resources serving multiple components; contention surfaced proactively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Integration risks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Risks that exist only because we're running these together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Workstream coordination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Cross-component workstreams (architecture, security, OCM, integration)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Program-level RAID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Aggregated and program-specific items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reporting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Component → Program weekly; Program → Steering monthly; Program → Exec quarterly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cross-component dependency conflicts by comparing schedules and resource plans across components.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Roll up component status into a program-level health view automatically.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program-level risks that no single component is tracking but that affect the whole.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program completion and benefit timing from aggregated component trajectories.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Cross-component dependencies are where programs fail. Track them more carefully than within-component risks. The Program Manager's job is to manage the seams.</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26. Program Benefits Realization</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mechanism that ties program-level promised benefits to actual delivered outcomes. Programs typically deliver capabilities; the operating organization sustains them — benefits realization makes that handoff explicit.</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Defined at program inception (in Charter); tracked through program lifecycle; sustained 12+ months post-program.</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Program Manager during the program; named benefit owner post-program.</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Quarterly review during program; 6-month and 12-month post-program reviews.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Program Charter §Benefits + standalone Benefits Realization Plan referenced from program artifacts.</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Benefits map</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benefit: source component(s), realization timing, measurement, owner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Benefit interdependencies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Benefits that depend on multiple components delivering together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Realization timing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On-launch / 3 mo / 6 mo / 12 mo / 24 mo benefits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Measurement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each benefit is measured, by whom, how often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Sustainment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benefits are sustained after the program closes — receiving owner explicitly named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Course correction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triggers re-planning if benefits aren't materializing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realized benefits from current component trajectory and surface at-risk benefits.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benefit drift — when changes to component scope reduce expected program value.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benefits across multiple programs and identify reusable patterns.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Auto-schedule benefits review checkpoints with the right stakeholders.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Programs that don't track benefits realization end up as 'we shipped a lot' without proof of value. Benefit owners post-program are different from program manager — name them at inception, not at closeout.</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GOVERNANCE &amp; OPERATING</w:t>
      </w:r>
    </w:p>
    <w:p>
      <w:pPr>
        <w:pStyle w:val="Heading2"/>
        <w:spacing w:after="160" w:before="320"/>
      </w:pPr>
      <w:r>
        <w:rPr>
          <w:rFonts w:ascii="Arial" w:cs="Arial" w:eastAsia="Arial" w:hAnsi="Arial"/>
          <w:b/>
          <w:bCs/>
          <w:color w:val="2E75B6"/>
          <w:sz w:val="28"/>
          <w:szCs w:val="28"/>
        </w:rPr>
        <w:t xml:space="preserve">27. Project Intake Form</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standardized way new projects enter the portfolio. Forces a baseline of information before resources are committed.</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Before a project is approved or chartered.</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Requesting business owner submits; PMO intake reviews.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On-demand as new initiatives are proposed.</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Document or workbook entry — form-style intake.</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Requestor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role, department, sponsor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Initiative summary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Name, problem, solution, value (quantified), urgency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Strategic alignment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Corporate goal / OKR / pillar; alignment score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High-level scope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What's included, exclusions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Estimated cost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ROM — labor, vendors, tools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Estimated timeline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Desired start, end, drivers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Resource needs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Roles, FTE, special skills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Dependencies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Other initiatives, systems, vendors, regulatory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Risks / constraints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Known concerns at intake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Compliance / regulatory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Applicable regulations, data classification, security review</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Decision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Approved / Approved with conditions / Deferred / Rejected — with rationale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Auto-classify intake forms by strategic alignment, scope, and complexity for routing.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Compare new requests to similar past projects to flag likely cost, timeline, and risks.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duplicate or overlapping initiatives across the portfolio at intake.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Score and rank intake forms by strategic value and feasibility for prioritization meetings.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A good intake form prevents 80% of the bad project approvals. The PMO uses this to compare initiatives apples-to-apples.</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28. Portfolio Dashboard</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The cross-project view for PMO leadership and executives. Shows portfolio health, resource utilization, budget burn, and concentration risk across all active projects.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Throughout — a continuous artifact for the PMO.</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PMO leadership; populated from individual project workbooks.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snapshot; monthly PMO leadership review; quarterly to executives.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BI tool (Tableau, Power BI, Smartsheet dashboard) fed from project workbooks.</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Portfolio summary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Active projects (by phase), total budget, spend YTD, headcount allocated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Health by project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project: R/A/G, % complete, budget variance, schedule variance, top risk</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Resource utilization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By role/department: allocated %, capacity, over-allocation flags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Budget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By project: planned, actual, forecast, variance — and totals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Top portfolio risks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Risks rated High that span projects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Strategic alignment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 of portfolio spend per strategic pillar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Trend metrics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On-time delivery, on-budget delivery, charter-to-close cycle time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Aggregate project workbooks into the dashboard automatically — no manual roll-up.</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portfolio-level patterns (e.g., projects launched in Q1 consistently slip).</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Forecast portfolio health 90 days out based on current trajectory.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portfolio rebalancing when resource or budget concentration becomes risky.</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Build the portfolio dashboard from the same fields each project workbook tracks — that's the value of standardizing the workbook.</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29. Operating Model Document</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Codifies how a function, business unit, or program operates day-to-day after the project that built it ships. The durable description of how the work runs.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At program inception, organizational change, or scaling event.</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Function head; PMO supports drafting.</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One-time creation; reviewed annually or on material change.</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Templates Pack §13 has fillable Operating Model.</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Purpose &amp; mandate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the function exists to do, for whom</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In/out of scope, boundaries with adjacent functions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Organization structure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Org chart, role definitions, decision authority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Governance &amp; decision rights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Forums, frequency, attendees, decisions made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Core processes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5–10 processes that define how the function operates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Tools &amp; systems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Tech stack, integrations, owners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KPIs &amp; performance metrics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Durable performance indicators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Capacity &amp; workforce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Headcount, demand, skills, hiring, succession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Budget &amp; financial model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Annual operating budget, cost categories, allocation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External dependencies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Vendors, internal functions, regulators, customers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Continuous improvement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How operational lessons are captured and acted 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Risks to operating model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Key person risk, single-vendor risk, capacity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Approval &amp; review</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Sign-offs, last review, next review</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operating model drift — when actual practice diverges from documented model.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updates when org changes, tooling changes, or strategy shifts.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Generate role-specific playbooks from the operating model.</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Surface inefficiencies — duplicate processes, role overlap, decision bottlenecks.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This is heavyweight. For a small project, the Charter covers most of this. Operating models are for programs, business units, and PMO-of-PMOs scenarios.</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SPECIALIZED</w:t>
      </w:r>
    </w:p>
    <w:p>
      <w:pPr>
        <w:pStyle w:val="Heading2"/>
        <w:spacing w:after="160" w:before="320"/>
      </w:pPr>
      <w:r>
        <w:rPr>
          <w:rFonts w:ascii="Arial" w:cs="Arial" w:eastAsia="Arial" w:hAnsi="Arial"/>
          <w:b/>
          <w:bCs/>
          <w:color w:val="2E75B6"/>
          <w:sz w:val="28"/>
          <w:szCs w:val="28"/>
        </w:rPr>
        <w:t xml:space="preserve">30. Retrospective Pack</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Run a structured look-back to capture what worked, what didn't, and what changes for next time. The discussion itself; outputs feed the Lessons Learned Register.</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Sprint end (agile teams), phase boundaries, project close, after significant events.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TPM or Scrum Master facilitates; team participates.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Per sprint for agile teams; phase-end and project-end for waterfall/hybrid.</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Standalone facilitation pack — typically Miro/Mural board + post-meeting summary doc.</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Retro context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Project/sprint, period, facilitator, participants, format, psychological safety norms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Goals &amp; outcomes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Original objectives, actual outcomes, scope changes, KPIs, stakeholder satisfaction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went well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Specific wins, why they worked, what made them possible, reusable beyond this project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didn't go well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Issues (as systems, not people), impact, root cause via 5 Whys, contributing factors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Surprises &amp; unknowns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What blindsided the team, failed assumptions, missed signals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Team health &amp; sentiment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Workload sustainability, morale, burnout indicators, what energized/drained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Stakeholder feedback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Sources outside the immediate team — sponsor, customer, adjacent teams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Action items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3–5 max — specific change, owner, due date, success measure, status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Retro summary &amp; distribution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Executive summary, top 3 wins, top 3 issues, action items, follow-up at 30/60/90</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Pre-populate retro inputs from sprint metrics, status reports, and chat sentiment patterns.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Cluster team observations into themes during the retro to focus discussion.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retro action items across sprints and flag those that get re-discussed without resolution.</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Detect 'retro fatigue' — declining engagement that signals the format needs to change.</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Cap action items at 3–5 — more and nothing actually changes. Keep all retros blameless: describe systems and conditions, not individuals.</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31. Post-Incident Review Pack</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Everything that happens after an incident is closed: documentation, root cause analysis, customer communication, regulatory reporting, prevention, and team care. Distinct from incident response itself (real-time) — this is the aftermath. Corrective actions identified here feed the Post-Incident Action Tracker.</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Within 5 business days of incident closure for SEV-1 and SEV-2; per policy for lower severities.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Incident Commander leads the review; engineering, security, comms, legal contribute.</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Once per incident; trends reviewed quarterly across incidents.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Standalone post-mortem doc per incident; corrective actions flow to Post-Incident Action Tracker (workbook tab).</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Incident record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ID, title, severity, type, dates, TTD, TTR, downtime, IC, responders, affected systems/customers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Incident timeline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Minute-by-minute reconstruction — purely factual, no interpretation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Impact assessment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Customer, service, revenue, operational, data, regulatory, reputational, internal, third-party</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Root cause analysis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Symptom, trigger, direct cause, contributing factors, 5 Whys, root cause(s), why detection/response delayed, what prevented worse, blameless framing check</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Corrective actions (feed to Post-Incident Action Tracker)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Per action: description, type, root cause tied to, priority, owner, due, success measure, status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Detection &amp; response improvements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Detection gap, alerting, runbook, tooling, escalation, on-call, training gaps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Customer communication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Audience, channel, timing, post-incident report, accountability, commitments, follow-up, SLA credits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Regulatory &amp; compliance reporting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Regulations, threshold, deadline, authorities, notifications submitted, legal counsel, insurance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Post-mortem document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Shareable artifact with executive summary and full details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Cross-incident trends (quarterly)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Total incidents, recurring root causes, hotspots, MTTD/MTTR trends, completion rate, repeat incidents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Blameless culture &amp; team care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Responder hours, off-hours response, recovery time, psychological safety, recognition, manager 1:1s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Reconstruct the incident timeline from logs, chat, and alerting data automatically.</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Cluster similar incidents and surface recurring root causes across the org.</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Draft the post-mortem document; humans review and refine.</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Recommend corrective actions based on similar past incidents and their effective resolutions.</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The team care section is mandatory, not optional. Skipping it is how organizations burn out their best responders. Distinguish 'fix this specific bug' (immediate) from 'prevent this class of bug' (systemic) in corrective actions — both matter, but the systemic ones are higher leverage.</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32. Post-Incident Action Tracker</w:t>
      </w:r>
    </w:p>
    <w:p>
      <w:pPr>
        <w:spacing w:after="100"/>
      </w:pPr>
      <w:r>
        <w:rPr>
          <w:rFonts w:ascii="Arial" w:cs="Arial" w:eastAsia="Arial" w:hAnsi="Arial"/>
          <w:b/>
          <w:bCs/>
          <w:sz w:val="22"/>
          <w:szCs w:val="22"/>
        </w:rPr>
        <w:t xml:space="preserve">Purpose: </w:t>
      </w:r>
      <w:r>
        <w:rPr>
          <w:rFonts w:ascii="Arial" w:cs="Arial" w:eastAsia="Arial" w:hAnsi="Arial"/>
          <w:sz w:val="22"/>
          <w:szCs w:val="22"/>
        </w:rPr>
        <w:t xml:space="preserve">Cross-incident corrective action tracker. Standalone artifact because actions identified in any single post-mortem need to be tracked to closure across all incidents — without this, organizations 'learn the same lesson three times.' Also enables cross-incident pattern analysis (recurring root causes, systemic gaps).</w:t>
      </w:r>
    </w:p>
    <w:p>
      <w:pPr>
        <w:spacing w:after="100"/>
      </w:pPr>
      <w:r>
        <w:rPr>
          <w:rFonts w:ascii="Arial" w:cs="Arial" w:eastAsia="Arial" w:hAnsi="Arial"/>
          <w:b/>
          <w:bCs/>
          <w:sz w:val="22"/>
          <w:szCs w:val="22"/>
        </w:rPr>
        <w:t xml:space="preserve">When you use it: </w:t>
      </w:r>
      <w:r>
        <w:rPr>
          <w:rFonts w:ascii="Arial" w:cs="Arial" w:eastAsia="Arial" w:hAnsi="Arial"/>
          <w:sz w:val="22"/>
          <w:szCs w:val="22"/>
        </w:rPr>
        <w:t xml:space="preserve">Immediately after each post-incident review; tracked to closure with verification at 30/60/90 days.</w:t>
      </w:r>
    </w:p>
    <w:p>
      <w:pPr>
        <w:spacing w:after="100"/>
      </w:pPr>
      <w:r>
        <w:rPr>
          <w:rFonts w:ascii="Arial" w:cs="Arial" w:eastAsia="Arial" w:hAnsi="Arial"/>
          <w:b/>
          <w:bCs/>
          <w:sz w:val="22"/>
          <w:szCs w:val="22"/>
        </w:rPr>
        <w:t xml:space="preserve">Owner: </w:t>
      </w:r>
      <w:r>
        <w:rPr>
          <w:rFonts w:ascii="Arial" w:cs="Arial" w:eastAsia="Arial" w:hAnsi="Arial"/>
          <w:sz w:val="22"/>
          <w:szCs w:val="22"/>
        </w:rPr>
        <w:t xml:space="preserve">Security or SRE leadership owns the tracker; individual action owners drive their items.</w:t>
      </w:r>
    </w:p>
    <w:p>
      <w:pPr>
        <w:spacing w:after="100"/>
      </w:pPr>
      <w:r>
        <w:rPr>
          <w:rFonts w:ascii="Arial" w:cs="Arial" w:eastAsia="Arial" w:hAnsi="Arial"/>
          <w:b/>
          <w:bCs/>
          <w:sz w:val="22"/>
          <w:szCs w:val="22"/>
        </w:rPr>
        <w:t xml:space="preserve">Cadence: </w:t>
      </w:r>
      <w:r>
        <w:rPr>
          <w:rFonts w:ascii="Arial" w:cs="Arial" w:eastAsia="Arial" w:hAnsi="Arial"/>
          <w:sz w:val="22"/>
          <w:szCs w:val="22"/>
        </w:rPr>
        <w:t xml:space="preserve">Weekly review during active items; quarterly trend review across all closed/open actions.</w:t>
      </w:r>
    </w:p>
    <w:p>
      <w:pPr>
        <w:spacing w:after="100"/>
      </w:pPr>
      <w:r>
        <w:rPr>
          <w:rFonts w:ascii="Arial" w:cs="Arial" w:eastAsia="Arial" w:hAnsi="Arial"/>
          <w:b/>
          <w:bCs/>
          <w:sz w:val="22"/>
          <w:szCs w:val="22"/>
        </w:rPr>
        <w:t xml:space="preserve">Where it lives: </w:t>
      </w:r>
      <w:r>
        <w:rPr>
          <w:rFonts w:ascii="Arial" w:cs="Arial" w:eastAsia="Arial" w:hAnsi="Arial"/>
          <w:sz w:val="22"/>
          <w:szCs w:val="22"/>
        </w:rPr>
        <w:t xml:space="preserve">Workbook tab 'Post-Incident Actions' (cross-incident tracker).</w:t>
      </w:r>
    </w:p>
    <w:p>
      <w:pPr>
        <w:spacing w:after="80" w:before="100"/>
      </w:pPr>
      <w:r>
        <w:rPr>
          <w:rFonts w:ascii="Arial" w:cs="Arial" w:eastAsia="Arial" w:hAnsi="Arial"/>
          <w:b/>
          <w:bCs/>
          <w:sz w:val="22"/>
          <w:szCs w:val="22"/>
        </w:rP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Action ID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Sequential identifier across all incidents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Source incident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Incident ID this action came from</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Date raised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When the action was identified (post-mortem date)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Action description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Specific corrective action — measurable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Type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Code / Infrastructure / Process / Tooling / Training / Policy / Detection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Root cause addressed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Which root cause from the post-mortem this addresses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Priority</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P0 immediate / P1 within 30 days / P2 within 90 days / P3 backlog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Owner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Single named person accountable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Due date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Target completion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Open / In Progress / Complete / Verified / Re-incident occurred / Cancelled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Verification at 30/60/90 days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Did this action actually prevent recurrence? Verified by whom, how</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Linked similar actions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Cross-references to related actions from other incidents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6F" w:sz="4"/>
              <w:left w:val="single" w:color="5B2C6F" w:sz="12"/>
              <w:bottom w:val="single" w:color="5B2C6F" w:sz="4"/>
              <w:right w:val="single" w:color="5B2C6F" w:sz="4"/>
            </w:tcBorders>
            <w:shd w:fill="F2EFF7" w:val="clear"/>
            <w:tcMar>
              <w:top w:type="dxa" w:w="140"/>
              <w:left w:type="dxa" w:w="200"/>
              <w:bottom w:type="dxa" w:w="140"/>
              <w:right w:type="dxa" w:w="160"/>
            </w:tcMar>
          </w:tcPr>
          <w:p>
            <w:pPr>
              <w:spacing w:after="80"/>
            </w:pPr>
            <w:r>
              <w:rPr>
                <w:rFonts w:ascii="Arial" w:cs="Arial" w:eastAsia="Arial" w:hAnsi="Arial"/>
                <w:b/>
                <w:bCs/>
                <w:color w:val="5B2C6F"/>
                <w:sz w:val="20"/>
                <w:szCs w:val="20"/>
              </w:rPr>
              <w:t xml:space="preserve">AI enablement</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Cluster corrective actions across incidents to identify systemic themes (e.g., 'auth-related actions appear in 4 of last 6 incidents').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Predict whether a corrective action is likely to prevent recurrence based on similar past actions.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Auto-flag re-incidents that match a 'verified closed' action — surface tracker integrity gaps.</w:t>
            </w:r>
          </w:p>
          <w:p>
            <w:pPr>
              <w:spacing w:after="40"/>
            </w:pPr>
            <w:r>
              <w:rPr>
                <w:rFonts w:ascii="Arial" w:cs="Arial" w:eastAsia="Arial" w:hAnsi="Arial"/>
                <w:color w:val="5B2C6F"/>
                <w:sz w:val="20"/>
                <w:szCs w:val="20"/>
              </w:rPr>
              <w:t xml:space="preserve">• </w:t>
            </w:r>
            <w:r>
              <w:rPr>
                <w:rFonts w:ascii="Arial" w:cs="Arial" w:eastAsia="Arial" w:hAnsi="Arial"/>
                <w:sz w:val="20"/>
                <w:szCs w:val="20"/>
              </w:rPr>
              <w:t xml:space="preserve">Track action completion rate as a leading indicator of incident reduction.</w:t>
            </w:r>
          </w:p>
        </w:tc>
      </w:tr>
    </w:tbl>
    <w:p>
      <w:pPr>
        <w:spacing w:after="120"/>
      </w:pPr>
      <w:r>
        <w:t xml:space="preserve"/>
      </w:r>
    </w:p>
    <w:p>
      <w:pPr>
        <w:spacing w:after="120"/>
      </w:pPr>
      <w:r>
        <w:rPr>
          <w:rFonts w:ascii="Arial" w:cs="Arial" w:eastAsia="Arial" w:hAnsi="Arial"/>
          <w:b/>
          <w:bCs/>
          <w:i/>
          <w:iCs/>
          <w:sz w:val="22"/>
          <w:szCs w:val="22"/>
        </w:rPr>
        <w:t xml:space="preserve">Note: </w:t>
      </w:r>
      <w:r>
        <w:rPr>
          <w:rFonts w:ascii="Arial" w:cs="Arial" w:eastAsia="Arial" w:hAnsi="Arial"/>
          <w:i/>
          <w:iCs/>
          <w:sz w:val="22"/>
          <w:szCs w:val="22"/>
        </w:rPr>
        <w:t xml:space="preserve">Standalone (not folded into Decisions &amp; Changes Log) because corrective actions need cross-incident analysis — looking for recurring root causes — and they're tracked by a different group than project decisions. The 30/60/90 verification is what most organizations skip; without it, 'closed' doesn't mean 'fixed.'</w:t>
      </w:r>
    </w:p>
    <w:p>
      <w:pPr>
        <w:pBdr>
          <w:bottom w:val="single" w:color="BFBFBF" w:sz="6" w:space="6"/>
        </w:pBdr>
        <w:spacing w:after="240" w:before="120"/>
      </w:pPr>
      <w:r>
        <w:t xml:space="preserve"/>
      </w:r>
    </w:p>
    <w:p>
      <w:pPr>
        <w:pStyle w:val="Heading1"/>
        <w:spacing w:after="200" w:before="360"/>
      </w:pPr>
      <w:r>
        <w:rPr>
          <w:rFonts w:ascii="Arial" w:cs="Arial" w:eastAsia="Arial" w:hAnsi="Arial"/>
          <w:b/>
          <w:bCs/>
          <w:color w:val="1F3864"/>
          <w:sz w:val="36"/>
          <w:szCs w:val="36"/>
        </w:rPr>
        <w:t xml:space="preserve">Appendix A — AI Capability → PMO Artifact Mapping</w:t>
      </w:r>
    </w:p>
    <w:p>
      <w:pPr>
        <w:spacing w:after="200"/>
      </w:pPr>
      <w:r>
        <w:rPr>
          <w:rFonts w:ascii="Arial" w:cs="Arial" w:eastAsia="Arial" w:hAnsi="Arial"/>
          <w:sz w:val="22"/>
          <w:szCs w:val="22"/>
        </w:rPr>
        <w:t xml:space="preserve">The original feature catalog described AI capabilities for an enabled PMO. This appendix maps each capability to the artifact it actually supports. AI-only configuration templates are noted as 'AI Config Reference' — they belong in the AI engineering team's documentation, not the TPM template library.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408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AI Capability (from source catalog)</w:t>
            </w:r>
          </w:p>
        </w:tc>
        <w:tc>
          <w:tcPr>
            <w:tcW w:type="dxa" w:w="408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Plugs into PMO artifact</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Predictive task assignment &amp; risk alerts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RAID Log (#11), Resource Plan (#13), Schedule (#12)</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Timezone-aware smart scheduling</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Resource Plan (#13); AI Config Reference for fairness rules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NLP meeting summaries &amp; update digests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 (#18), Decisions &amp; Changes Log (#19), RAID Log (#11)</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Automated charter, test, DR, procurement plan builders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Charter (#1); other plans are project-type-specific</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PMO skill-builder &amp; onboarding</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Operating Model (#29); separate Skills Framework deliverable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Executive dashboards w/ explainable AI</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Portfolio Dashboard (#28), Steering Pack (#20)</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7</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Seamless tool integrations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AI Config Reference — engineering setup</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8</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Action item extraction from emails / chats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&amp; Changes Log (#19), RAID Log (#11)</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9</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Plain English to structured updates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 (#18); AI Config Reference for mapping rules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reports &amp; briefs from unstructured inputs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 (#18), Steering Pack (#20)</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Comms &amp; OCM plans from inputs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Communications Plan (#8), OCM Plan (#9)</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Suggestions on what's missing in plans/docs/compliance</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Charter (#1), all artifacts as quality check</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project inputs &amp; reach out to TPMs / DRIs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RAID Log (#11), Status Report (#18)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Stakeholder inclusion / exclusion suggestions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Stakeholder Register (#3)</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Initiative consolidation &amp; prioritization</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Intake Form (#27), Portfolio Dashboard (#28)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Highlight pulls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 (#18), Steering Pack (#20)</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17</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Risk anticipation</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RAID Log (#11)</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18</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Procurement next-step tracking &amp; comms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Schedule (#12); Vendor tracker (separate)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19</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Forecasting from previous inputs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Schedule (#12), Budget (#14)</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Cost savings identification (vendor consolidation)</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Budget (#14), Portfolio Dashboard (#28)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Cross-check project plans for dependencies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RAID Log (#11), Schedule (#12)</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Resource availability tracking &amp; forecasting</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Resource Plan (#13), Portfolio Dashboard (#28)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document library</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Workbook (#5) is the project library; org-level doc system separate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Team strategy updates from company strategy</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Operating Model (#29)</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Initiative reprioritization from strategy / risk</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Portfolio Dashboard (#28), Intake Form (#27)</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DRI accomplishment tracking</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HR / performance system</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27</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Compensation recommendations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HR system</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28</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Drafting employee evaluations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HR system</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29</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Policies, standards, guidelines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Operating Model (#29); separate Policy Library</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budget creation &amp; tracking</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Budget (#14)</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Easy tool integration setup</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AI Config Reference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Cross-project querying for redundancy</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Portfolio Dashboard (#28)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Comprehensive comms plan</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Communications Plan (#8)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Independent at-risk recommendations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Report (#18), Portfolio Dashboard (#28)</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vs security / industry risk distinction</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RAID Log (#11) Type field</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Operating model creation</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Operating Model (#29)</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37</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SSO &amp; security features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AI Config Reference; Operating Model (#29)</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38</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Battle card generator</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Sales enablement</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39</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ROI estimation engine</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Intake (#27), Charter (#1), Closeout (#23) Benefits Realization</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40</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Use case library</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Lessons Learned (#22)</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Objection handling scenarios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Sales / OCM</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Demo personalization toolkit</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Sales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Customer success handoff reports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Closeout (#23) Operational Handoff</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Customer feature request review &amp; backlog placement</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Outside scope — Product Management</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Data clean-up engine</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AI Config Reference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 sprint retrospectives</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Retrospective Pack (#30)</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47</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Post-incident management</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Post-Incident Review Pack (#31), Post-Incident Action Tracker (#32)</w:t>
            </w:r>
          </w:p>
        </w:tc>
      </w:tr>
    </w:tbl>
    <w:p>
      <w:pPr>
        <w:spacing w:after="120"/>
      </w:pPr>
      <w:r>
        <w:t xml:space="preserve"/>
      </w:r>
    </w:p>
    <w:p>
      <w:pPr>
        <w:spacing w:after="120"/>
      </w:pPr>
      <w:r>
        <w:rPr>
          <w:rFonts w:ascii="Arial" w:cs="Arial" w:eastAsia="Arial" w:hAnsi="Arial"/>
          <w:i/>
          <w:iCs/>
          <w:sz w:val="22"/>
          <w:szCs w:val="22"/>
        </w:rPr>
        <w:t xml:space="preserve">Items marked 'AI Config Reference' belong in a separate document maintained by the AI engineering team. Items marked 'Outside scope' belong to other functions (Sales, HR, Product). Everything else maps directly to one of the 32 artifacts in this framework.</w:t>
      </w:r>
    </w:p>
    <w:p>
      <w:pPr>
        <w:pStyle w:val="Heading1"/>
        <w:spacing w:after="200" w:before="360"/>
      </w:pPr>
      <w:r>
        <w:rPr>
          <w:rFonts w:ascii="Arial" w:cs="Arial" w:eastAsia="Arial" w:hAnsi="Arial"/>
          <w:b/>
          <w:bCs/>
          <w:color w:val="1F3864"/>
          <w:sz w:val="36"/>
          <w:szCs w:val="36"/>
        </w:rPr>
        <w:t xml:space="preserve">Appendix B — Companion Workbook Tab Reference</w:t>
      </w:r>
    </w:p>
    <w:p>
      <w:pPr>
        <w:spacing w:after="200"/>
      </w:pPr>
      <w:r>
        <w:rPr>
          <w:rFonts w:ascii="Arial" w:cs="Arial" w:eastAsia="Arial" w:hAnsi="Arial"/>
          <w:sz w:val="22"/>
          <w:szCs w:val="22"/>
        </w:rPr>
        <w:t xml:space="preserve">Quick reference for navigating PMO_Project_Workbook.xlsx.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Cover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identification + tab map; the home page. Fill this in first.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Charter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 — full charter structure with sections and approvals.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Stakeholders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#3 — register with influence/interest/RACI/engagement classification.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RACI</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#4 — decision-level RACI matrix with auto-validation (one A per row).</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Requirements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#6 + #7 — traceability matrix from BR/FR/NFR through design to test.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RAID Log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#11 — integrated Risks/Assumptions/Issues/Dependencies log with auto-scoring.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Schedule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#12 — milestone tracker with status conditional formatting.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Resources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#13 — team roster with allocation summaries.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Budget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#14 — planned vs actual with formulas for variance, % used, EAC.</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Decisions &amp; Changes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#19 — combined append-only log of decisions and approved changes (Type column to filter).</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Status Reports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#18 — running history of weekly status with RAG conditional formatting.</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UAT Log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#21 — test cases with auto-calculated pass rate.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Post-Incident Actions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#32 — cross-incident corrective action tracker with 30/60/90 verification.</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Lessons Learned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#22 — captured throughout, formalized at close.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Closeout</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Artifact #23 — final outcomes, benefits realization, handoff, sign-offs.</w:t>
            </w:r>
          </w:p>
        </w:tc>
      </w:tr>
    </w:tbl>
    <w:p>
      <w:pPr>
        <w:spacing w:after="120"/>
      </w:pPr>
      <w:r>
        <w:t xml:space="preserve"/>
      </w:r>
    </w:p>
    <w:p>
      <w:pPr>
        <w:spacing w:after="120"/>
      </w:pPr>
      <w:r>
        <w:rPr>
          <w:rFonts w:ascii="Arial" w:cs="Arial" w:eastAsia="Arial" w:hAnsi="Arial"/>
          <w:i/>
          <w:iCs/>
          <w:sz w:val="22"/>
          <w:szCs w:val="22"/>
        </w:rPr>
        <w:t xml:space="preserve">All formulas are pre-built and tested. Dropdowns, conditional formatting, and auto-validations are pre-configured. Works in Excel, Google Sheets, Numbers, and LibreOffice without modification.</w:t>
      </w:r>
    </w:p>
    <w:p>
      <w:pPr>
        <w:pStyle w:val="Heading1"/>
        <w:spacing w:after="200" w:before="360"/>
      </w:pPr>
      <w:r>
        <w:rPr>
          <w:rFonts w:ascii="Arial" w:cs="Arial" w:eastAsia="Arial" w:hAnsi="Arial"/>
          <w:b/>
          <w:bCs/>
          <w:color w:val="1F3864"/>
          <w:sz w:val="36"/>
          <w:szCs w:val="36"/>
        </w:rPr>
        <w:t xml:space="preserve">Appendix C — Companion Templates Pack Reference</w:t>
      </w:r>
    </w:p>
    <w:p>
      <w:pPr>
        <w:spacing w:after="200"/>
      </w:pPr>
      <w:r>
        <w:rPr>
          <w:rFonts w:ascii="Arial" w:cs="Arial" w:eastAsia="Arial" w:hAnsi="Arial"/>
          <w:sz w:val="22"/>
          <w:szCs w:val="22"/>
        </w:rPr>
        <w:t xml:space="preserve">Quick reference for navigating PMO_Templates_Pack.docx — the fillable standalone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 — Kickoff Pack</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Pre-read + agenda + 13-slide deck outline (artifact #2)</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 — Program Charter</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Multi-initiative program charter (artifact #24)</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§3 — RACI Template</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Standalone RACI with role definitions and sample matrix (artifact #4)</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§4 — BRD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Business Requirements Document (artifact #6)</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§5 — Tech Spec</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Technical Requirements / Functional Specification (artifact #7)</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§6 — Communications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Standalone Comms Plan (artifact #8)</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§7 — OCM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Organizational Change Management Plan (artifact #9)</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§8 — Training &amp; Awareness Plan</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Operationalizes OCM training strategy (artifact #10)</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§9 — RFP</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Request for Proposal (artifact #15)</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§10 — RFP Scoring</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Scoring rubric + reference check template (artifact #16)</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§11 — SOW</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Statement of Work (artifact #17)</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§12 — UAT Plan &amp; Test Cases</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User Acceptance Testing plan (artifact #21)</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§13 — Operating Model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Function/program operating model (artifact #29)</w:t>
            </w:r>
          </w:p>
        </w:tc>
      </w:tr>
    </w:tbl>
    <w:p>
      <w:pPr>
        <w:spacing w:after="120"/>
      </w:pPr>
      <w:r>
        <w:t xml:space="preserve"/>
      </w:r>
    </w:p>
    <w:p>
      <w:pPr>
        <w:spacing w:after="120"/>
      </w:pPr>
      <w:r>
        <w:rPr>
          <w:rFonts w:ascii="Arial" w:cs="Arial" w:eastAsia="Arial" w:hAnsi="Arial"/>
          <w:i/>
          <w:iCs/>
          <w:sz w:val="22"/>
          <w:szCs w:val="22"/>
        </w:rPr>
        <w:t xml:space="preserve">Each template is a complete, fillable document. Copy the section you need into a new doc, replace italic placeholder text with real content, and you have a working artifact.</w:t>
      </w:r>
    </w:p>
    <w:p>
      <w:pPr>
        <w:pStyle w:val="Heading1"/>
        <w:spacing w:after="200" w:before="360"/>
      </w:pPr>
      <w:r>
        <w:rPr>
          <w:rFonts w:ascii="Arial" w:cs="Arial" w:eastAsia="Arial" w:hAnsi="Arial"/>
          <w:b/>
          <w:bCs/>
          <w:color w:val="1F3864"/>
          <w:sz w:val="36"/>
          <w:szCs w:val="36"/>
        </w:rPr>
        <w:t xml:space="preserve">Appendix D — Artifact Scaling Guide</w:t>
      </w:r>
    </w:p>
    <w:p>
      <w:pPr>
        <w:spacing w:after="200"/>
      </w:pPr>
      <w:r>
        <w:rPr>
          <w:rFonts w:ascii="Arial" w:cs="Arial" w:eastAsia="Arial" w:hAnsi="Arial"/>
          <w:sz w:val="22"/>
          <w:szCs w:val="22"/>
        </w:rPr>
        <w:t xml:space="preserve">Not all 32 artifacts apply to every project. Use this guide to scope which artifacts to produce based on project size, complexity, and risk profile.</w:t>
      </w:r>
    </w:p>
    <w:p>
      <w:pPr>
        <w:pStyle w:val="Heading2"/>
        <w:spacing w:after="160" w:before="320"/>
      </w:pPr>
      <w:r>
        <w:rPr>
          <w:rFonts w:ascii="Arial" w:cs="Arial" w:eastAsia="Arial" w:hAnsi="Arial"/>
          <w:b/>
          <w:bCs/>
          <w:color w:val="2E75B6"/>
          <w:sz w:val="28"/>
          <w:szCs w:val="28"/>
        </w:rPr>
        <w:t xml:space="preserve">How to read this guide</w:t>
      </w:r>
    </w:p>
    <w:p>
      <w:pPr>
        <w:pStyle w:val="ListParagraph"/>
        <w:numPr>
          <w:ilvl w:val="0"/>
          <w:numId w:val="2"/>
        </w:numPr>
        <w:spacing w:after="60"/>
      </w:pPr>
      <w:r>
        <w:rPr>
          <w:rFonts w:ascii="Arial" w:cs="Arial" w:eastAsia="Arial" w:hAnsi="Arial"/>
          <w:sz w:val="22"/>
          <w:szCs w:val="22"/>
        </w:rPr>
        <w:t xml:space="preserve">Required = produce this artifact, even if lightweight. Non-negotiable for the tier.</w:t>
      </w:r>
    </w:p>
    <w:p>
      <w:pPr>
        <w:pStyle w:val="ListParagraph"/>
        <w:numPr>
          <w:ilvl w:val="0"/>
          <w:numId w:val="2"/>
        </w:numPr>
        <w:spacing w:after="60"/>
      </w:pPr>
      <w:r>
        <w:rPr>
          <w:rFonts w:ascii="Arial" w:cs="Arial" w:eastAsia="Arial" w:hAnsi="Arial"/>
          <w:sz w:val="22"/>
          <w:szCs w:val="22"/>
        </w:rPr>
        <w:t xml:space="preserve">Recommended = produce unless there's a specific reason not to. Document the reason in your charter.</w:t>
      </w:r>
    </w:p>
    <w:p>
      <w:pPr>
        <w:pStyle w:val="ListParagraph"/>
        <w:numPr>
          <w:ilvl w:val="0"/>
          <w:numId w:val="2"/>
        </w:numPr>
        <w:spacing w:after="60"/>
      </w:pPr>
      <w:r>
        <w:rPr>
          <w:rFonts w:ascii="Arial" w:cs="Arial" w:eastAsia="Arial" w:hAnsi="Arial"/>
          <w:sz w:val="22"/>
          <w:szCs w:val="22"/>
        </w:rPr>
        <w:t xml:space="preserve">Optional = produce when scope or complexity warrants it. Most small projects skip these.</w:t>
      </w:r>
    </w:p>
    <w:p>
      <w:pPr>
        <w:pStyle w:val="Heading2"/>
        <w:spacing w:after="160" w:before="320"/>
      </w:pPr>
      <w:r>
        <w:rPr>
          <w:rFonts w:ascii="Arial" w:cs="Arial" w:eastAsia="Arial" w:hAnsi="Arial"/>
          <w:b/>
          <w:bCs/>
          <w:color w:val="2E75B6"/>
          <w:sz w:val="28"/>
          <w:szCs w:val="28"/>
        </w:rPr>
        <w:t xml:space="preserve">Tier 1 — Small project</w:t>
      </w:r>
    </w:p>
    <w:p>
      <w:pPr>
        <w:spacing w:after="120"/>
      </w:pPr>
      <w:r>
        <w:rPr>
          <w:rFonts w:ascii="Arial" w:cs="Arial" w:eastAsia="Arial" w:hAnsi="Arial"/>
          <w:i/>
          <w:iCs/>
          <w:sz w:val="22"/>
          <w:szCs w:val="22"/>
        </w:rPr>
        <w:t xml:space="preserve">Indicators: &lt;3 months duration, &lt;$250K budget, single team, low regulatory exposure, well-understood scope.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Required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Charter (#1) — lightweight, 1-2 pages. Stakeholder Register (#3). RAID Log (#11). Schedule (#12). Status Reports (#18) — bi-weekly OK. Decisions &amp; Changes Log (#19). Closeout (#23).</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Recommended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Kickoff Pack (#2) — agenda only, skip pre-read. RACI (#4). Resource Plan (#13). Lessons Learned (#22).</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Optional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BRD/Tech Spec (#6, #7) — only if scope is unclear. Comms Plan (#8) — informal often OK. Budget tracking — only if Finance requires it.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Skip</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OCM Plan (#9), Training Plan (#10), RFP/SOW (#15-#17), Steering Pack (#20), Program-level (#24-#26), Operating Model (#29).</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Tier 2 — Medium project</w:t>
      </w:r>
    </w:p>
    <w:p>
      <w:pPr>
        <w:spacing w:after="120"/>
      </w:pPr>
      <w:r>
        <w:rPr>
          <w:rFonts w:ascii="Arial" w:cs="Arial" w:eastAsia="Arial" w:hAnsi="Arial"/>
          <w:i/>
          <w:iCs/>
          <w:sz w:val="22"/>
          <w:szCs w:val="22"/>
        </w:rPr>
        <w:t xml:space="preserve">Indicators: 3-12 months, $250K-$2M, cross-team, moderate regulatory exposure, scope refinable but defined.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Required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All Tier 1 Required + Project Charter (formal, signed). RACI (#4). BRD (#6). Tech Spec (#7) — if technical project. Comms Plan (#8). Resource Plan (#13). Budget (#14). Steering Pack (#20).</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Recommended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OCM Plan (#9) — if change has user-facing impact. Training Plan (#10) — if new tools or processes. UAT Plan (#21). Retrospective (#30).</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Optional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RFP/Scoring/SOW (#15-#17) — if procuring. Post-Incident pack (#31, #32) — only if incident occurs. Operating Model (#29).</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Skip</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Program-level artifacts (#24-#26) unless multiple coordinated projects.</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Tier 3 — Large project / Program</w:t>
      </w:r>
    </w:p>
    <w:p>
      <w:pPr>
        <w:spacing w:after="120"/>
      </w:pPr>
      <w:r>
        <w:rPr>
          <w:rFonts w:ascii="Arial" w:cs="Arial" w:eastAsia="Arial" w:hAnsi="Arial"/>
          <w:i/>
          <w:iCs/>
          <w:sz w:val="22"/>
          <w:szCs w:val="22"/>
        </w:rPr>
        <w:t xml:space="preserve">Indicators: &gt;12 months, &gt;$2M, multi-team or multi-component, high regulatory exposure, significant org change.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Section</w:t>
            </w:r>
          </w:p>
        </w:tc>
        <w:tc>
          <w:tcPr>
            <w:tcW w:type="dxa" w:w="6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2"/>
                <w:szCs w:val="22"/>
              </w:rPr>
              <w:t xml:space="preserve">Contents / fields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Required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All Tier 2 Required + Program Charter (#24) if multi-initiative. Program Governance (#25). Program Benefits Realization (#26). Comms Plan (#8) — formal. OCM Plan (#9). Training Plan (#10). Steering Pack (#20). Operating Model (#29) — if program builds a durable function. Post-Incident pack (#31, #32) — pre-built, not just on demand.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Recommended</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Portfolio Dashboard (#28). All procurement artifacts (#15-#17). Retrospective per phase (#30).</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Optional</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Intake Form (#27) — only relevant for the requesting org's PMO.</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Skip</w:t>
            </w:r>
          </w:p>
        </w:tc>
        <w:tc>
          <w:tcPr>
            <w:tcW w:type="dxa" w:w="6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Nothing in this tier should be skipped without explicit governance approval.</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Other scaling factors</w:t>
      </w:r>
    </w:p>
    <w:p>
      <w:pPr>
        <w:pStyle w:val="ListParagraph"/>
        <w:numPr>
          <w:ilvl w:val="0"/>
          <w:numId w:val="2"/>
        </w:numPr>
        <w:spacing w:after="60"/>
      </w:pPr>
      <w:r>
        <w:rPr>
          <w:rFonts w:ascii="Arial" w:cs="Arial" w:eastAsia="Arial" w:hAnsi="Arial"/>
          <w:sz w:val="22"/>
          <w:szCs w:val="22"/>
        </w:rPr>
        <w:t xml:space="preserve">Regulatory or audit-driven projects: bump up one tier on documentation rigor regardless of size. Auditors expect Charter, RAID, Decisions &amp; Changes, and Closeout for any audit-relevant work.</w:t>
      </w:r>
    </w:p>
    <w:p>
      <w:pPr>
        <w:pStyle w:val="ListParagraph"/>
        <w:numPr>
          <w:ilvl w:val="0"/>
          <w:numId w:val="2"/>
        </w:numPr>
        <w:spacing w:after="60"/>
      </w:pPr>
      <w:r>
        <w:rPr>
          <w:rFonts w:ascii="Arial" w:cs="Arial" w:eastAsia="Arial" w:hAnsi="Arial"/>
          <w:sz w:val="22"/>
          <w:szCs w:val="22"/>
        </w:rPr>
        <w:t xml:space="preserve">New-to-org capabilities: bump up on OCM, Training, and Comms even for small projects — adoption risk is the issue, not budget.</w:t>
      </w:r>
    </w:p>
    <w:p>
      <w:pPr>
        <w:pStyle w:val="ListParagraph"/>
        <w:numPr>
          <w:ilvl w:val="0"/>
          <w:numId w:val="2"/>
        </w:numPr>
        <w:spacing w:after="60"/>
      </w:pPr>
      <w:r>
        <w:rPr>
          <w:rFonts w:ascii="Arial" w:cs="Arial" w:eastAsia="Arial" w:hAnsi="Arial"/>
          <w:sz w:val="22"/>
          <w:szCs w:val="22"/>
        </w:rPr>
        <w:t xml:space="preserve">Vendor-heavy projects: produce all procurement artifacts (#15-#17) even if the spend is small — vendor disputes are about contracts, not budget size.</w:t>
      </w:r>
    </w:p>
    <w:p>
      <w:pPr>
        <w:pStyle w:val="ListParagraph"/>
        <w:numPr>
          <w:ilvl w:val="0"/>
          <w:numId w:val="2"/>
        </w:numPr>
        <w:spacing w:after="60"/>
      </w:pPr>
      <w:r>
        <w:rPr>
          <w:rFonts w:ascii="Arial" w:cs="Arial" w:eastAsia="Arial" w:hAnsi="Arial"/>
          <w:sz w:val="22"/>
          <w:szCs w:val="22"/>
        </w:rPr>
        <w:t xml:space="preserve">High-visibility projects: Steering Pack (#20) becomes Required regardless of size if the project goes to executives or board.</w:t>
      </w:r>
    </w:p>
    <w:p>
      <w:pPr>
        <w:pStyle w:val="Heading1"/>
        <w:spacing w:after="200" w:before="360"/>
      </w:pPr>
      <w:r>
        <w:rPr>
          <w:rFonts w:ascii="Arial" w:cs="Arial" w:eastAsia="Arial" w:hAnsi="Arial"/>
          <w:b/>
          <w:bCs/>
          <w:color w:val="1F3864"/>
          <w:sz w:val="36"/>
          <w:szCs w:val="36"/>
        </w:rPr>
        <w:t xml:space="preserve">Appendix E — Adapting to Other Tooling</w:t>
      </w:r>
    </w:p>
    <w:p>
      <w:pPr>
        <w:spacing w:after="200"/>
      </w:pPr>
      <w:r>
        <w:rPr>
          <w:rFonts w:ascii="Arial" w:cs="Arial" w:eastAsia="Arial" w:hAnsi="Arial"/>
          <w:sz w:val="22"/>
          <w:szCs w:val="22"/>
        </w:rPr>
        <w:t xml:space="preserve">The methodology in this framework is tool-agnostic; the included workbooks and docs are an Excel + Word implementation. This appendix outlines how to adapt to other common stacks.</w:t>
      </w:r>
    </w:p>
    <w:p>
      <w:pPr>
        <w:pStyle w:val="Heading2"/>
        <w:spacing w:after="160" w:before="320"/>
      </w:pPr>
      <w:r>
        <w:rPr>
          <w:rFonts w:ascii="Arial" w:cs="Arial" w:eastAsia="Arial" w:hAnsi="Arial"/>
          <w:b/>
          <w:bCs/>
          <w:color w:val="2E75B6"/>
          <w:sz w:val="28"/>
          <w:szCs w:val="28"/>
        </w:rPr>
        <w:t xml:space="preserve">Notion / Coda</w:t>
      </w:r>
    </w:p>
    <w:p>
      <w:pPr>
        <w:pStyle w:val="ListParagraph"/>
        <w:numPr>
          <w:ilvl w:val="0"/>
          <w:numId w:val="2"/>
        </w:numPr>
        <w:spacing w:after="60"/>
      </w:pPr>
      <w:r>
        <w:rPr>
          <w:rFonts w:ascii="Arial" w:cs="Arial" w:eastAsia="Arial" w:hAnsi="Arial"/>
          <w:sz w:val="22"/>
          <w:szCs w:val="22"/>
        </w:rPr>
        <w:t xml:space="preserve">Workbook tabs become Notion databases or Coda tables.</w:t>
      </w:r>
    </w:p>
    <w:p>
      <w:pPr>
        <w:pStyle w:val="ListParagraph"/>
        <w:numPr>
          <w:ilvl w:val="0"/>
          <w:numId w:val="2"/>
        </w:numPr>
        <w:spacing w:after="60"/>
      </w:pPr>
      <w:r>
        <w:rPr>
          <w:rFonts w:ascii="Arial" w:cs="Arial" w:eastAsia="Arial" w:hAnsi="Arial"/>
          <w:sz w:val="22"/>
          <w:szCs w:val="22"/>
        </w:rPr>
        <w:t xml:space="preserve">RAID Log → linked database with views (filtered by Type, Status, Owner).</w:t>
      </w:r>
    </w:p>
    <w:p>
      <w:pPr>
        <w:pStyle w:val="ListParagraph"/>
        <w:numPr>
          <w:ilvl w:val="0"/>
          <w:numId w:val="2"/>
        </w:numPr>
        <w:spacing w:after="60"/>
      </w:pPr>
      <w:r>
        <w:rPr>
          <w:rFonts w:ascii="Arial" w:cs="Arial" w:eastAsia="Arial" w:hAnsi="Arial"/>
          <w:sz w:val="22"/>
          <w:szCs w:val="22"/>
        </w:rPr>
        <w:t xml:space="preserve">RACI → relation database between Activities and People with R/A/C/I select column.</w:t>
      </w:r>
    </w:p>
    <w:p>
      <w:pPr>
        <w:pStyle w:val="ListParagraph"/>
        <w:numPr>
          <w:ilvl w:val="0"/>
          <w:numId w:val="2"/>
        </w:numPr>
        <w:spacing w:after="60"/>
      </w:pPr>
      <w:r>
        <w:rPr>
          <w:rFonts w:ascii="Arial" w:cs="Arial" w:eastAsia="Arial" w:hAnsi="Arial"/>
          <w:sz w:val="22"/>
          <w:szCs w:val="22"/>
        </w:rPr>
        <w:t xml:space="preserve">Status Reports → recurring template page with weekly date stamps.</w:t>
      </w:r>
    </w:p>
    <w:p>
      <w:pPr>
        <w:pStyle w:val="ListParagraph"/>
        <w:numPr>
          <w:ilvl w:val="0"/>
          <w:numId w:val="2"/>
        </w:numPr>
        <w:spacing w:after="60"/>
      </w:pPr>
      <w:r>
        <w:rPr>
          <w:rFonts w:ascii="Arial" w:cs="Arial" w:eastAsia="Arial" w:hAnsi="Arial"/>
          <w:sz w:val="22"/>
          <w:szCs w:val="22"/>
        </w:rPr>
        <w:t xml:space="preserve">Templates Pack content → page templates with placeholder properties.</w:t>
      </w:r>
    </w:p>
    <w:p>
      <w:pPr>
        <w:pStyle w:val="ListParagraph"/>
        <w:numPr>
          <w:ilvl w:val="0"/>
          <w:numId w:val="2"/>
        </w:numPr>
        <w:spacing w:after="60"/>
      </w:pPr>
      <w:r>
        <w:rPr>
          <w:rFonts w:ascii="Arial" w:cs="Arial" w:eastAsia="Arial" w:hAnsi="Arial"/>
          <w:sz w:val="22"/>
          <w:szCs w:val="22"/>
        </w:rPr>
        <w:t xml:space="preserve">Worked Examples → reference pages, often kept in a separate 'PMO Library' workspace.</w:t>
      </w:r>
    </w:p>
    <w:p>
      <w:pPr>
        <w:pStyle w:val="ListParagraph"/>
        <w:numPr>
          <w:ilvl w:val="0"/>
          <w:numId w:val="2"/>
        </w:numPr>
        <w:spacing w:after="60"/>
      </w:pPr>
      <w:r>
        <w:rPr>
          <w:rFonts w:ascii="Arial" w:cs="Arial" w:eastAsia="Arial" w:hAnsi="Arial"/>
          <w:sz w:val="22"/>
          <w:szCs w:val="22"/>
        </w:rPr>
        <w:t xml:space="preserve">Trade-offs: better collaboration and search than Excel; weaker formula and conditional formatting; better for read-heavy artifacts than for spreadsheet-heavy tracking.</w:t>
      </w:r>
    </w:p>
    <w:p>
      <w:pPr>
        <w:pStyle w:val="Heading2"/>
        <w:spacing w:after="160" w:before="320"/>
      </w:pPr>
      <w:r>
        <w:rPr>
          <w:rFonts w:ascii="Arial" w:cs="Arial" w:eastAsia="Arial" w:hAnsi="Arial"/>
          <w:b/>
          <w:bCs/>
          <w:color w:val="2E75B6"/>
          <w:sz w:val="28"/>
          <w:szCs w:val="28"/>
        </w:rPr>
        <w:t xml:space="preserve">Smartsheet</w:t>
      </w:r>
    </w:p>
    <w:p>
      <w:pPr>
        <w:pStyle w:val="ListParagraph"/>
        <w:numPr>
          <w:ilvl w:val="0"/>
          <w:numId w:val="2"/>
        </w:numPr>
        <w:spacing w:after="60"/>
      </w:pPr>
      <w:r>
        <w:rPr>
          <w:rFonts w:ascii="Arial" w:cs="Arial" w:eastAsia="Arial" w:hAnsi="Arial"/>
          <w:sz w:val="22"/>
          <w:szCs w:val="22"/>
        </w:rPr>
        <w:t xml:space="preserve">Workbook tabs become Smartsheet sheets — natural mapping.</w:t>
      </w:r>
    </w:p>
    <w:p>
      <w:pPr>
        <w:pStyle w:val="ListParagraph"/>
        <w:numPr>
          <w:ilvl w:val="0"/>
          <w:numId w:val="2"/>
        </w:numPr>
        <w:spacing w:after="60"/>
      </w:pPr>
      <w:r>
        <w:rPr>
          <w:rFonts w:ascii="Arial" w:cs="Arial" w:eastAsia="Arial" w:hAnsi="Arial"/>
          <w:sz w:val="22"/>
          <w:szCs w:val="22"/>
        </w:rPr>
        <w:t xml:space="preserve">RAID, Schedule, Resources translate directly with native conditional formatting and dropdowns.</w:t>
      </w:r>
    </w:p>
    <w:p>
      <w:pPr>
        <w:pStyle w:val="ListParagraph"/>
        <w:numPr>
          <w:ilvl w:val="0"/>
          <w:numId w:val="2"/>
        </w:numPr>
        <w:spacing w:after="60"/>
      </w:pPr>
      <w:r>
        <w:rPr>
          <w:rFonts w:ascii="Arial" w:cs="Arial" w:eastAsia="Arial" w:hAnsi="Arial"/>
          <w:sz w:val="22"/>
          <w:szCs w:val="22"/>
        </w:rPr>
        <w:t xml:space="preserve">Cross-sheet references replace cross-tab references; Smartsheet's reporting layer can roll up across sheets.</w:t>
      </w:r>
    </w:p>
    <w:p>
      <w:pPr>
        <w:pStyle w:val="ListParagraph"/>
        <w:numPr>
          <w:ilvl w:val="0"/>
          <w:numId w:val="2"/>
        </w:numPr>
        <w:spacing w:after="60"/>
      </w:pPr>
      <w:r>
        <w:rPr>
          <w:rFonts w:ascii="Arial" w:cs="Arial" w:eastAsia="Arial" w:hAnsi="Arial"/>
          <w:sz w:val="22"/>
          <w:szCs w:val="22"/>
        </w:rPr>
        <w:t xml:space="preserve">Templates Pack docs go into Smartsheet Documents or a Confluence/SharePoint companion.</w:t>
      </w:r>
    </w:p>
    <w:p>
      <w:pPr>
        <w:pStyle w:val="ListParagraph"/>
        <w:numPr>
          <w:ilvl w:val="0"/>
          <w:numId w:val="2"/>
        </w:numPr>
        <w:spacing w:after="60"/>
      </w:pPr>
      <w:r>
        <w:rPr>
          <w:rFonts w:ascii="Arial" w:cs="Arial" w:eastAsia="Arial" w:hAnsi="Arial"/>
          <w:sz w:val="22"/>
          <w:szCs w:val="22"/>
        </w:rPr>
        <w:t xml:space="preserve">Trade-offs: best 1:1 fit for tracking artifacts; weaker for narrative/methodology docs.</w:t>
      </w:r>
    </w:p>
    <w:p>
      <w:pPr>
        <w:pStyle w:val="Heading2"/>
        <w:spacing w:after="160" w:before="320"/>
      </w:pPr>
      <w:r>
        <w:rPr>
          <w:rFonts w:ascii="Arial" w:cs="Arial" w:eastAsia="Arial" w:hAnsi="Arial"/>
          <w:b/>
          <w:bCs/>
          <w:color w:val="2E75B6"/>
          <w:sz w:val="28"/>
          <w:szCs w:val="28"/>
        </w:rPr>
        <w:t xml:space="preserve">Asana / Jira / Monday</w:t>
      </w:r>
    </w:p>
    <w:p>
      <w:pPr>
        <w:pStyle w:val="ListParagraph"/>
        <w:numPr>
          <w:ilvl w:val="0"/>
          <w:numId w:val="2"/>
        </w:numPr>
        <w:spacing w:after="60"/>
      </w:pPr>
      <w:r>
        <w:rPr>
          <w:rFonts w:ascii="Arial" w:cs="Arial" w:eastAsia="Arial" w:hAnsi="Arial"/>
          <w:sz w:val="22"/>
          <w:szCs w:val="22"/>
        </w:rPr>
        <w:t xml:space="preserve">These are work management tools, not document tools — best for Schedule, Resources, Action Items, RAID.</w:t>
      </w:r>
    </w:p>
    <w:p>
      <w:pPr>
        <w:pStyle w:val="ListParagraph"/>
        <w:numPr>
          <w:ilvl w:val="0"/>
          <w:numId w:val="2"/>
        </w:numPr>
        <w:spacing w:after="60"/>
      </w:pPr>
      <w:r>
        <w:rPr>
          <w:rFonts w:ascii="Arial" w:cs="Arial" w:eastAsia="Arial" w:hAnsi="Arial"/>
          <w:sz w:val="22"/>
          <w:szCs w:val="22"/>
        </w:rPr>
        <w:t xml:space="preserve">Each artifact tab becomes a project, board, or list with custom fields matching the workbook columns.</w:t>
      </w:r>
    </w:p>
    <w:p>
      <w:pPr>
        <w:pStyle w:val="ListParagraph"/>
        <w:numPr>
          <w:ilvl w:val="0"/>
          <w:numId w:val="2"/>
        </w:numPr>
        <w:spacing w:after="60"/>
      </w:pPr>
      <w:r>
        <w:rPr>
          <w:rFonts w:ascii="Arial" w:cs="Arial" w:eastAsia="Arial" w:hAnsi="Arial"/>
          <w:sz w:val="22"/>
          <w:szCs w:val="22"/>
        </w:rPr>
        <w:t xml:space="preserve">Status Reports become recurring Asana update posts or Jira dashboards.</w:t>
      </w:r>
    </w:p>
    <w:p>
      <w:pPr>
        <w:pStyle w:val="ListParagraph"/>
        <w:numPr>
          <w:ilvl w:val="0"/>
          <w:numId w:val="2"/>
        </w:numPr>
        <w:spacing w:after="60"/>
      </w:pPr>
      <w:r>
        <w:rPr>
          <w:rFonts w:ascii="Arial" w:cs="Arial" w:eastAsia="Arial" w:hAnsi="Arial"/>
          <w:sz w:val="22"/>
          <w:szCs w:val="22"/>
        </w:rPr>
        <w:t xml:space="preserve">Charters, BRDs, Comms Plans, OCM Plans need a companion doc tool (Confluence, Notion, Google Docs, SharePoint).</w:t>
      </w:r>
    </w:p>
    <w:p>
      <w:pPr>
        <w:pStyle w:val="ListParagraph"/>
        <w:numPr>
          <w:ilvl w:val="0"/>
          <w:numId w:val="2"/>
        </w:numPr>
        <w:spacing w:after="60"/>
      </w:pPr>
      <w:r>
        <w:rPr>
          <w:rFonts w:ascii="Arial" w:cs="Arial" w:eastAsia="Arial" w:hAnsi="Arial"/>
          <w:sz w:val="22"/>
          <w:szCs w:val="22"/>
        </w:rPr>
        <w:t xml:space="preserve">Trade-offs: strongest for execution tracking; weakest for governance and narrative artifacts. Plan for a hybrid stack.</w:t>
      </w:r>
    </w:p>
    <w:p>
      <w:pPr>
        <w:pStyle w:val="Heading2"/>
        <w:spacing w:after="160" w:before="320"/>
      </w:pPr>
      <w:r>
        <w:rPr>
          <w:rFonts w:ascii="Arial" w:cs="Arial" w:eastAsia="Arial" w:hAnsi="Arial"/>
          <w:b/>
          <w:bCs/>
          <w:color w:val="2E75B6"/>
          <w:sz w:val="28"/>
          <w:szCs w:val="28"/>
        </w:rPr>
        <w:t xml:space="preserve">Confluence + Jira</w:t>
      </w:r>
    </w:p>
    <w:p>
      <w:pPr>
        <w:pStyle w:val="ListParagraph"/>
        <w:numPr>
          <w:ilvl w:val="0"/>
          <w:numId w:val="2"/>
        </w:numPr>
        <w:spacing w:after="60"/>
      </w:pPr>
      <w:r>
        <w:rPr>
          <w:rFonts w:ascii="Arial" w:cs="Arial" w:eastAsia="Arial" w:hAnsi="Arial"/>
          <w:sz w:val="22"/>
          <w:szCs w:val="22"/>
        </w:rPr>
        <w:t xml:space="preserve">Most common enterprise stack. Confluence holds narrative artifacts (Charter, BRD, Tech Spec, Comms Plan, OCM Plan, Operating Model). Jira holds tracking artifacts (RAID, Schedule, Action Items).</w:t>
      </w:r>
    </w:p>
    <w:p>
      <w:pPr>
        <w:pStyle w:val="ListParagraph"/>
        <w:numPr>
          <w:ilvl w:val="0"/>
          <w:numId w:val="2"/>
        </w:numPr>
        <w:spacing w:after="60"/>
      </w:pPr>
      <w:r>
        <w:rPr>
          <w:rFonts w:ascii="Arial" w:cs="Arial" w:eastAsia="Arial" w:hAnsi="Arial"/>
          <w:sz w:val="22"/>
          <w:szCs w:val="22"/>
        </w:rPr>
        <w:t xml:space="preserve">Confluence templates map directly to Templates Pack §s — create one Confluence template per § and link them in a PMO space index.</w:t>
      </w:r>
    </w:p>
    <w:p>
      <w:pPr>
        <w:pStyle w:val="ListParagraph"/>
        <w:numPr>
          <w:ilvl w:val="0"/>
          <w:numId w:val="2"/>
        </w:numPr>
        <w:spacing w:after="60"/>
      </w:pPr>
      <w:r>
        <w:rPr>
          <w:rFonts w:ascii="Arial" w:cs="Arial" w:eastAsia="Arial" w:hAnsi="Arial"/>
          <w:sz w:val="22"/>
          <w:szCs w:val="22"/>
        </w:rPr>
        <w:t xml:space="preserve">Jira → use issue types Risk, Issue, Decision, Change, Action with custom fields.</w:t>
      </w:r>
    </w:p>
    <w:p>
      <w:pPr>
        <w:pStyle w:val="ListParagraph"/>
        <w:numPr>
          <w:ilvl w:val="0"/>
          <w:numId w:val="2"/>
        </w:numPr>
        <w:spacing w:after="60"/>
      </w:pPr>
      <w:r>
        <w:rPr>
          <w:rFonts w:ascii="Arial" w:cs="Arial" w:eastAsia="Arial" w:hAnsi="Arial"/>
          <w:sz w:val="22"/>
          <w:szCs w:val="22"/>
        </w:rPr>
        <w:t xml:space="preserve">Status reports are typically Confluence pages with embedded Jira queries (live-rendering current state).</w:t>
      </w:r>
    </w:p>
    <w:p>
      <w:pPr>
        <w:pStyle w:val="ListParagraph"/>
        <w:numPr>
          <w:ilvl w:val="0"/>
          <w:numId w:val="2"/>
        </w:numPr>
        <w:spacing w:after="60"/>
      </w:pPr>
      <w:r>
        <w:rPr>
          <w:rFonts w:ascii="Arial" w:cs="Arial" w:eastAsia="Arial" w:hAnsi="Arial"/>
          <w:sz w:val="22"/>
          <w:szCs w:val="22"/>
        </w:rPr>
        <w:t xml:space="preserve">Trade-offs: well-supported and audit-friendly; requires more upfront configuration than Excel + Word.</w:t>
      </w:r>
    </w:p>
    <w:p>
      <w:pPr>
        <w:pStyle w:val="Heading2"/>
        <w:spacing w:after="160" w:before="320"/>
      </w:pPr>
      <w:r>
        <w:rPr>
          <w:rFonts w:ascii="Arial" w:cs="Arial" w:eastAsia="Arial" w:hAnsi="Arial"/>
          <w:b/>
          <w:bCs/>
          <w:color w:val="2E75B6"/>
          <w:sz w:val="28"/>
          <w:szCs w:val="28"/>
        </w:rPr>
        <w:t xml:space="preserve">Google Workspace (Docs + Sheets)</w:t>
      </w:r>
    </w:p>
    <w:p>
      <w:pPr>
        <w:pStyle w:val="ListParagraph"/>
        <w:numPr>
          <w:ilvl w:val="0"/>
          <w:numId w:val="2"/>
        </w:numPr>
        <w:spacing w:after="60"/>
      </w:pPr>
      <w:r>
        <w:rPr>
          <w:rFonts w:ascii="Arial" w:cs="Arial" w:eastAsia="Arial" w:hAnsi="Arial"/>
          <w:sz w:val="22"/>
          <w:szCs w:val="22"/>
        </w:rPr>
        <w:t xml:space="preserve">The closest like-for-like swap. Workbook tabs become Sheets tabs. Word docs become Google Docs.</w:t>
      </w:r>
    </w:p>
    <w:p>
      <w:pPr>
        <w:pStyle w:val="ListParagraph"/>
        <w:numPr>
          <w:ilvl w:val="0"/>
          <w:numId w:val="2"/>
        </w:numPr>
        <w:spacing w:after="60"/>
      </w:pPr>
      <w:r>
        <w:rPr>
          <w:rFonts w:ascii="Arial" w:cs="Arial" w:eastAsia="Arial" w:hAnsi="Arial"/>
          <w:sz w:val="22"/>
          <w:szCs w:val="22"/>
        </w:rPr>
        <w:t xml:space="preserve">Most formulas and dropdowns transfer cleanly. Some EXACT()-based conditional formatting may need re-creation.</w:t>
      </w:r>
    </w:p>
    <w:p>
      <w:pPr>
        <w:pStyle w:val="ListParagraph"/>
        <w:numPr>
          <w:ilvl w:val="0"/>
          <w:numId w:val="2"/>
        </w:numPr>
        <w:spacing w:after="60"/>
      </w:pPr>
      <w:r>
        <w:rPr>
          <w:rFonts w:ascii="Arial" w:cs="Arial" w:eastAsia="Arial" w:hAnsi="Arial"/>
          <w:sz w:val="22"/>
          <w:szCs w:val="22"/>
        </w:rPr>
        <w:t xml:space="preserve">Cross-doc references are weaker than Excel — use named ranges or IMPORTRANGE.</w:t>
      </w:r>
    </w:p>
    <w:p>
      <w:pPr>
        <w:pStyle w:val="ListParagraph"/>
        <w:numPr>
          <w:ilvl w:val="0"/>
          <w:numId w:val="2"/>
        </w:numPr>
        <w:spacing w:after="60"/>
      </w:pPr>
      <w:r>
        <w:rPr>
          <w:rFonts w:ascii="Arial" w:cs="Arial" w:eastAsia="Arial" w:hAnsi="Arial"/>
          <w:sz w:val="22"/>
          <w:szCs w:val="22"/>
        </w:rPr>
        <w:t xml:space="preserve">Trade-offs: best collaborative editing; some Office features lost in translation.</w:t>
      </w:r>
    </w:p>
    <w:p>
      <w:pPr>
        <w:pStyle w:val="Heading2"/>
        <w:spacing w:after="160" w:before="320"/>
      </w:pPr>
      <w:r>
        <w:rPr>
          <w:rFonts w:ascii="Arial" w:cs="Arial" w:eastAsia="Arial" w:hAnsi="Arial"/>
          <w:b/>
          <w:bCs/>
          <w:color w:val="2E75B6"/>
          <w:sz w:val="28"/>
          <w:szCs w:val="28"/>
        </w:rPr>
        <w:t xml:space="preserve">General principles when porting</w:t>
      </w:r>
    </w:p>
    <w:p>
      <w:pPr>
        <w:pStyle w:val="ListParagraph"/>
        <w:numPr>
          <w:ilvl w:val="0"/>
          <w:numId w:val="2"/>
        </w:numPr>
        <w:spacing w:after="60"/>
      </w:pPr>
      <w:r>
        <w:rPr>
          <w:rFonts w:ascii="Arial" w:cs="Arial" w:eastAsia="Arial" w:hAnsi="Arial"/>
          <w:sz w:val="22"/>
          <w:szCs w:val="22"/>
        </w:rPr>
        <w:t xml:space="preserve">Methodology travels — artifact definitions, sections, and lifecycle don't change with tooling. Re-read the framework artifact descriptions, not the templates, when porting.</w:t>
      </w:r>
    </w:p>
    <w:p>
      <w:pPr>
        <w:pStyle w:val="ListParagraph"/>
        <w:numPr>
          <w:ilvl w:val="0"/>
          <w:numId w:val="2"/>
        </w:numPr>
        <w:spacing w:after="60"/>
      </w:pPr>
      <w:r>
        <w:rPr>
          <w:rFonts w:ascii="Arial" w:cs="Arial" w:eastAsia="Arial" w:hAnsi="Arial"/>
          <w:sz w:val="22"/>
          <w:szCs w:val="22"/>
        </w:rPr>
        <w:t xml:space="preserve">The 'append-only' discipline (Status Reports, Decisions &amp; Changes, Action Items) is enforced by tool features in some stacks (Notion versioning, Jira issue history) — preserve the audit trail in whichever way the tool supports.</w:t>
      </w:r>
    </w:p>
    <w:p>
      <w:pPr>
        <w:pStyle w:val="ListParagraph"/>
        <w:numPr>
          <w:ilvl w:val="0"/>
          <w:numId w:val="2"/>
        </w:numPr>
        <w:spacing w:after="60"/>
      </w:pPr>
      <w:r>
        <w:rPr>
          <w:rFonts w:ascii="Arial" w:cs="Arial" w:eastAsia="Arial" w:hAnsi="Arial"/>
          <w:sz w:val="22"/>
          <w:szCs w:val="22"/>
        </w:rPr>
        <w:t xml:space="preserve">RACI integrity (one A per activity) needs explicit validation in tools without formulas — add a manual review step or build a custom check.</w:t>
      </w:r>
    </w:p>
    <w:p>
      <w:pPr>
        <w:pStyle w:val="ListParagraph"/>
        <w:numPr>
          <w:ilvl w:val="0"/>
          <w:numId w:val="2"/>
        </w:numPr>
        <w:spacing w:after="60"/>
      </w:pPr>
      <w:r>
        <w:rPr>
          <w:rFonts w:ascii="Arial" w:cs="Arial" w:eastAsia="Arial" w:hAnsi="Arial"/>
          <w:sz w:val="22"/>
          <w:szCs w:val="22"/>
        </w:rPr>
        <w:t xml:space="preserve">Cross-references between artifacts are usually weaker outside Excel — invest in linking conventions (Confluence labels, Notion mentions, Jira links) at the start, not later.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 w:type="paragraph" w:styleId="Heading4">
    <w:name w:val="Heading 4"/>
    <w:basedOn w:val="Normal"/>
    <w:next w:val="Normal"/>
    <w:qFormat/>
    <w:pPr>
      <w:spacing w:after="100" w:before="200"/>
      <w:outlineLvl w:val="3"/>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2026-04-27T23:56:47.763Z</dcterms:created>
  <dcterms:modified xsi:type="dcterms:W3CDTF">2026-04-27T23:56:47.765Z</dcterms:modified>
</cp:coreProperties>
</file>

<file path=docProps/custom.xml><?xml version="1.0" encoding="utf-8"?>
<Properties xmlns="http://schemas.openxmlformats.org/officeDocument/2006/custom-properties" xmlns:vt="http://schemas.openxmlformats.org/officeDocument/2006/docPropsVTypes"/>
</file>