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PMingLiU"/>
          <w:b/>
          <w:sz w:val="32"/>
        </w:rPr>
        <w:t>112 年會計師考試｜稅務法規（考古題・重排版）</w:t>
      </w:r>
    </w:p>
    <w:p>
      <w:pPr>
        <w:spacing w:after="200"/>
        <w:jc w:val="center"/>
      </w:pPr>
      <w:r>
        <w:rPr>
          <w:rFonts w:ascii="Times New Roman" w:hAnsi="Times New Roman" w:eastAsia="PMingLiU"/>
          <w:b w:val="0"/>
          <w:sz w:val="20"/>
        </w:rPr>
        <w:t>考古題重排版｜申論 50 分＋選擇 50 分｜格式仿模擬考卷｜測驗標準答案置於卷末（申論官方未公布參考答案）</w:t>
      </w:r>
    </w:p>
    <w:p>
      <w:pPr>
        <w:spacing w:after="160"/>
      </w:pPr>
      <w:r>
        <w:rPr>
          <w:rFonts w:ascii="Times New Roman" w:hAnsi="Times New Roman" w:eastAsia="PMingLiU"/>
          <w:b/>
          <w:sz w:val="26"/>
        </w:rPr>
        <w:t>甲、申論題（共 50 分）</w:t>
      </w:r>
    </w:p>
    <w:p>
      <w:pPr>
        <w:spacing w:after="120"/>
      </w:pPr>
      <w:r>
        <w:rPr>
          <w:rFonts w:ascii="Times New Roman" w:hAnsi="Times New Roman" w:eastAsia="PMingLiU"/>
          <w:b/>
          <w:sz w:val="22"/>
        </w:rPr>
        <w:t>一、總機構在中華民國境內之甲公司未依規定辦理 111 年度營利事業所得稅申報，經稽徵機關催報後仍未申報，該公司 111 年全年度營業收入 4,000萬元，其經營行業之同業利潤標準毛利率 28%、淨利率 20%，稽徵機關依所得稅法核定之稅額為何？（5 分）又怠報金為何？（5 分）</w:t>
      </w:r>
    </w:p>
    <w:p>
      <w:pPr>
        <w:spacing w:after="120"/>
      </w:pPr>
      <w:r>
        <w:rPr>
          <w:rFonts w:ascii="Times New Roman" w:hAnsi="Times New Roman" w:eastAsia="PMingLiU"/>
          <w:b/>
          <w:sz w:val="22"/>
        </w:rPr>
        <w:t>二、依所得稅法規定，就下列情況分別計算房屋、土地交易所得之應納稅額：（未列計算式不予計分）</w:t>
      </w:r>
    </w:p>
    <w:p>
      <w:pPr>
        <w:spacing w:after="80"/>
      </w:pPr>
      <w:r>
        <w:rPr>
          <w:rFonts w:ascii="Times New Roman" w:hAnsi="Times New Roman" w:eastAsia="PMingLiU"/>
          <w:b w:val="0"/>
          <w:sz w:val="22"/>
        </w:rPr>
        <w:t>①甲為中華民國境內居住之個人（以下簡稱居住者），其 111 年 1 月 4 日以 1,300 萬元購入 A 房地並於同年 8 月 1 日出售，售價 2,000 萬元，惟未提示因取得、改良及移轉而支付之費用，該次交易依土地稅法第 30 條第 1 項規定計算之土地漲價總數額 100 萬元，土地增值稅 10 萬元。（5 分）</w:t>
      </w:r>
    </w:p>
    <w:p>
      <w:pPr>
        <w:spacing w:after="200"/>
      </w:pPr>
      <w:r>
        <w:rPr>
          <w:rFonts w:ascii="Times New Roman" w:hAnsi="Times New Roman" w:eastAsia="PMingLiU"/>
          <w:b w:val="0"/>
          <w:sz w:val="22"/>
        </w:rPr>
        <w:t>②乙為非居住者，其於 110 年 1 月 5 日以 1,300 萬元購入 B 房地，於 111年 10 月 10 日出售，售價 3,000 萬元，支付取得、改良及移轉費用 160 萬元（如契稅、印花稅、代書費、規費、公證費及仲介費等），該次交易依土地稅法第 30 條第 1 項計算之土地漲價總數額 200 萬元，土地增值稅 60 萬元。（5 分）</w:t>
      </w:r>
    </w:p>
    <w:p>
      <w:pPr>
        <w:spacing w:after="120"/>
      </w:pPr>
      <w:r>
        <w:rPr>
          <w:rFonts w:ascii="Times New Roman" w:hAnsi="Times New Roman" w:eastAsia="PMingLiU"/>
          <w:b/>
          <w:sz w:val="22"/>
        </w:rPr>
        <w:t>三、甲公司是我國境內採比例扣抵法計算繳納營業稅的兼營營業人，且均無申請放棄免稅。依加值型及非加值型營業稅法相關規定，回答下列問題：（未列計算式不予計分）</w:t>
      </w:r>
    </w:p>
    <w:p>
      <w:pPr>
        <w:spacing w:after="80"/>
      </w:pPr>
      <w:r>
        <w:rPr>
          <w:rFonts w:ascii="Times New Roman" w:hAnsi="Times New Roman" w:eastAsia="PMingLiU"/>
          <w:b w:val="0"/>
          <w:sz w:val="22"/>
        </w:rPr>
        <w:t>① 111 年 2 月份甲公司出售辦公室 1 間，銷售價格為新臺幣 1 億元，其中建物為 4,200 萬元，土地為 5,800 萬元。假設甲公司當期僅有一筆進貨 2,100 萬元（含稅），無其他進、銷項，甲公司當期營業稅應繳納多少元？（5 分）</w:t>
      </w:r>
    </w:p>
    <w:p>
      <w:pPr>
        <w:spacing w:after="80"/>
      </w:pPr>
      <w:r>
        <w:rPr>
          <w:rFonts w:ascii="Times New Roman" w:hAnsi="Times New Roman" w:eastAsia="PMingLiU"/>
          <w:b w:val="0"/>
          <w:sz w:val="22"/>
        </w:rPr>
        <w:t>② 111 年 9 月份甲公司自國外進口營業稅完稅價格 3,000 萬元的農藥，假設無其他進口稅費，甲公司此次進口農藥需繳納營業稅多少元？（5 分）</w:t>
      </w:r>
    </w:p>
    <w:p>
      <w:pPr>
        <w:spacing w:after="80"/>
      </w:pPr>
      <w:r>
        <w:rPr>
          <w:rFonts w:ascii="Times New Roman" w:hAnsi="Times New Roman" w:eastAsia="PMingLiU"/>
          <w:b w:val="0"/>
          <w:sz w:val="22"/>
        </w:rPr>
        <w:t>③該批農藥 111 年 9 月份即銷售與乙公司，售價為 4,000 萬元，如甲公司當期僅有前開銷售貨物行為，甲公司該期營業稅應繳納多少元？（5 分）</w:t>
      </w:r>
    </w:p>
    <w:p>
      <w:pPr>
        <w:spacing w:after="200"/>
      </w:pPr>
      <w:r>
        <w:rPr>
          <w:rFonts w:ascii="Times New Roman" w:hAnsi="Times New Roman" w:eastAsia="PMingLiU"/>
          <w:b w:val="0"/>
          <w:sz w:val="22"/>
        </w:rPr>
        <w:t>④如甲公司 111 年度僅有上開進、銷項，甲公司當年度最後一期之調整稅額若干？（5 分）</w:t>
      </w:r>
    </w:p>
    <w:p>
      <w:pPr>
        <w:spacing w:after="120"/>
      </w:pPr>
      <w:r>
        <w:rPr>
          <w:rFonts w:ascii="Times New Roman" w:hAnsi="Times New Roman" w:eastAsia="PMingLiU"/>
          <w:b/>
          <w:sz w:val="22"/>
        </w:rPr>
        <w:t>四、依遺產及贈與稅法規定，回答下列問題：</w:t>
      </w:r>
    </w:p>
    <w:p>
      <w:pPr>
        <w:spacing w:after="80"/>
      </w:pPr>
      <w:r>
        <w:rPr>
          <w:rFonts w:ascii="Times New Roman" w:hAnsi="Times New Roman" w:eastAsia="PMingLiU"/>
          <w:b w:val="0"/>
          <w:sz w:val="22"/>
        </w:rPr>
        <w:t>①第 5 條所稱之「以贈與論」，包括那些情形？（6 分）</w:t>
      </w:r>
    </w:p>
    <w:p>
      <w:pPr>
        <w:spacing w:after="200"/>
      </w:pPr>
      <w:r>
        <w:rPr>
          <w:rFonts w:ascii="Times New Roman" w:hAnsi="Times New Roman" w:eastAsia="PMingLiU"/>
          <w:b w:val="0"/>
          <w:sz w:val="22"/>
        </w:rPr>
        <w:t>②甲於 112 年 3 月以 3,500 萬元向乙購買 3 筆土地，公告土地現值 1,800萬元，並登記為甲之孫所有，假設甲當年度並無其他贈與行為，計算本案贈與總額及應納贈與稅額各為若干元。（未列計算式不予計分）（4 分）</w:t>
      </w:r>
    </w:p>
    <w:p>
      <w:pPr>
        <w:spacing w:after="160"/>
      </w:pPr>
      <w:r>
        <w:rPr>
          <w:rFonts w:ascii="Times New Roman" w:hAnsi="Times New Roman" w:eastAsia="PMingLiU"/>
          <w:b/>
          <w:sz w:val="26"/>
        </w:rPr>
        <w:t>乙、選擇題（每題 2 分，共 25 題 50 分）</w:t>
      </w:r>
    </w:p>
    <w:p>
      <w:pPr>
        <w:spacing w:after="80"/>
      </w:pPr>
      <w:r>
        <w:rPr>
          <w:rFonts w:ascii="Times New Roman" w:hAnsi="Times New Roman" w:eastAsia="PMingLiU"/>
          <w:b w:val="0"/>
          <w:sz w:val="22"/>
        </w:rPr>
        <w:t>1. 依所得稅法規定，納稅義務人 111 年度綜合所得稅結算申報時，符合下列那一種情形，不得列報長期照顧特別扣除額或幼兒學前特別扣除額？</w:t>
      </w:r>
    </w:p>
    <w:p>
      <w:pPr>
        <w:spacing w:after="160"/>
      </w:pPr>
      <w:r>
        <w:rPr>
          <w:rFonts w:ascii="Times New Roman" w:hAnsi="Times New Roman" w:eastAsia="PMingLiU"/>
          <w:b w:val="0"/>
          <w:sz w:val="22"/>
        </w:rPr>
        <w:t xml:space="preserve">　(A)採各類所得分開計算稅額方式，經減除該 2 項扣除額後，本人與其配偶適用稅率分別為 20%、12%　(B)基本所得額 650 萬元　(C)符合衛生福利部公告須長期照顧之身心失能者領有身心障礙證明　(D)納稅義務人列報之子女於 106 年 1 月 1 日出生</w:t>
      </w:r>
    </w:p>
    <w:p>
      <w:pPr>
        <w:spacing w:after="80"/>
      </w:pPr>
      <w:r>
        <w:rPr>
          <w:rFonts w:ascii="Times New Roman" w:hAnsi="Times New Roman" w:eastAsia="PMingLiU"/>
          <w:b w:val="0"/>
          <w:sz w:val="22"/>
        </w:rPr>
        <w:t>2. 個人 111 年度符合下列何種情形，免依所得基本稅額條例規定計算繳納所得稅？</w:t>
      </w:r>
    </w:p>
    <w:p>
      <w:pPr>
        <w:spacing w:after="160"/>
      </w:pPr>
      <w:r>
        <w:rPr>
          <w:rFonts w:ascii="Times New Roman" w:hAnsi="Times New Roman" w:eastAsia="PMingLiU"/>
          <w:b w:val="0"/>
          <w:sz w:val="22"/>
        </w:rPr>
        <w:t xml:space="preserve">　(A)經常居住中華民國境內之個人，有香港來源所得新臺幣 200 萬元　(B)經常居住中華民國境內之個人，有基本所得額新臺幣 800 萬元　(C) 111 年度綜合所得稅結算申報有投資抵減稅額新臺幣 1 萬元　(D)外國人 111 年 8 月至 12 月受外國公司派遣來我國工作，取得國外薪資新臺幣 800 萬元</w:t>
      </w:r>
    </w:p>
    <w:p>
      <w:pPr>
        <w:spacing w:after="80"/>
      </w:pPr>
      <w:r>
        <w:rPr>
          <w:rFonts w:ascii="Times New Roman" w:hAnsi="Times New Roman" w:eastAsia="PMingLiU"/>
          <w:b w:val="0"/>
          <w:sz w:val="22"/>
        </w:rPr>
        <w:t>3. 依所得稅法及相關法規規定，營利事業應保持足以正確計算其營利事業所得額之帳簿憑證，下列何者正確？</w:t>
      </w:r>
    </w:p>
    <w:p>
      <w:pPr>
        <w:spacing w:after="160"/>
      </w:pPr>
      <w:r>
        <w:rPr>
          <w:rFonts w:ascii="Times New Roman" w:hAnsi="Times New Roman" w:eastAsia="PMingLiU"/>
          <w:b w:val="0"/>
          <w:sz w:val="22"/>
        </w:rPr>
        <w:t xml:space="preserve">　(A)營利事業設置之帳簿，除未結會計事項外，應至少保存 5 年　(B)稽徵機關進行調查時，營利事業未提示各種證明所得額之帳簿、文據，稽徵機關僅得依同業利潤標準核定其所得額　(C)營利事業遭受不可抗力災害以致帳簿憑證滅失者，應依規定併同災害損失報請稽徵機關派員勘查屬實或提出確實證據證明屬實　(D)營利事業之帳簿憑證因遭受不可抗力而滅失者，稽徵機關應依同業利潤標準核定其所得額</w:t>
      </w:r>
    </w:p>
    <w:p>
      <w:pPr>
        <w:spacing w:after="80"/>
      </w:pPr>
      <w:r>
        <w:rPr>
          <w:rFonts w:ascii="Times New Roman" w:hAnsi="Times New Roman" w:eastAsia="PMingLiU"/>
          <w:b w:val="0"/>
          <w:sz w:val="22"/>
        </w:rPr>
        <w:t>4. 依所得稅法及相關法規規定，甲公司 108 年度新設立，108 年度依商業會計法處理之本期稅後淨利為 800 萬元，109 年 4 月召開股東會決議分派股利 300 萬元，另 109 年 12 月購買生產用機器200 萬元，其申報 108 年度未分配盈餘加徵之營利事業所得稅金額，下列何者正確？</w:t>
      </w:r>
    </w:p>
    <w:p>
      <w:pPr>
        <w:spacing w:after="160"/>
      </w:pPr>
      <w:r>
        <w:rPr>
          <w:rFonts w:ascii="Times New Roman" w:hAnsi="Times New Roman" w:eastAsia="PMingLiU"/>
          <w:b w:val="0"/>
          <w:sz w:val="22"/>
        </w:rPr>
        <w:t xml:space="preserve">　(A) 40 萬元 (B) 25 萬元 (C) 15 萬元 (D) 11 萬元</w:t>
      </w:r>
    </w:p>
    <w:p>
      <w:pPr>
        <w:spacing w:after="80"/>
      </w:pPr>
      <w:r>
        <w:rPr>
          <w:rFonts w:ascii="Times New Roman" w:hAnsi="Times New Roman" w:eastAsia="PMingLiU"/>
          <w:b w:val="0"/>
          <w:sz w:val="22"/>
        </w:rPr>
        <w:t>5. 營利事業計算基本所得額時，以所得稅法規定計算之課稅所得額為基礎，加計之各項所得，下列何者非屬加計項目？</w:t>
      </w:r>
    </w:p>
    <w:p>
      <w:pPr>
        <w:spacing w:after="160"/>
      </w:pPr>
      <w:r>
        <w:rPr>
          <w:rFonts w:ascii="Times New Roman" w:hAnsi="Times New Roman" w:eastAsia="PMingLiU"/>
          <w:b w:val="0"/>
          <w:sz w:val="22"/>
        </w:rPr>
        <w:t xml:space="preserve">　(A)依所得稅法規定停徵所得稅之證券交易所得　(B)依產業創新條例規定智慧財產權研究發展支出加倍減除金額　(C)依所得稅法規定不計入所得額課稅之股利或盈餘收入　(D)依國際金融業務條例規定免徵營利事業所得稅之所得額</w:t>
      </w:r>
    </w:p>
    <w:p>
      <w:pPr>
        <w:spacing w:after="80"/>
      </w:pPr>
      <w:r>
        <w:rPr>
          <w:rFonts w:ascii="Times New Roman" w:hAnsi="Times New Roman" w:eastAsia="PMingLiU"/>
          <w:b w:val="0"/>
          <w:sz w:val="22"/>
        </w:rPr>
        <w:t>6. 總機構在中華民國境外之 A 公司，其在臺分公司於 107 年 6 月買進一筆土地，與境內甲建設公司合建，於 110 年 9 月興建完成並各自出售土地、房屋，A 公司 110 年度營利事業所得稅申報房地合一課徵所得稅適用稅率為何？</w:t>
      </w:r>
    </w:p>
    <w:p>
      <w:pPr>
        <w:spacing w:after="160"/>
      </w:pPr>
      <w:r>
        <w:rPr>
          <w:rFonts w:ascii="Times New Roman" w:hAnsi="Times New Roman" w:eastAsia="PMingLiU"/>
          <w:b w:val="0"/>
          <w:sz w:val="22"/>
        </w:rPr>
        <w:t xml:space="preserve">　(A) 45% (B) 35% (C) 20% (D) 15%</w:t>
      </w:r>
    </w:p>
    <w:p>
      <w:pPr>
        <w:spacing w:after="80"/>
      </w:pPr>
      <w:r>
        <w:rPr>
          <w:rFonts w:ascii="Times New Roman" w:hAnsi="Times New Roman" w:eastAsia="PMingLiU"/>
          <w:b w:val="0"/>
          <w:sz w:val="22"/>
        </w:rPr>
        <w:t>7. 依所得稅法第 110 條規定，乙公司 110 年營利事業所得稅結算申報為營業虧損 200 萬元，稽徵機關查獲短漏報所得 60 萬元，加計短漏所得額後核定其營利事業所得額仍為虧損，不考量減免處罰情形下，其應處罰鍰金額？</w:t>
      </w:r>
    </w:p>
    <w:p>
      <w:pPr>
        <w:spacing w:after="160"/>
      </w:pPr>
      <w:r>
        <w:rPr>
          <w:rFonts w:ascii="Times New Roman" w:hAnsi="Times New Roman" w:eastAsia="PMingLiU"/>
          <w:b w:val="0"/>
          <w:sz w:val="22"/>
        </w:rPr>
        <w:t xml:space="preserve">　(A) 24 萬元 (B) 12 萬元 (C) 9 萬元 (D) 6 萬元</w:t>
      </w:r>
    </w:p>
    <w:p>
      <w:pPr>
        <w:spacing w:after="80"/>
      </w:pPr>
      <w:r>
        <w:rPr>
          <w:rFonts w:ascii="Times New Roman" w:hAnsi="Times New Roman" w:eastAsia="PMingLiU"/>
          <w:b w:val="0"/>
          <w:sz w:val="22"/>
        </w:rPr>
        <w:t>8. 依所得稅法及相關法規規定，下列何者不符合房地合一課徵所得稅新制有關自住房地租稅優惠之條件？</w:t>
      </w:r>
    </w:p>
    <w:p>
      <w:pPr>
        <w:spacing w:after="160"/>
      </w:pPr>
      <w:r>
        <w:rPr>
          <w:rFonts w:ascii="Times New Roman" w:hAnsi="Times New Roman" w:eastAsia="PMingLiU"/>
          <w:b w:val="0"/>
          <w:sz w:val="22"/>
        </w:rPr>
        <w:t xml:space="preserve">　(A)個人與其配偶及未成年子女於該房屋辦竣戶籍登記連續滿 8 年　(B)個人或其配偶於該房屋連續居住滿 7 年　(C)個人與其配偶及成年子女於交易前 6 年內未曾適用自住房地優惠　(D)房屋在交易前 7 年內，未曾出租、供營業或執行業務使用</w:t>
      </w:r>
    </w:p>
    <w:p>
      <w:pPr>
        <w:spacing w:after="80"/>
      </w:pPr>
      <w:r>
        <w:rPr>
          <w:rFonts w:ascii="Times New Roman" w:hAnsi="Times New Roman" w:eastAsia="PMingLiU"/>
          <w:b w:val="0"/>
          <w:sz w:val="22"/>
        </w:rPr>
        <w:t>9. 非屬小規模營利事業之獨資合夥組織，依所得稅法相關規定之申報營利事業所得稅方式，下列敘述何者錯誤？</w:t>
      </w:r>
    </w:p>
    <w:p>
      <w:pPr>
        <w:spacing w:after="160"/>
      </w:pPr>
      <w:r>
        <w:rPr>
          <w:rFonts w:ascii="Times New Roman" w:hAnsi="Times New Roman" w:eastAsia="PMingLiU"/>
          <w:b w:val="0"/>
          <w:sz w:val="22"/>
        </w:rPr>
        <w:t xml:space="preserve">　(A)應辦理結算申報 (B)免辦理暫繳申報　(C)應辦理未分配盈餘申報 (D)應辦理清算申報</w:t>
      </w:r>
    </w:p>
    <w:p>
      <w:pPr>
        <w:spacing w:after="80"/>
      </w:pPr>
      <w:r>
        <w:rPr>
          <w:rFonts w:ascii="Times New Roman" w:hAnsi="Times New Roman" w:eastAsia="PMingLiU"/>
          <w:b w:val="0"/>
          <w:sz w:val="22"/>
        </w:rPr>
        <w:t>10. 依所得稅法及相關法規規定，有關營利事業所得稅申報之罰則，下列敘述何者錯誤？</w:t>
      </w:r>
    </w:p>
    <w:p>
      <w:pPr>
        <w:spacing w:after="160"/>
      </w:pPr>
      <w:r>
        <w:rPr>
          <w:rFonts w:ascii="Times New Roman" w:hAnsi="Times New Roman" w:eastAsia="PMingLiU"/>
          <w:b w:val="0"/>
          <w:sz w:val="22"/>
        </w:rPr>
        <w:t xml:space="preserve">　(A)納稅義務人已依本法規定辦理結算、決算或清算申報，而對依本法規定應申報課稅之所得額有漏報或短報情事者，處以所漏稅額二倍以下之罰鍰　(B)納稅義務人未依本法規定自行辦理結算、決算或清算申報，而經稽徵機關調查，發現有依本法規定課稅之所得額者，除依法核定補徵應納稅額外，應照補徵稅額，處三倍以下之罰鍰　(C)納稅義務人為獨資、合夥組織之營利事業者，應就稽徵機關核定短漏之課稅所得額，按所漏稅額之半數計算罰鍰　(D)營利事業已依所得稅法第 102 條之 2 規定辦理申報，但有漏報或短報未分配盈餘者，處以所漏稅額一倍以下之罰鍰</w:t>
      </w:r>
    </w:p>
    <w:p>
      <w:pPr>
        <w:spacing w:after="80"/>
      </w:pPr>
      <w:r>
        <w:rPr>
          <w:rFonts w:ascii="Times New Roman" w:hAnsi="Times New Roman" w:eastAsia="PMingLiU"/>
          <w:b w:val="0"/>
          <w:sz w:val="22"/>
        </w:rPr>
        <w:t>11. 依加值型及非加值型營業稅法規定，保險業下列何種收入適用稅率百分之一？</w:t>
      </w:r>
    </w:p>
    <w:p>
      <w:pPr>
        <w:spacing w:after="160"/>
      </w:pPr>
      <w:r>
        <w:rPr>
          <w:rFonts w:ascii="Times New Roman" w:hAnsi="Times New Roman" w:eastAsia="PMingLiU"/>
          <w:b w:val="0"/>
          <w:sz w:val="22"/>
        </w:rPr>
        <w:t xml:space="preserve">　(A)出租房屋收入 (B)出售固定資產收入 (C)保險費收入 (D)再保費收入</w:t>
      </w:r>
    </w:p>
    <w:p>
      <w:pPr>
        <w:spacing w:after="80"/>
      </w:pPr>
      <w:r>
        <w:rPr>
          <w:rFonts w:ascii="Times New Roman" w:hAnsi="Times New Roman" w:eastAsia="PMingLiU"/>
          <w:b w:val="0"/>
          <w:sz w:val="22"/>
        </w:rPr>
        <w:t>12. 依加值型及非加值型營業稅法及相關法規規定，對有二人鋼琴演奏及演唱的鋼琴酒吧（PUB）課徵營業稅時，適用下列那一種稅率？</w:t>
      </w:r>
    </w:p>
    <w:p>
      <w:pPr>
        <w:spacing w:after="160"/>
      </w:pPr>
      <w:r>
        <w:rPr>
          <w:rFonts w:ascii="Times New Roman" w:hAnsi="Times New Roman" w:eastAsia="PMingLiU"/>
          <w:b w:val="0"/>
          <w:sz w:val="22"/>
        </w:rPr>
        <w:t xml:space="preserve">　(A) 5% (B) 10% (C) 15% (D) 25%</w:t>
      </w:r>
    </w:p>
    <w:p>
      <w:pPr>
        <w:spacing w:after="80"/>
      </w:pPr>
      <w:r>
        <w:rPr>
          <w:rFonts w:ascii="Times New Roman" w:hAnsi="Times New Roman" w:eastAsia="PMingLiU"/>
          <w:b w:val="0"/>
          <w:sz w:val="22"/>
        </w:rPr>
        <w:t>13. 依加值型及非加值型營業稅法及相關規定，營業人如有固定營業場所，應於何時向主管稽徵機關申請稅籍登記？</w:t>
      </w:r>
    </w:p>
    <w:p>
      <w:pPr>
        <w:spacing w:after="160"/>
      </w:pPr>
      <w:r>
        <w:rPr>
          <w:rFonts w:ascii="Times New Roman" w:hAnsi="Times New Roman" w:eastAsia="PMingLiU"/>
          <w:b w:val="0"/>
          <w:sz w:val="22"/>
        </w:rPr>
        <w:t xml:space="preserve">　(A)試銷期滿後 (B)開始營業前　(C)開始營業後 10 日內 (D)無時間限制</w:t>
      </w:r>
    </w:p>
    <w:p>
      <w:pPr>
        <w:spacing w:after="80"/>
      </w:pPr>
      <w:r>
        <w:rPr>
          <w:rFonts w:ascii="Times New Roman" w:hAnsi="Times New Roman" w:eastAsia="PMingLiU"/>
          <w:b w:val="0"/>
          <w:sz w:val="22"/>
        </w:rPr>
        <w:t>14. 依加值型及非加值型營業稅法及相關規定，經銷家電產品的公司依經銷契約自家電製造商取得的獎勵金，經銷商應如何書立憑證？</w:t>
      </w:r>
    </w:p>
    <w:p>
      <w:pPr>
        <w:spacing w:after="160"/>
      </w:pPr>
      <w:r>
        <w:rPr>
          <w:rFonts w:ascii="Times New Roman" w:hAnsi="Times New Roman" w:eastAsia="PMingLiU"/>
          <w:b w:val="0"/>
          <w:sz w:val="22"/>
        </w:rPr>
        <w:t xml:space="preserve">　(A)應開立統一發票 (B)應開立銷貨退回或折讓證明單　(C)應開立進貨退出或折讓證明單 (D)應開立銀錢收據</w:t>
      </w:r>
    </w:p>
    <w:p>
      <w:pPr>
        <w:spacing w:after="80"/>
      </w:pPr>
      <w:r>
        <w:rPr>
          <w:rFonts w:ascii="Times New Roman" w:hAnsi="Times New Roman" w:eastAsia="PMingLiU"/>
          <w:b w:val="0"/>
          <w:sz w:val="22"/>
        </w:rPr>
        <w:t>15. 依加值型及非加值型營業稅法及相關規定，外國之事業、機關、團體、組織在我國境內無固定營業場所，銷售電子勞務予境內自然人，年銷售額超過新臺幣多少元，即應依法向主管稽徵機關申請稅籍登記？</w:t>
      </w:r>
    </w:p>
    <w:p>
      <w:pPr>
        <w:spacing w:after="160"/>
      </w:pPr>
      <w:r>
        <w:rPr>
          <w:rFonts w:ascii="Times New Roman" w:hAnsi="Times New Roman" w:eastAsia="PMingLiU"/>
          <w:b w:val="0"/>
          <w:sz w:val="22"/>
        </w:rPr>
        <w:t xml:space="preserve">　(A) 48 萬元 (B) 36 萬元 (C) 24 萬元 (D) 12 萬元</w:t>
      </w:r>
    </w:p>
    <w:p>
      <w:pPr>
        <w:spacing w:after="80"/>
      </w:pPr>
      <w:r>
        <w:rPr>
          <w:rFonts w:ascii="Times New Roman" w:hAnsi="Times New Roman" w:eastAsia="PMingLiU"/>
          <w:b w:val="0"/>
          <w:sz w:val="22"/>
        </w:rPr>
        <w:t>16. 依加值型及非加值型營業稅法及相關法規規定，銷售下列農產品，何者不得免徵營業稅？</w:t>
      </w:r>
    </w:p>
    <w:p>
      <w:pPr>
        <w:spacing w:after="160"/>
      </w:pPr>
      <w:r>
        <w:rPr>
          <w:rFonts w:ascii="Times New Roman" w:hAnsi="Times New Roman" w:eastAsia="PMingLiU"/>
          <w:b w:val="0"/>
          <w:sz w:val="22"/>
        </w:rPr>
        <w:t xml:space="preserve">　(A)水果 (B)香腸 (C)糙米 (D)原木</w:t>
      </w:r>
    </w:p>
    <w:p>
      <w:pPr>
        <w:spacing w:after="80"/>
      </w:pPr>
      <w:r>
        <w:rPr>
          <w:rFonts w:ascii="Times New Roman" w:hAnsi="Times New Roman" w:eastAsia="PMingLiU"/>
          <w:b w:val="0"/>
          <w:sz w:val="22"/>
        </w:rPr>
        <w:t>17. 依土地稅法規定，每年 11 月開徵之地價稅，係以當年何日土地登記簿上所記載之土地所有權人為納稅義務人？</w:t>
      </w:r>
    </w:p>
    <w:p>
      <w:pPr>
        <w:spacing w:after="160"/>
      </w:pPr>
      <w:r>
        <w:rPr>
          <w:rFonts w:ascii="Times New Roman" w:hAnsi="Times New Roman" w:eastAsia="PMingLiU"/>
          <w:b w:val="0"/>
          <w:sz w:val="22"/>
        </w:rPr>
        <w:t xml:space="preserve">　(A) 1 月 1 日 (B) 8 月 31 日 (C) 9 月 22 日 (D) 12 月 31 日</w:t>
      </w:r>
    </w:p>
    <w:p>
      <w:pPr>
        <w:spacing w:after="80"/>
      </w:pPr>
      <w:r>
        <w:rPr>
          <w:rFonts w:ascii="Times New Roman" w:hAnsi="Times New Roman" w:eastAsia="PMingLiU"/>
          <w:b w:val="0"/>
          <w:sz w:val="22"/>
        </w:rPr>
        <w:t>18. 依土地稅法規定，有關一般土地適用的地價稅稅率之敘述，下列何者錯誤？</w:t>
      </w:r>
    </w:p>
    <w:p>
      <w:pPr>
        <w:spacing w:after="160"/>
      </w:pPr>
      <w:r>
        <w:rPr>
          <w:rFonts w:ascii="Times New Roman" w:hAnsi="Times New Roman" w:eastAsia="PMingLiU"/>
          <w:b w:val="0"/>
          <w:sz w:val="22"/>
        </w:rPr>
        <w:t xml:space="preserve">　(A)未超過累進起點地價 5 倍者，課徵 10‰　(B)超過累進起點地價 5 倍至 10 倍者，就其超過部分課徵 25‰　(C)超過累進起點地價 15 倍至 20 倍者，就其超過部分課徵 45‰　(D)超過累進起點地價 20 倍以上者，就其超過部分課徵 55‰</w:t>
      </w:r>
    </w:p>
    <w:p>
      <w:pPr>
        <w:spacing w:after="80"/>
      </w:pPr>
      <w:r>
        <w:rPr>
          <w:rFonts w:ascii="Times New Roman" w:hAnsi="Times New Roman" w:eastAsia="PMingLiU"/>
          <w:b w:val="0"/>
          <w:sz w:val="22"/>
        </w:rPr>
        <w:t>19. 依土地稅法規定，移轉下列何項土地時，可以申請不課徵土地增值稅？</w:t>
      </w:r>
    </w:p>
    <w:p>
      <w:pPr>
        <w:spacing w:after="160"/>
      </w:pPr>
      <w:r>
        <w:rPr>
          <w:rFonts w:ascii="Times New Roman" w:hAnsi="Times New Roman" w:eastAsia="PMingLiU"/>
          <w:b w:val="0"/>
          <w:sz w:val="22"/>
        </w:rPr>
        <w:t xml:space="preserve">　(A)因繼承而移轉之土地　(B)因被徵收而移轉之土地　(C)移轉與自然人之作農業使用的農業用地　(D)移轉與營利事業之作工廠使用的工業用地</w:t>
      </w:r>
    </w:p>
    <w:p>
      <w:pPr>
        <w:spacing w:after="80"/>
      </w:pPr>
      <w:r>
        <w:rPr>
          <w:rFonts w:ascii="Times New Roman" w:hAnsi="Times New Roman" w:eastAsia="PMingLiU"/>
          <w:b w:val="0"/>
          <w:sz w:val="22"/>
        </w:rPr>
        <w:t>20. 依土地稅法規定，A 公司持有一筆都市計畫公共設施保留地，供其員工做停車使用，該土地課稅總地價為 1,000 萬元，當年應繳納地價稅額為若干？</w:t>
      </w:r>
    </w:p>
    <w:p>
      <w:pPr>
        <w:spacing w:after="160"/>
      </w:pPr>
      <w:r>
        <w:rPr>
          <w:rFonts w:ascii="Times New Roman" w:hAnsi="Times New Roman" w:eastAsia="PMingLiU"/>
          <w:b w:val="0"/>
          <w:sz w:val="22"/>
        </w:rPr>
        <w:t xml:space="preserve">　(A) 10 萬元 (B) 6 萬元 (C) 2 萬元 (D) 0 元</w:t>
      </w:r>
    </w:p>
    <w:p>
      <w:pPr>
        <w:spacing w:after="80"/>
      </w:pPr>
      <w:r>
        <w:rPr>
          <w:rFonts w:ascii="Times New Roman" w:hAnsi="Times New Roman" w:eastAsia="PMingLiU"/>
          <w:b w:val="0"/>
          <w:sz w:val="22"/>
        </w:rPr>
        <w:t>21. 甲營利事業自 110 年 9 月 1 日起至 110 年 10 月 31 日依法規定應給與他人憑證而未給與，以及應自他人取得憑證而未取得，經國稅局於 111 年 1 月 20 日查獲，國稅局於依稅捐稽徵法第 44 條規定論處違章時，下列敘述何者為正確？</w:t>
      </w:r>
    </w:p>
    <w:p>
      <w:pPr>
        <w:spacing w:after="160"/>
      </w:pPr>
      <w:r>
        <w:rPr>
          <w:rFonts w:ascii="Times New Roman" w:hAnsi="Times New Roman" w:eastAsia="PMingLiU"/>
          <w:b w:val="0"/>
          <w:sz w:val="22"/>
        </w:rPr>
        <w:t xml:space="preserve">　(A)國稅局應就查獲當次查明認定之總額，就甲營利事業未依法規定給與他人憑證及取得憑證之金額，分別依該條第 1 項規定之罰鍰額度計算罰鍰金額後，分別適用該條第 2 項關於處罰金額最高不得超過新臺幣（下同）100 萬元之規定　(B)國稅局不須區分甲營利事業未依法規定給與他人憑證及取得憑證之金額，直接就查獲當次查明認定之總額，依該條第 1 項規定之罰鍰額度計算罰鍰金額，並適用該條第 2 項關於處罰金額最高不得超過 100 萬元之規定　(C)國稅局於計算罰鍰金額時，須就經查明認定之總額，裁處百分之五罰鍰，但最高不得超過 100萬元　(D)國稅局於計算罰鍰金額時，可就經查明認定之總額，裁處百分之五以下罰鍰，但最高可超過 100萬元</w:t>
      </w:r>
    </w:p>
    <w:p>
      <w:pPr>
        <w:spacing w:after="80"/>
      </w:pPr>
      <w:r>
        <w:rPr>
          <w:rFonts w:ascii="Times New Roman" w:hAnsi="Times New Roman" w:eastAsia="PMingLiU"/>
          <w:b w:val="0"/>
          <w:sz w:val="22"/>
        </w:rPr>
        <w:t>22. 依稅捐稽徵法規定，下列何種情形，稅捐稽徵人員對於納稅義務人之財產、所得、營業、納稅等資料應絕對保守秘密？</w:t>
      </w:r>
    </w:p>
    <w:p>
      <w:pPr>
        <w:spacing w:after="160"/>
      </w:pPr>
      <w:r>
        <w:rPr>
          <w:rFonts w:ascii="Times New Roman" w:hAnsi="Times New Roman" w:eastAsia="PMingLiU"/>
          <w:b w:val="0"/>
          <w:sz w:val="22"/>
        </w:rPr>
        <w:t xml:space="preserve">　(A)債權人持拍賣抵押物裁定，向稅捐稽徵機關申請查調該抵押人之所得資料　(B)債權人持金錢給付之確定判決，向稅捐稽徵機關申請查調判決所載債務人之財產資料　(C)法務部行政執行署所屬行政執行分署因辦理公法上金錢給付義務執行事件之需要，經財政部核定後函請稅捐稽徵機關提供納稅義務人之財產、所得、營業及納稅資料　(D)納稅義務人死亡，其繼承人向稅捐稽徵機關申請查調該納稅義務人之財產及所得資料</w:t>
      </w:r>
    </w:p>
    <w:p>
      <w:pPr>
        <w:spacing w:after="80"/>
      </w:pPr>
      <w:r>
        <w:rPr>
          <w:rFonts w:ascii="Times New Roman" w:hAnsi="Times New Roman" w:eastAsia="PMingLiU"/>
          <w:b w:val="0"/>
          <w:sz w:val="22"/>
        </w:rPr>
        <w:t>23. 下列何者非屬稅捐稽徵法第 24 條規定之租稅保全措施？</w:t>
      </w:r>
    </w:p>
    <w:p>
      <w:pPr>
        <w:spacing w:after="160"/>
      </w:pPr>
      <w:r>
        <w:rPr>
          <w:rFonts w:ascii="Times New Roman" w:hAnsi="Times New Roman" w:eastAsia="PMingLiU"/>
          <w:b w:val="0"/>
          <w:sz w:val="22"/>
        </w:rPr>
        <w:t xml:space="preserve">　(A)辦理禁止處分登記 (B)向法院聲請裁定拘提管收　(C)向法院聲請裁定假扣押 (D)限制出境</w:t>
      </w:r>
    </w:p>
    <w:p>
      <w:pPr>
        <w:spacing w:after="80"/>
      </w:pPr>
      <w:r>
        <w:rPr>
          <w:rFonts w:ascii="Times New Roman" w:hAnsi="Times New Roman" w:eastAsia="PMingLiU"/>
          <w:b w:val="0"/>
          <w:sz w:val="22"/>
        </w:rPr>
        <w:t>24. 依稅捐稽徵法及相關法令規定，關於限制出境，下列敘述何者正確？</w:t>
      </w:r>
    </w:p>
    <w:p>
      <w:pPr>
        <w:spacing w:after="160"/>
      </w:pPr>
      <w:r>
        <w:rPr>
          <w:rFonts w:ascii="Times New Roman" w:hAnsi="Times New Roman" w:eastAsia="PMingLiU"/>
          <w:b w:val="0"/>
          <w:sz w:val="22"/>
        </w:rPr>
        <w:t xml:space="preserve">　(A)營利事業欠繳營業稅 150 萬元，或個人欠稅 100 萬元，惟有脫產之虞，應予限制出境　(B)對於限制出境處分不服，應向財政部訴願會提起訴願　(C)個人應先執行禁止財產移轉或設定他項權利，或申請實施財產假扣押，始得函請內政部限制出境　(D)個人或營利事業負責人限制出境期間最長不得超過 7 年</w:t>
      </w:r>
    </w:p>
    <w:p>
      <w:pPr>
        <w:spacing w:after="80"/>
      </w:pPr>
      <w:r>
        <w:rPr>
          <w:rFonts w:ascii="Times New Roman" w:hAnsi="Times New Roman" w:eastAsia="PMingLiU"/>
          <w:b w:val="0"/>
          <w:sz w:val="22"/>
        </w:rPr>
        <w:t>25. 甲無配偶，育有 2 名就讀空中大學的子女，甲於 112 年 5 月辦理 111 年度綜合所得稅申報時，列報項目包括免稅額計 27.6 萬元、標準扣除額 12.4 萬元、特別扣除額-薪資所得 20.7 萬元、教育學費 5 萬元、財產交易損失 5 萬元，111 年度每人基本生活所需費用為 19.6 萬元，甲得自綜合所得總額中減除之基本生活費差額為何？</w:t>
      </w:r>
    </w:p>
    <w:p>
      <w:pPr>
        <w:spacing w:after="160"/>
      </w:pPr>
      <w:r>
        <w:rPr>
          <w:rFonts w:ascii="Times New Roman" w:hAnsi="Times New Roman" w:eastAsia="PMingLiU"/>
          <w:b w:val="0"/>
          <w:sz w:val="22"/>
        </w:rPr>
        <w:t xml:space="preserve">　(A) 0 元 (B) 8.8 萬元 (C) 18.8 萬元 (D) 23.8 萬元</w:t>
      </w:r>
    </w:p>
    <w:p>
      <w:r>
        <w:br w:type="page"/>
      </w:r>
    </w:p>
    <w:p>
      <w:pPr>
        <w:spacing w:after="80"/>
      </w:pPr>
      <w:r>
        <w:rPr>
          <w:rFonts w:ascii="Times New Roman" w:hAnsi="Times New Roman" w:eastAsia="PMingLiU"/>
          <w:b/>
          <w:sz w:val="30"/>
        </w:rPr>
        <w:t>＝＝＝＝＝ 參考詳解與答案 ＝＝＝＝＝</w:t>
      </w:r>
    </w:p>
    <w:p>
      <w:pPr>
        <w:spacing w:after="200"/>
      </w:pPr>
      <w:r>
        <w:rPr>
          <w:rFonts w:ascii="Times New Roman" w:hAnsi="Times New Roman" w:eastAsia="PMingLiU"/>
          <w:b w:val="0"/>
          <w:sz w:val="20"/>
        </w:rPr>
        <w:t>（先盲考、列計算式後再對答案）</w:t>
      </w:r>
    </w:p>
    <w:p>
      <w:pPr>
        <w:spacing w:after="160"/>
      </w:pPr>
      <w:r>
        <w:rPr>
          <w:rFonts w:ascii="Times New Roman" w:hAnsi="Times New Roman" w:eastAsia="PMingLiU"/>
          <w:b/>
          <w:sz w:val="26"/>
        </w:rPr>
        <w:t>選擇題答案</w:t>
      </w:r>
    </w:p>
    <w:p>
      <w:pPr>
        <w:spacing w:after="200"/>
      </w:pPr>
      <w:r>
        <w:rPr>
          <w:rFonts w:ascii="Times New Roman" w:hAnsi="Times New Roman" w:eastAsia="PMingLiU"/>
          <w:b w:val="0"/>
          <w:sz w:val="24"/>
        </w:rPr>
        <w:t>1.A  2.D  3.C  4.D  5.C  6.B  7.C  8.C  9.C  10.C  11.D  12.C  13.B  14.C  15.A  16.B  17.B  18.A  19.C  20.B  21.A  22.A  23.B  24.C  25.C</w:t>
      </w:r>
    </w:p>
    <w:p>
      <w:pPr>
        <w:spacing w:after="120"/>
      </w:pPr>
      <w:r>
        <w:rPr>
          <w:rFonts w:ascii="Times New Roman" w:hAnsi="Times New Roman" w:eastAsia="PMingLiU"/>
          <w:b w:val="0"/>
          <w:sz w:val="20"/>
        </w:rPr>
        <w:t>考古題重排，來源 112140_0203_稅務法規.docx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