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114 年會計師考試｜稅務法規（考古題・重排版）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一、甲公司為兼營營業人當期營業稅銷售額包括應稅銷售額 180 萬元（其中外銷零稅率銷售額 80 萬元）、免稅銷售額 20 萬元；當期進項（均不含稅）包括一般進項 60 萬元及固定資產進項 60 萬元，請依加值型及非加值型營業稅法規定，計算甲公司當期得扣抵進項稅額（5 分）及應納（退）稅額為何？（5 分）（未列計算式者不予計分）</w:t>
      </w:r>
    </w:p>
    <w:p>
      <w:pPr>
        <w:spacing w:after="120"/>
      </w:pPr>
      <w:r>
        <w:rPr>
          <w:rFonts w:ascii="Times New Roman" w:hAnsi="Times New Roman" w:eastAsia="PMingLiU"/>
          <w:b/>
          <w:sz w:val="22"/>
        </w:rPr>
        <w:t>二、甲為中華民國國民，居住臺北市已經 30 多年，請依遺產及贈與稅法及相關法規規定，回答下列問題：（未列計算式者不予計分）</w:t>
      </w:r>
    </w:p>
    <w:p>
      <w:pPr>
        <w:spacing w:after="80"/>
      </w:pPr>
      <w:r>
        <w:rPr>
          <w:rFonts w:ascii="Times New Roman" w:hAnsi="Times New Roman" w:eastAsia="PMingLiU"/>
          <w:b w:val="0"/>
          <w:sz w:val="22"/>
        </w:rPr>
        <w:t>①甲於 113 年 1 月 1 日贈與兒子 2 筆商業區土地，市價 6,000 萬元，土地公告現值 3,000 萬元，其兒子應納之土地增值稅 300 萬元，並由甲代其繳納，甲於該年度並無其他贈與行為，則甲該次贈與應課稅之贈與淨額及應納贈與稅額各為多少元？（6 分）</w:t>
      </w:r>
    </w:p>
    <w:p>
      <w:pPr>
        <w:spacing w:after="80"/>
      </w:pPr>
      <w:r>
        <w:rPr>
          <w:rFonts w:ascii="Times New Roman" w:hAnsi="Times New Roman" w:eastAsia="PMingLiU"/>
          <w:b w:val="0"/>
          <w:sz w:val="22"/>
        </w:rPr>
        <w:t>②承上題，甲將土地贈與兒子半年後去世，去世時遺有銀行存款 2,500萬元，名下不動產（含坐落土地）一棟市價 4,500 萬元，房屋評定標準價格 450 萬元、坐落土地公告現值 600 萬元，則甲應課稅的遺產總額為多少元？（4 分）</w:t>
      </w:r>
    </w:p>
    <w:p>
      <w:pPr>
        <w:spacing w:after="200"/>
      </w:pPr>
      <w:r>
        <w:rPr>
          <w:rFonts w:ascii="Times New Roman" w:hAnsi="Times New Roman" w:eastAsia="PMingLiU"/>
          <w:b w:val="0"/>
          <w:sz w:val="22"/>
        </w:rPr>
        <w:t>③甲死後，遺有重度身心障礙之妻、25 歲之兒子及 18 歲之女兒，兒子拋棄繼承，遺產由女兒及妻子共同繼承，喪葬費用 150 萬元，本案遺產稅扣除額合計數為多少元？（5 分）</w:t>
      </w:r>
    </w:p>
    <w:p>
      <w:pPr>
        <w:spacing w:after="120"/>
      </w:pPr>
      <w:r>
        <w:rPr>
          <w:rFonts w:ascii="Times New Roman" w:hAnsi="Times New Roman" w:eastAsia="PMingLiU"/>
          <w:b/>
          <w:sz w:val="22"/>
        </w:rPr>
        <w:t>三、中華民國境內甲公司 113 年度直接持有境外低稅負國家 A 公司股權比率 80%，A 公司持有境外非低稅負國家（非大陸地區）B 公司股權比率 60%，A 公司為甲公司之受控外國企業（CFC），A 公司 113 年度無實質營運活動。甲公司、A 公司及 B 公司之關係企業股權結構如圖所示，113 年度持有股權比率皆未變動，財務報表稅後盈餘及決議盈餘分配數資訊如下：中華民國境內甲公司80%低稅負國家A公司60%非低稅負國家(非大陸地區)B公司</w:t>
      </w:r>
    </w:p>
    <w:p>
      <w:pPr>
        <w:spacing w:after="80"/>
      </w:pPr>
      <w:r>
        <w:rPr>
          <w:rFonts w:ascii="Times New Roman" w:hAnsi="Times New Roman" w:eastAsia="PMingLiU"/>
          <w:b w:val="0"/>
          <w:sz w:val="22"/>
        </w:rPr>
        <w:t>⑴甲公司 113 年度不含 A 公司投資收益之源自中華民國境內之課稅所得額為新臺幣（下同）3,000 萬元。A 公司 112 年度經稽徵機關核定並無虧損。</w:t>
      </w:r>
    </w:p>
    <w:p>
      <w:pPr>
        <w:spacing w:after="80"/>
      </w:pPr>
      <w:r>
        <w:rPr>
          <w:rFonts w:ascii="Times New Roman" w:hAnsi="Times New Roman" w:eastAsia="PMingLiU"/>
          <w:b w:val="0"/>
          <w:sz w:val="22"/>
        </w:rPr>
        <w:t>⑵ A 公司 113 年度財務報表稅後盈餘為 8,000 萬元，其中包含認列獲配 B 公司股利所繳納之股利或盈餘所得稅費用 120 萬元。A 公司113 年度未提列法定盈餘公積或限制盈餘分配。</w:t>
      </w:r>
    </w:p>
    <w:p>
      <w:pPr>
        <w:spacing w:after="80"/>
      </w:pPr>
      <w:r>
        <w:rPr>
          <w:rFonts w:ascii="Times New Roman" w:hAnsi="Times New Roman" w:eastAsia="PMingLiU"/>
          <w:b w:val="0"/>
          <w:sz w:val="22"/>
        </w:rPr>
        <w:t>⑶ B 公司 113 年 6 月 30 日決議分配股利 2,000 萬元，並依 B 公司所在國家稅法規定繳納股利或盈餘所得稅 200 萬元。B 公司 113 年度財務報表稅後盈餘為 6,000 萬元。請依所得稅法及營利事業認列受控外國企業所得適用辦法規定，回答下列問題：（未列計算式及說明計算過程者不予計分）</w:t>
      </w:r>
    </w:p>
    <w:p>
      <w:pPr>
        <w:spacing w:after="80"/>
      </w:pPr>
      <w:r>
        <w:rPr>
          <w:rFonts w:ascii="Times New Roman" w:hAnsi="Times New Roman" w:eastAsia="PMingLiU"/>
          <w:b w:val="0"/>
          <w:sz w:val="22"/>
        </w:rPr>
        <w:t>①甲公司計算 113 年度 A 公司之當年度盈餘為多少？（7 分）</w:t>
      </w:r>
    </w:p>
    <w:p>
      <w:pPr>
        <w:spacing w:after="80"/>
      </w:pPr>
      <w:r>
        <w:rPr>
          <w:rFonts w:ascii="Times New Roman" w:hAnsi="Times New Roman" w:eastAsia="PMingLiU"/>
          <w:b w:val="0"/>
          <w:sz w:val="22"/>
        </w:rPr>
        <w:t>②甲公司 113 年度應認列 A 公司之投資收益為多少？（4 分）</w:t>
      </w:r>
    </w:p>
    <w:p>
      <w:pPr>
        <w:spacing w:after="200"/>
      </w:pPr>
      <w:r>
        <w:rPr>
          <w:rFonts w:ascii="Times New Roman" w:hAnsi="Times New Roman" w:eastAsia="PMingLiU"/>
          <w:b w:val="0"/>
          <w:sz w:val="22"/>
        </w:rPr>
        <w:t>③甲公司 113 年度營利事業所得稅應納稅額為多少？（4 分）</w:t>
      </w:r>
    </w:p>
    <w:p>
      <w:pPr>
        <w:spacing w:after="120"/>
      </w:pPr>
      <w:r>
        <w:rPr>
          <w:rFonts w:ascii="Times New Roman" w:hAnsi="Times New Roman" w:eastAsia="PMingLiU"/>
          <w:b/>
          <w:sz w:val="22"/>
        </w:rPr>
        <w:t>四、甲在 A 市持有 3 筆都市土地，土地資料如下：申報地價（每平土地標示 面 積 用地別及使用情形方公尺單價）公共設施保留地，未作使用且新北段1地號 200平方公尺 10,000元與使用中之土地隔離依都市計畫法規定設置之供新北段2地號 500平方公尺 25,000元公眾使用的停車場用地新北段3地號 680平方公尺 25,000元 一般用地若 A 市 113 年累進起點地價為 200 萬元，請依土地稅法規定，計算113 年甲在Ａ市各筆土地之應納地價稅額為何？（10 分）（未列計算式者不予計分）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依所得稅法規定，公益信託之信託利益，其課稅時點及課稅主體為何？</w:t>
      </w:r>
    </w:p>
    <w:p>
      <w:pPr>
        <w:spacing w:after="160"/>
      </w:pPr>
      <w:r>
        <w:rPr>
          <w:rFonts w:ascii="Times New Roman" w:hAnsi="Times New Roman" w:eastAsia="PMingLiU"/>
          <w:b w:val="0"/>
          <w:sz w:val="22"/>
        </w:rPr>
        <w:t xml:space="preserve">　(A)公益信託因具公益性質，不發生課稅問題 (B)於信託契約成立年度，對委託人課稅　(C)於所得發生年度，對受託人課稅 (D)於信託利益分配年度，對受益人課稅</w:t>
      </w:r>
    </w:p>
    <w:p>
      <w:pPr>
        <w:spacing w:after="80"/>
      </w:pPr>
      <w:r>
        <w:rPr>
          <w:rFonts w:ascii="Times New Roman" w:hAnsi="Times New Roman" w:eastAsia="PMingLiU"/>
          <w:b w:val="0"/>
          <w:sz w:val="22"/>
        </w:rPr>
        <w:t>2. 下列那些交易免依所得稅法第 4 條之 4 規定適用房地合一稅制課徵所得稅？①105 年 1 月5 日取得一間 40 年的舊公寓並於 110 年 12 月 31 日出售 ②110 年 1 月出售依農業發展條例申請興建之農舍 ③105 年 1 月 5 日取得並於 110 年 12 月 31 日被徵收之土地及其土地改良物 ④106 年間取得之全新電梯大樓，於 110 年 7 月 31 日虧損售出</w:t>
      </w:r>
    </w:p>
    <w:p>
      <w:pPr>
        <w:spacing w:after="160"/>
      </w:pPr>
      <w:r>
        <w:rPr>
          <w:rFonts w:ascii="Times New Roman" w:hAnsi="Times New Roman" w:eastAsia="PMingLiU"/>
          <w:b w:val="0"/>
          <w:sz w:val="22"/>
        </w:rPr>
        <w:t xml:space="preserve">　(A)僅①② (B)僅③④ (C)僅①④ (D)僅②③</w:t>
      </w:r>
    </w:p>
    <w:p>
      <w:pPr>
        <w:spacing w:after="80"/>
      </w:pPr>
      <w:r>
        <w:rPr>
          <w:rFonts w:ascii="Times New Roman" w:hAnsi="Times New Roman" w:eastAsia="PMingLiU"/>
          <w:b w:val="0"/>
          <w:sz w:val="22"/>
        </w:rPr>
        <w:t>3. 依所得稅法規定，下列所得何者應計入個人取得年度之綜合所得總額？</w:t>
      </w:r>
    </w:p>
    <w:p>
      <w:pPr>
        <w:spacing w:after="160"/>
      </w:pPr>
      <w:r>
        <w:rPr>
          <w:rFonts w:ascii="Times New Roman" w:hAnsi="Times New Roman" w:eastAsia="PMingLiU"/>
          <w:b w:val="0"/>
          <w:sz w:val="22"/>
        </w:rPr>
        <w:t xml:space="preserve">　(A)於跳蚤市場拍賣個人過季二手衣物之交易所得　(B)將長輩贈送金塊於網路平臺出售之交易所得　(C)於我國證券交易市場出售國內投信業者發行 ETF（Exchange Traded Funds）之交易所得　(D)擔任我國私立大學學生入學考試監考人員取得之報酬</w:t>
      </w:r>
    </w:p>
    <w:p>
      <w:pPr>
        <w:spacing w:after="80"/>
      </w:pPr>
      <w:r>
        <w:rPr>
          <w:rFonts w:ascii="Times New Roman" w:hAnsi="Times New Roman" w:eastAsia="PMingLiU"/>
          <w:b w:val="0"/>
          <w:sz w:val="22"/>
        </w:rPr>
        <w:t>4. 甲單身未婚，113 年綜合所得總額 1,000 萬元，熱愛棒球，113 年初即經由教育部設置的「個人捐贈運動員專戶」，指定捐贈特定運動員 500 萬元；同年 5 月 5 日捐贈 300 萬元，未指定特定運動員，若甲 113 年度無其他贈與行為，則甲 113 年度綜合所得稅捐贈列舉扣除額及應納贈與稅額分別為何？</w:t>
      </w:r>
    </w:p>
    <w:p>
      <w:pPr>
        <w:spacing w:after="160"/>
      </w:pPr>
      <w:r>
        <w:rPr>
          <w:rFonts w:ascii="Times New Roman" w:hAnsi="Times New Roman" w:eastAsia="PMingLiU"/>
          <w:b w:val="0"/>
          <w:sz w:val="22"/>
        </w:rPr>
        <w:t xml:space="preserve">　(A) 800 萬元、0 元 (B) 700 萬元、0 元　(C) 500 萬元、5.6 萬元 (D) 300 萬元、25.6 萬元</w:t>
      </w:r>
    </w:p>
    <w:p>
      <w:pPr>
        <w:spacing w:after="80"/>
      </w:pPr>
      <w:r>
        <w:rPr>
          <w:rFonts w:ascii="Times New Roman" w:hAnsi="Times New Roman" w:eastAsia="PMingLiU"/>
          <w:b w:val="0"/>
          <w:sz w:val="22"/>
        </w:rPr>
        <w:t>5. 甲公司經營塑膠原料批發業，113 年度營利事業所得稅結算申報營業收入 2,000 萬元、非營業收入 100 萬元及非營業損失 50 萬元，甲公司如依擴大書面審核實施要點規定申報，當年度擴大書審純益率為 6%，則甲公司應申報課稅所得額為多少元？</w:t>
      </w:r>
    </w:p>
    <w:p>
      <w:pPr>
        <w:spacing w:after="160"/>
      </w:pPr>
      <w:r>
        <w:rPr>
          <w:rFonts w:ascii="Times New Roman" w:hAnsi="Times New Roman" w:eastAsia="PMingLiU"/>
          <w:b w:val="0"/>
          <w:sz w:val="22"/>
        </w:rPr>
        <w:t xml:space="preserve">　(A) 220 萬元 (B) 170 萬元 (C) 126 萬元 (D) 123 萬元</w:t>
      </w:r>
    </w:p>
    <w:p>
      <w:pPr>
        <w:spacing w:after="80"/>
      </w:pPr>
      <w:r>
        <w:rPr>
          <w:rFonts w:ascii="Times New Roman" w:hAnsi="Times New Roman" w:eastAsia="PMingLiU"/>
          <w:b w:val="0"/>
          <w:sz w:val="22"/>
        </w:rPr>
        <w:t>6. 總機構在中華民國境外之影片事業在境內無分支機構而有營業代理人，113 年度提供影片供境內營利事業放映使用，經約定影片不得重製及提供他人使用，且應於一定期限放映。設該影片事業 113 年度境內收入為 1,000 萬元，依所得稅法及相關規定，其課稅所得額為何？</w:t>
      </w:r>
    </w:p>
    <w:p>
      <w:pPr>
        <w:spacing w:after="160"/>
      </w:pPr>
      <w:r>
        <w:rPr>
          <w:rFonts w:ascii="Times New Roman" w:hAnsi="Times New Roman" w:eastAsia="PMingLiU"/>
          <w:b w:val="0"/>
          <w:sz w:val="22"/>
        </w:rPr>
        <w:t xml:space="preserve">　(A) 100 萬元 (B) 200 萬元 (C) 450 萬元 (D) 500 萬元</w:t>
      </w:r>
    </w:p>
    <w:p>
      <w:pPr>
        <w:spacing w:after="80"/>
      </w:pPr>
      <w:r>
        <w:rPr>
          <w:rFonts w:ascii="Times New Roman" w:hAnsi="Times New Roman" w:eastAsia="PMingLiU"/>
          <w:b w:val="0"/>
          <w:sz w:val="22"/>
        </w:rPr>
        <w:t>7. 下列交易何者應依所得稅法第 4 條之 4 規定，課徵房地合一所得稅？</w:t>
      </w:r>
    </w:p>
    <w:p>
      <w:pPr>
        <w:spacing w:after="160"/>
      </w:pPr>
      <w:r>
        <w:rPr>
          <w:rFonts w:ascii="Times New Roman" w:hAnsi="Times New Roman" w:eastAsia="PMingLiU"/>
          <w:b w:val="0"/>
          <w:sz w:val="22"/>
        </w:rPr>
        <w:t xml:space="preserve">　(A)甲於民國 90 年買入房地一處，但因病於民國 113 年過世，該房地由其兒子繼承並立即出售　(B)乙於民國 113 年出售其於民國 90 年取得之未上市 A 公司股權，乙直接持有 A 公司股權過半數，且 A 公司股權之價值 50%以上係由中華民國境內之房屋、土地所構成　(C)丙於民國 113 年出售房地，該房地係丙之配偶丁於民國 100 年購入，嗣後於民國 110 年贈與給丙　(D)戊於民國 110 年購入預售屋一處，於民國 113 年交屋完成移轉登記之後迄今未出售</w:t>
      </w:r>
    </w:p>
    <w:p>
      <w:pPr>
        <w:spacing w:after="80"/>
      </w:pPr>
      <w:r>
        <w:rPr>
          <w:rFonts w:ascii="Times New Roman" w:hAnsi="Times New Roman" w:eastAsia="PMingLiU"/>
          <w:b w:val="0"/>
          <w:sz w:val="22"/>
        </w:rPr>
        <w:t>8. 個人交易符合所得稅法第 4 條之 5 房地合一所得稅制免稅範圍之下列房屋、土地，且計算結果為交易損失，何者仍應辦理申報？</w:t>
      </w:r>
    </w:p>
    <w:p>
      <w:pPr>
        <w:spacing w:after="160"/>
      </w:pPr>
      <w:r>
        <w:rPr>
          <w:rFonts w:ascii="Times New Roman" w:hAnsi="Times New Roman" w:eastAsia="PMingLiU"/>
          <w:b w:val="0"/>
          <w:sz w:val="22"/>
        </w:rPr>
        <w:t xml:space="preserve">　(A)符合農業發展條例第 37 條及第 38 條之 1 規定得申請不課徵土地增值稅之土地　(B)被徵收或被徵收前先行協議價購之土地及其土地改良物　(C)尚未被徵收前移轉依都市計畫法指定之公共設施保留地　(D)適用自住房地租稅優惠之房屋、土地</w:t>
      </w:r>
    </w:p>
    <w:p>
      <w:pPr>
        <w:spacing w:after="80"/>
      </w:pPr>
      <w:r>
        <w:rPr>
          <w:rFonts w:ascii="Times New Roman" w:hAnsi="Times New Roman" w:eastAsia="PMingLiU"/>
          <w:b w:val="0"/>
          <w:sz w:val="22"/>
        </w:rPr>
        <w:t>9. 下列何者應依所得基本稅額條例之規定計算繳納所得基本稅額？</w:t>
      </w:r>
    </w:p>
    <w:p>
      <w:pPr>
        <w:spacing w:after="160"/>
      </w:pPr>
      <w:r>
        <w:rPr>
          <w:rFonts w:ascii="Times New Roman" w:hAnsi="Times New Roman" w:eastAsia="PMingLiU"/>
          <w:b w:val="0"/>
          <w:sz w:val="22"/>
        </w:rPr>
        <w:t xml:space="preserve">　(A)獨資或合夥組織之營利事業　(B)符合行政院規定標準之教育、文化、公益、慈善機關或團體　(C)在中華民國境內無固定營業場所及營業代理人之營利事業　(D)所得稅結算申報適用投資抵減獎勵且其計算之基本所得額在新臺幣 60 萬元以上之營利事業</w:t>
      </w:r>
    </w:p>
    <w:p>
      <w:pPr>
        <w:spacing w:after="80"/>
      </w:pPr>
      <w:r>
        <w:rPr>
          <w:rFonts w:ascii="Times New Roman" w:hAnsi="Times New Roman" w:eastAsia="PMingLiU"/>
          <w:b w:val="0"/>
          <w:sz w:val="22"/>
        </w:rPr>
        <w:t>10. 個人及其關係人直接或間接持有在中華民國境外低稅負國家或地區之關係企業股份或資本額合計達 50%以上或對該關係企業具有重大影響力，且該關係企業無所得稅法第 43 條之 3 第 1項各款規定者，則於個人或其與配偶及二親等以內親屬合計持有該關係企業股份或資本額多少比率以上，該個人應將該關係企業當年度之盈餘，按其持有該關係企業股份或資本額之比率計算營利所得，計入當年度個人之基本所得額？</w:t>
      </w:r>
    </w:p>
    <w:p>
      <w:pPr>
        <w:spacing w:after="160"/>
      </w:pPr>
      <w:r>
        <w:rPr>
          <w:rFonts w:ascii="Times New Roman" w:hAnsi="Times New Roman" w:eastAsia="PMingLiU"/>
          <w:b w:val="0"/>
          <w:sz w:val="22"/>
        </w:rPr>
        <w:t xml:space="preserve">　(A) 2% (B) 5% (C) 10% (D) 20%</w:t>
      </w:r>
    </w:p>
    <w:p>
      <w:pPr>
        <w:spacing w:after="80"/>
      </w:pPr>
      <w:r>
        <w:rPr>
          <w:rFonts w:ascii="Times New Roman" w:hAnsi="Times New Roman" w:eastAsia="PMingLiU"/>
          <w:b w:val="0"/>
          <w:sz w:val="22"/>
        </w:rPr>
        <w:t>11. 依所得稅法及相關規定，非中華民國居住者之個人，取得中華民國來源所得時，下列何者應依規定稅率申報納稅？</w:t>
      </w:r>
    </w:p>
    <w:p>
      <w:pPr>
        <w:spacing w:after="160"/>
      </w:pPr>
      <w:r>
        <w:rPr>
          <w:rFonts w:ascii="Times New Roman" w:hAnsi="Times New Roman" w:eastAsia="PMingLiU"/>
          <w:b w:val="0"/>
          <w:sz w:val="22"/>
        </w:rPr>
        <w:t xml:space="preserve">　(A)利息 (B)權利金 (C)財產交易所得 (D)股利</w:t>
      </w:r>
    </w:p>
    <w:p>
      <w:pPr>
        <w:spacing w:after="80"/>
      </w:pPr>
      <w:r>
        <w:rPr>
          <w:rFonts w:ascii="Times New Roman" w:hAnsi="Times New Roman" w:eastAsia="PMingLiU"/>
          <w:b w:val="0"/>
          <w:sz w:val="22"/>
        </w:rPr>
        <w:t>12. 依加值型及非加值型營業稅法及相關法規規定，下列貨物或勞務何者適用之營業稅稅率非為零？</w:t>
      </w:r>
    </w:p>
    <w:p>
      <w:pPr>
        <w:spacing w:after="160"/>
      </w:pPr>
      <w:r>
        <w:rPr>
          <w:rFonts w:ascii="Times New Roman" w:hAnsi="Times New Roman" w:eastAsia="PMingLiU"/>
          <w:b w:val="0"/>
          <w:sz w:val="22"/>
        </w:rPr>
        <w:t xml:space="preserve">　(A)非按進銷項差額課徵營業稅之小規模營業人外銷貨物　(B)依法設立之免稅商店銷售與過境或出境旅客之貨物　(C)銷售與國際運輸用之船舶、航空器及遠洋漁船所使用之修繕勞務　(D)保稅區營業人銷售與課稅區營業人未輸往課稅區而直接出口之貨物</w:t>
      </w:r>
    </w:p>
    <w:p>
      <w:pPr>
        <w:spacing w:after="80"/>
      </w:pPr>
      <w:r>
        <w:rPr>
          <w:rFonts w:ascii="Times New Roman" w:hAnsi="Times New Roman" w:eastAsia="PMingLiU"/>
          <w:b w:val="0"/>
          <w:sz w:val="22"/>
        </w:rPr>
        <w:t>13. 下列何者係屬加值型及非加值型營業稅法所定義之「在中華民國境內銷售貨物」？</w:t>
      </w:r>
    </w:p>
    <w:p>
      <w:pPr>
        <w:spacing w:after="160"/>
      </w:pPr>
      <w:r>
        <w:rPr>
          <w:rFonts w:ascii="Times New Roman" w:hAnsi="Times New Roman" w:eastAsia="PMingLiU"/>
          <w:b w:val="0"/>
          <w:sz w:val="22"/>
        </w:rPr>
        <w:t xml:space="preserve">　(A)高雄甲公司向日本 A 公司下訂單，並指定逕將貨物運送至香港交予甲公司之客戶　(B)韓國 B 公司依臺北乙公司之訂單，將貨物從韓國運送至臺北　(C)臺北丙公司將其位於境內之產品出口運送至新加坡客戶　(D)臺北丁公司將其投資在美國的土地售予高雄的戊公司</w:t>
      </w:r>
    </w:p>
    <w:p>
      <w:pPr>
        <w:spacing w:after="80"/>
      </w:pPr>
      <w:r>
        <w:rPr>
          <w:rFonts w:ascii="Times New Roman" w:hAnsi="Times New Roman" w:eastAsia="PMingLiU"/>
          <w:b w:val="0"/>
          <w:sz w:val="22"/>
        </w:rPr>
        <w:t>14. 下列何者非屬加值型及非加值型營業稅法所稱之保稅區？</w:t>
      </w:r>
    </w:p>
    <w:p>
      <w:pPr>
        <w:spacing w:after="160"/>
      </w:pPr>
      <w:r>
        <w:rPr>
          <w:rFonts w:ascii="Times New Roman" w:hAnsi="Times New Roman" w:eastAsia="PMingLiU"/>
          <w:b w:val="0"/>
          <w:sz w:val="22"/>
        </w:rPr>
        <w:t xml:space="preserve">　(A)政府核定之農業科技園區 (B)海關管理之保稅倉庫　(C)政府核定之自由貿易港區 (D)海關管理之離島免稅購物商店</w:t>
      </w:r>
    </w:p>
    <w:p>
      <w:pPr>
        <w:spacing w:after="80"/>
      </w:pPr>
      <w:r>
        <w:rPr>
          <w:rFonts w:ascii="Times New Roman" w:hAnsi="Times New Roman" w:eastAsia="PMingLiU"/>
          <w:b w:val="0"/>
          <w:sz w:val="22"/>
        </w:rPr>
        <w:t>15. 依加值型及非加值型營業稅法及相關法規規定，營業人銷售貨物或勞務，應依加值型及非加值型營業稅法營業人開立銷售憑證時限表規定之時限，開立統一發票交付買受人。下列何者尚未屆開立銷售憑證時限表規定之時限？</w:t>
      </w:r>
    </w:p>
    <w:p>
      <w:pPr>
        <w:spacing w:after="160"/>
      </w:pPr>
      <w:r>
        <w:rPr>
          <w:rFonts w:ascii="Times New Roman" w:hAnsi="Times New Roman" w:eastAsia="PMingLiU"/>
          <w:b w:val="0"/>
          <w:sz w:val="22"/>
        </w:rPr>
        <w:t xml:space="preserve">　(A)買賣業發貨前已收貨款者　(B)旅宿業提供住宿服務已預收取價款尚未結算者　(C)勞務承攬業已收取報酬者　(D)租賃業已收取租金者</w:t>
      </w:r>
    </w:p>
    <w:p>
      <w:pPr>
        <w:spacing w:after="80"/>
      </w:pPr>
      <w:r>
        <w:rPr>
          <w:rFonts w:ascii="Times New Roman" w:hAnsi="Times New Roman" w:eastAsia="PMingLiU"/>
          <w:b w:val="0"/>
          <w:sz w:val="22"/>
        </w:rPr>
        <w:t>16. 下列金融業經營依加值型及非加值型營業稅法營業人開立銷售憑證時限表特別規定欄所列非專屬本業之銷售額部分，何者不得申請依照加值型及非加值型營業稅法第 4 章第 1 節規定計算營業稅額，並依第 35 條規定申報繳納？</w:t>
      </w:r>
    </w:p>
    <w:p>
      <w:pPr>
        <w:spacing w:after="160"/>
      </w:pPr>
      <w:r>
        <w:rPr>
          <w:rFonts w:ascii="Times New Roman" w:hAnsi="Times New Roman" w:eastAsia="PMingLiU"/>
          <w:b w:val="0"/>
          <w:sz w:val="22"/>
        </w:rPr>
        <w:t xml:space="preserve">　(A)銀行業 (B)保險業 (C)信託投資業 (D)證券業</w:t>
      </w:r>
    </w:p>
    <w:p>
      <w:pPr>
        <w:spacing w:after="80"/>
      </w:pPr>
      <w:r>
        <w:rPr>
          <w:rFonts w:ascii="Times New Roman" w:hAnsi="Times New Roman" w:eastAsia="PMingLiU"/>
          <w:b w:val="0"/>
          <w:sz w:val="22"/>
        </w:rPr>
        <w:t>17. 依土地稅法及相關規定，已規定地價之土地移轉，下列何者免徵土地增值稅？</w:t>
      </w:r>
    </w:p>
    <w:p>
      <w:pPr>
        <w:spacing w:after="160"/>
      </w:pPr>
      <w:r>
        <w:rPr>
          <w:rFonts w:ascii="Times New Roman" w:hAnsi="Times New Roman" w:eastAsia="PMingLiU"/>
          <w:b w:val="0"/>
          <w:sz w:val="22"/>
        </w:rPr>
        <w:t xml:space="preserve">　(A)私有土地捐贈政府　(B)社團法人之間贈與土地　(C)作農業使用之農業用地出售與非自然人　(D)信託關係存續中，受託人將信託土地有償移轉所有權為其自有土地</w:t>
      </w:r>
    </w:p>
    <w:p>
      <w:pPr>
        <w:spacing w:after="80"/>
      </w:pPr>
      <w:r>
        <w:rPr>
          <w:rFonts w:ascii="Times New Roman" w:hAnsi="Times New Roman" w:eastAsia="PMingLiU"/>
          <w:b w:val="0"/>
          <w:sz w:val="22"/>
        </w:rPr>
        <w:t>18. 依稅捐稽徵法及相關法規規定，拍賣納稅義務人土地之價款，不足清償所有債務，有關受償順序，下列敘述何者正確？</w:t>
      </w:r>
    </w:p>
    <w:p>
      <w:pPr>
        <w:spacing w:after="160"/>
      </w:pPr>
      <w:r>
        <w:rPr>
          <w:rFonts w:ascii="Times New Roman" w:hAnsi="Times New Roman" w:eastAsia="PMingLiU"/>
          <w:b w:val="0"/>
          <w:sz w:val="22"/>
        </w:rPr>
        <w:t xml:space="preserve">　(A)罰鍰準用有關稅捐之規定，優先普通債權受償　(B)以該土地設定抵押權擔保之債權，優先所得稅受償　(C)以該土地設定抵押權擔保之債權，優先該土地應課徵之土地增值稅受償　(D)營業稅欠稅，優先以該土地設定抵押權擔保之債權受償</w:t>
      </w:r>
    </w:p>
    <w:p>
      <w:pPr>
        <w:spacing w:after="80"/>
      </w:pPr>
      <w:r>
        <w:rPr>
          <w:rFonts w:ascii="Times New Roman" w:hAnsi="Times New Roman" w:eastAsia="PMingLiU"/>
          <w:b w:val="0"/>
          <w:sz w:val="22"/>
        </w:rPr>
        <w:t>19. 依稅捐稽徵法規定，納稅義務人對核定稅捐處分不服提起行政救濟，嗣於核課期間屆滿後，行政法院始撤銷該核定稅捐處分並命另為適法處分，稅捐稽徵機關應自該判決確定之日起多久內作成新處分？</w:t>
      </w:r>
    </w:p>
    <w:p>
      <w:pPr>
        <w:spacing w:after="160"/>
      </w:pPr>
      <w:r>
        <w:rPr>
          <w:rFonts w:ascii="Times New Roman" w:hAnsi="Times New Roman" w:eastAsia="PMingLiU"/>
          <w:b w:val="0"/>
          <w:sz w:val="22"/>
        </w:rPr>
        <w:t xml:space="preserve">　(A) 1 年 (B) 2 年 (C) 5 年 (D) 7 年</w:t>
      </w:r>
    </w:p>
    <w:p>
      <w:pPr>
        <w:spacing w:after="80"/>
      </w:pPr>
      <w:r>
        <w:rPr>
          <w:rFonts w:ascii="Times New Roman" w:hAnsi="Times New Roman" w:eastAsia="PMingLiU"/>
          <w:b w:val="0"/>
          <w:sz w:val="22"/>
        </w:rPr>
        <w:t>20. 依稅捐稽徵法規定，未設管理人之某祭祀公業，以全體派下員（甲、乙、丙、丁 4 人）為 113年地價稅案件之納稅義務人，繳款書繳納期間自 113 年 11 月 1 日至 113 年 11 月 30 日，稅捐稽徵機關於 113 年 10 月 22 日將繳款書及核定稅額通知書送達甲；113 年 10 月 27 日對乙、11 月 2 日對丙、12 月 1 日對丁送達核定稅額通知書，下列敘述何者正確？</w:t>
      </w:r>
    </w:p>
    <w:p>
      <w:pPr>
        <w:spacing w:after="160"/>
      </w:pPr>
      <w:r>
        <w:rPr>
          <w:rFonts w:ascii="Times New Roman" w:hAnsi="Times New Roman" w:eastAsia="PMingLiU"/>
          <w:b w:val="0"/>
          <w:sz w:val="22"/>
        </w:rPr>
        <w:t xml:space="preserve">　(A)全部派下員之送達均合法，無須重新送達　(B)甲及乙之送達合法，丙及丁之送達不合法需重新送達　(C)僅有丁之送達不合法，只需對丁重新送達　(D)僅有甲之送達合法，乙、丙及丁之送達不合法需重新送達</w:t>
      </w:r>
    </w:p>
    <w:p>
      <w:pPr>
        <w:spacing w:after="80"/>
      </w:pPr>
      <w:r>
        <w:rPr>
          <w:rFonts w:ascii="Times New Roman" w:hAnsi="Times New Roman" w:eastAsia="PMingLiU"/>
          <w:b w:val="0"/>
          <w:sz w:val="22"/>
        </w:rPr>
        <w:t>21. 依稅捐稽徵法第 39 條規定，下列何者非暫緩移送強制執行之事由？</w:t>
      </w:r>
    </w:p>
    <w:p>
      <w:pPr>
        <w:spacing w:after="160"/>
      </w:pPr>
      <w:r>
        <w:rPr>
          <w:rFonts w:ascii="Times New Roman" w:hAnsi="Times New Roman" w:eastAsia="PMingLiU"/>
          <w:b w:val="0"/>
          <w:sz w:val="22"/>
        </w:rPr>
        <w:t xml:space="preserve">　(A)納稅義務人依法申請復查　(B)納稅義務人依法提起訴願，並就復查決定應納稅額繳納三分之一　(C)納稅義務人依法提起訴願，並經稅捐稽徵機關核准就復查決定應納稅額三分之一提供相當擔保　(D)納稅義務人依法提起訴願，並經稅捐稽徵機關已就相當於復查決定應納稅額三分之一之財產，通知有關機關不得為移轉或設定他項權利</w:t>
      </w:r>
    </w:p>
    <w:p>
      <w:pPr>
        <w:spacing w:after="80"/>
      </w:pPr>
      <w:r>
        <w:rPr>
          <w:rFonts w:ascii="Times New Roman" w:hAnsi="Times New Roman" w:eastAsia="PMingLiU"/>
          <w:b w:val="0"/>
          <w:sz w:val="22"/>
        </w:rPr>
        <w:t>22. 依稅捐稽徵法第 48 條之 1 規定，關於納稅義務人自動補報補繳免罰，下列敘述何者錯誤？</w:t>
      </w:r>
    </w:p>
    <w:p>
      <w:pPr>
        <w:spacing w:after="160"/>
      </w:pPr>
      <w:r>
        <w:rPr>
          <w:rFonts w:ascii="Times New Roman" w:hAnsi="Times New Roman" w:eastAsia="PMingLiU"/>
          <w:b w:val="0"/>
          <w:sz w:val="22"/>
        </w:rPr>
        <w:t xml:space="preserve">　(A)須在經人檢舉或稅捐稽徵機關調查前為之　(B)不論納稅義務人故意或過失逃漏稅，均有適用　(C)逃漏稅涉及刑事責任者，不得免除其刑　(D)應就補繳稅款，自該稅捐原繳納期限截止之次日起，至補繳之日止，按日加計利息</w:t>
      </w:r>
    </w:p>
    <w:p>
      <w:pPr>
        <w:spacing w:after="80"/>
      </w:pPr>
      <w:r>
        <w:rPr>
          <w:rFonts w:ascii="Times New Roman" w:hAnsi="Times New Roman" w:eastAsia="PMingLiU"/>
          <w:b w:val="0"/>
          <w:sz w:val="22"/>
        </w:rPr>
        <w:t>23. 依納稅者權利保護法規定，關於納稅義務人租稅規避，下列敘述何者錯誤？</w:t>
      </w:r>
    </w:p>
    <w:p>
      <w:pPr>
        <w:spacing w:after="160"/>
      </w:pPr>
      <w:r>
        <w:rPr>
          <w:rFonts w:ascii="Times New Roman" w:hAnsi="Times New Roman" w:eastAsia="PMingLiU"/>
          <w:b w:val="0"/>
          <w:sz w:val="22"/>
        </w:rPr>
        <w:t xml:space="preserve">　(A)指利用規範漏洞及法律形式安排，規避原應課稅之租稅構成要件　(B)應按補繳稅款加徵 10%滯納金及利息　(C)加徵滯納金及利息後，不另課予逃漏稅處罰　(D)就租稅規避案件接受調查時，對重要事項隱匿，致使稅捐稽徵機關短漏核定稅捐，應改按逃漏稅處罰</w:t>
      </w:r>
    </w:p>
    <w:p>
      <w:pPr>
        <w:spacing w:after="80"/>
      </w:pPr>
      <w:r>
        <w:rPr>
          <w:rFonts w:ascii="Times New Roman" w:hAnsi="Times New Roman" w:eastAsia="PMingLiU"/>
          <w:b w:val="0"/>
          <w:sz w:val="22"/>
        </w:rPr>
        <w:t>24. 依納稅者權利保護法及相關法令規定，下列何者非屬納稅者權利保護事項之適格申請人？</w:t>
      </w:r>
    </w:p>
    <w:p>
      <w:pPr>
        <w:spacing w:after="160"/>
      </w:pPr>
      <w:r>
        <w:rPr>
          <w:rFonts w:ascii="Times New Roman" w:hAnsi="Times New Roman" w:eastAsia="PMingLiU"/>
          <w:b w:val="0"/>
          <w:sz w:val="22"/>
        </w:rPr>
        <w:t xml:space="preserve">　(A)對於進口貨物課徵關稅，其收貨人　(B)對於贈與土地課徵土地增值稅，其原土地之所有權人　(C)對於祀產土地課徵地價稅，其祭祀公業之管理人　(D)對於境內銷售貨物課徵營業稅，其營業人</w:t>
      </w:r>
    </w:p>
    <w:p>
      <w:pPr>
        <w:spacing w:after="80"/>
      </w:pPr>
      <w:r>
        <w:rPr>
          <w:rFonts w:ascii="Times New Roman" w:hAnsi="Times New Roman" w:eastAsia="PMingLiU"/>
          <w:b w:val="0"/>
          <w:sz w:val="22"/>
        </w:rPr>
        <w:t>25. 依遺產及贈與稅法相關規定，下列敘述何者正確？</w:t>
      </w:r>
    </w:p>
    <w:p>
      <w:pPr>
        <w:spacing w:after="160"/>
      </w:pPr>
      <w:r>
        <w:rPr>
          <w:rFonts w:ascii="Times New Roman" w:hAnsi="Times New Roman" w:eastAsia="PMingLiU"/>
          <w:b w:val="0"/>
          <w:sz w:val="22"/>
        </w:rPr>
        <w:t xml:space="preserve">　(A)被繼承人死亡前 6 年內繼承之財產已納遺產稅者，可全數不計入遺產課稅　(B)贈與稅一律以贈與人為納稅義務人　(C)被繼承人之祖父母如為重度身心障礙者，每人可自遺產總額中加扣身心障礙特別扣除額　(D)被繼承人死亡前應納未納之房屋稅及地價稅，可自遺產總額中扣除</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2.D  3.B  4.C  5.C  6.D  7.B  8.D  9.D  10.C  11.C  12.A  13.C  14.D  15.B  16.D  17.A  18.B  19.A  20.A  21.D  22.C  23.B  24.B  25.D</w:t>
      </w:r>
    </w:p>
    <w:p>
      <w:pPr>
        <w:spacing w:after="120"/>
      </w:pPr>
      <w:r>
        <w:rPr>
          <w:rFonts w:ascii="Times New Roman" w:hAnsi="Times New Roman" w:eastAsia="PMingLiU"/>
          <w:b w:val="0"/>
          <w:sz w:val="20"/>
        </w:rPr>
        <w:t>考古題重排，來源 114130_0203_稅務法規.docx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