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CA2E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一、（16 分）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甲會計師承接 A 公司 X1 年度查核。A 公司為新興生技公司，主要資產為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自行研發之專利無形資產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，其評價採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管理階層自建之現金流量折現模型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，假設多、預測期間長；公司本年度為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申請上市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而有強烈達標壓力。依審計準則 315 號回答： </w:t>
      </w:r>
    </w:p>
    <w:p w14:paraId="55A2356F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（一）列舉本案無形資產評價之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固有風險因子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（至少 3 項）。（6 分） </w:t>
      </w:r>
    </w:p>
    <w:p w14:paraId="5DCD6481" w14:textId="1A6E6714" w:rsidR="003E55DC" w:rsidRP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EE0000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主觀性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、管理層偏頗或舞弊、不確定性、複雜性</w:t>
      </w:r>
    </w:p>
    <w:p w14:paraId="26672FA7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（二）查核人員判斷該評價之固有風險落於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固有風險光譜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位置時，除考量公司性質/規模/複雜性及所影響之固有風險因子外，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尚須考量哪兩項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？（4 分） </w:t>
      </w:r>
    </w:p>
    <w:p w14:paraId="7AAECCDB" w14:textId="609D125A" w:rsidR="003E55DC" w:rsidRP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EE0000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不實表達風險的可能性與金額大小</w:t>
      </w:r>
    </w:p>
    <w:p w14:paraId="35A03D00" w14:textId="5F9BE50B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（三）該評價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是否應評估為顯著風險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？理由為何？若是，應如何特別因應？（6 分）</w:t>
      </w:r>
    </w:p>
    <w:p w14:paraId="74824952" w14:textId="5F0B7B03" w:rsidR="003E55DC" w:rsidRP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應為顯著風險，與管理層逾越風險有關，且為會計估計，應該</w:t>
      </w:r>
      <w:r>
        <w:rPr>
          <w:rFonts w:ascii="PingFang TC" w:eastAsia="PingFang TC" w:hAnsi="PingFang TC" w:cs="新細明體"/>
          <w:color w:val="EE0000"/>
          <w:kern w:val="0"/>
          <w14:ligatures w14:val="none"/>
        </w:rPr>
        <w:t xml:space="preserve"> 1) 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 xml:space="preserve">確認替代方案 </w:t>
      </w:r>
      <w:r>
        <w:rPr>
          <w:rFonts w:ascii="PingFang TC" w:eastAsia="PingFang TC" w:hAnsi="PingFang TC" w:cs="新細明體"/>
          <w:color w:val="EE0000"/>
          <w:kern w:val="0"/>
          <w14:ligatures w14:val="none"/>
        </w:rPr>
        <w:t xml:space="preserve">2) 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 xml:space="preserve">確認是否有意圖與能力 </w:t>
      </w:r>
      <w:r>
        <w:rPr>
          <w:rFonts w:ascii="PingFang TC" w:eastAsia="PingFang TC" w:hAnsi="PingFang TC" w:cs="新細明體"/>
          <w:color w:val="EE0000"/>
          <w:kern w:val="0"/>
          <w14:ligatures w14:val="none"/>
        </w:rPr>
        <w:t xml:space="preserve">3) </w:t>
      </w:r>
      <w:r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確認是否是當揭露</w:t>
      </w:r>
      <w:r w:rsidR="00214EF9">
        <w:rPr>
          <w:rFonts w:ascii="PingFang TC" w:eastAsia="PingFang TC" w:hAnsi="PingFang TC" w:cs="新細明體"/>
          <w:color w:val="EE0000"/>
          <w:kern w:val="0"/>
          <w14:ligatures w14:val="none"/>
        </w:rPr>
        <w:t xml:space="preserve"> 4) </w:t>
      </w:r>
      <w:r w:rsidR="00214EF9">
        <w:rPr>
          <w:rFonts w:ascii="PingFang TC" w:eastAsia="PingFang TC" w:hAnsi="PingFang TC" w:cs="新細明體" w:hint="eastAsia"/>
          <w:color w:val="EE0000"/>
          <w:kern w:val="0"/>
          <w14:ligatures w14:val="none"/>
        </w:rPr>
        <w:t>假設是否合理</w:t>
      </w:r>
    </w:p>
    <w:p w14:paraId="56BA44BD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二、（16 分）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甲會計師事務所查核乙公司（上市），A 會計師為主辦。下列各獨立情況，請判斷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是否影響獨立性、影響因素（五威脅之一）、理由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（依格式作答）： </w:t>
      </w:r>
    </w:p>
    <w:p w14:paraId="6D89463F" w14:textId="4F0E880C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（一）A 會計師持有乙公司股票，金額重大。</w:t>
      </w:r>
    </w:p>
    <w:p w14:paraId="62513B63" w14:textId="27BF1B43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影響，自我利益</w:t>
      </w:r>
    </w:p>
    <w:p w14:paraId="5AA9E492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（二）A 會計師之配偶向乙公司（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非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金融機構）借款 500 萬元，條件較一般優惠。 </w:t>
      </w:r>
    </w:p>
    <w:p w14:paraId="45BCA579" w14:textId="6C5F84B1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影響，自我利益</w:t>
      </w:r>
    </w:p>
    <w:p w14:paraId="56D282E7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（三）甲事務所同時為乙公司提供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財務報表記帳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服務。 </w:t>
      </w:r>
    </w:p>
    <w:p w14:paraId="6C2BEB8B" w14:textId="27500050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影響，自我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評估</w:t>
      </w:r>
    </w:p>
    <w:p w14:paraId="19B05886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（四）乙公司財務長為 A 會計師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三年前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同事務所之合夥人。 </w:t>
      </w:r>
    </w:p>
    <w:p w14:paraId="0F002228" w14:textId="19737B29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影響，可能有熟悉度的問題</w:t>
      </w:r>
    </w:p>
    <w:p w14:paraId="5F50FD25" w14:textId="64F4AD7C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（五）A 會計師之子女向乙公司（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為銀行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）辦理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一般條件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之房屋貸款。</w:t>
      </w:r>
    </w:p>
    <w:p w14:paraId="40333109" w14:textId="1650EF67" w:rsidR="003E55DC" w:rsidRP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不影響，金融機構案一般條件屬於例外情形</w:t>
      </w:r>
    </w:p>
    <w:p w14:paraId="410C4D9B" w14:textId="77777777" w:rsidR="003E55DC" w:rsidRP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三、（18 分）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查核 B 上市公司 X1 年度財報，整體重大性 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2,000 萬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、特定項目重大性 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500～800 萬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。查核發現：</w:t>
      </w:r>
    </w:p>
    <w:p w14:paraId="100A12FF" w14:textId="77777777" w:rsidR="003E55DC" w:rsidRPr="003E55DC" w:rsidRDefault="003E55DC" w:rsidP="003E55DC">
      <w:pPr>
        <w:widowControl/>
        <w:numPr>
          <w:ilvl w:val="0"/>
          <w:numId w:val="1"/>
        </w:numPr>
        <w:spacing w:before="67" w:after="67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① 應收帳款抽樣推估高估 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300～400 萬</w:t>
      </w:r>
    </w:p>
    <w:p w14:paraId="6D877263" w14:textId="77777777" w:rsidR="003E55DC" w:rsidRPr="003E55DC" w:rsidRDefault="003E55DC" w:rsidP="003E55DC">
      <w:pPr>
        <w:widowControl/>
        <w:numPr>
          <w:ilvl w:val="0"/>
          <w:numId w:val="1"/>
        </w:numPr>
        <w:spacing w:before="67" w:after="67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② 庫存現金盤點短少 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150 萬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（確定）</w:t>
      </w:r>
    </w:p>
    <w:p w14:paraId="003C3130" w14:textId="77777777" w:rsidR="003E55DC" w:rsidRPr="003E55DC" w:rsidRDefault="003E55DC" w:rsidP="003E55DC">
      <w:pPr>
        <w:widowControl/>
        <w:numPr>
          <w:ilvl w:val="0"/>
          <w:numId w:val="1"/>
        </w:numPr>
        <w:spacing w:before="67" w:after="67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③ 存貨評價：管理階層未提減損，查核團隊評估應減損 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250 萬</w:t>
      </w:r>
    </w:p>
    <w:p w14:paraId="20379D3C" w14:textId="77777777" w:rsidR="003E55DC" w:rsidRPr="003E55DC" w:rsidRDefault="003E55DC" w:rsidP="003E55DC">
      <w:pPr>
        <w:widowControl/>
        <w:numPr>
          <w:ilvl w:val="0"/>
          <w:numId w:val="1"/>
        </w:numPr>
        <w:spacing w:before="67" w:after="67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④ 一筆關係人應收款 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1,800 萬（占總資產 40%）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 無法收回證據，管理階層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拒絕沖銷亦拒絕揭露</w:t>
      </w:r>
    </w:p>
    <w:p w14:paraId="3B8E600A" w14:textId="46BE0665" w:rsidR="003E55DC" w:rsidRPr="003E55DC" w:rsidRDefault="003E55DC" w:rsidP="003E55DC">
      <w:pPr>
        <w:pStyle w:val="a9"/>
        <w:widowControl/>
        <w:numPr>
          <w:ilvl w:val="0"/>
          <w:numId w:val="3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就 ①②③ 分別判斷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不實表達類別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，計算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彙總金額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並判斷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是否達整體重大性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。（8 分） </w:t>
      </w:r>
    </w:p>
    <w:p w14:paraId="6E6C2B17" w14:textId="415FC346" w:rsidR="003E55DC" w:rsidRPr="003E55DC" w:rsidRDefault="003E55DC" w:rsidP="003E55DC">
      <w:pPr>
        <w:pStyle w:val="a9"/>
        <w:widowControl/>
        <w:spacing w:before="144" w:after="144" w:line="240" w:lineRule="auto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1)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推斷不實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2)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明確不實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3)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推估不實；匯總為</w:t>
      </w:r>
      <w:r w:rsidR="000953C6">
        <w:rPr>
          <w:rFonts w:ascii="PingFang TC" w:eastAsia="PingFang TC" w:hAnsi="PingFang TC" w:cs="新細明體"/>
          <w:color w:val="1F2937"/>
          <w:kern w:val="0"/>
          <w14:ligatures w14:val="none"/>
        </w:rPr>
        <w:t>700-800</w:t>
      </w:r>
      <w:r w:rsidR="000953C6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萬，未達整體重大性</w:t>
      </w:r>
    </w:p>
    <w:p w14:paraId="118AB93E" w14:textId="77777777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（二）就 ④，若管理階層堅持不沖銷不揭露，會計師應出具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何種意見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？理由（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須含廣泛性判斷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）。（6 分） </w:t>
      </w:r>
    </w:p>
    <w:p w14:paraId="6CABA9DC" w14:textId="018CB2CB" w:rsidR="000953C6" w:rsidRDefault="000953C6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應出具否定意見，因為影響重大且對財報整體具廣泛影響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(&gt;40%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總資產)</w:t>
      </w:r>
    </w:p>
    <w:p w14:paraId="1097D361" w14:textId="60074263" w:rsidR="003E55DC" w:rsidRDefault="003E55DC" w:rsidP="003E55DC">
      <w:pPr>
        <w:widowControl/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（三）對 ①②③ 之未更正不實表達，若管理階層拒絕更正，會計師應採哪些</w:t>
      </w:r>
      <w:r w:rsidRPr="003E55DC">
        <w:rPr>
          <w:rFonts w:ascii="PingFang TC" w:eastAsia="PingFang TC" w:hAnsi="PingFang TC" w:cs="新細明體" w:hint="eastAsia"/>
          <w:b/>
          <w:bCs/>
          <w:color w:val="B91C1C"/>
          <w:kern w:val="0"/>
          <w14:ligatures w14:val="none"/>
        </w:rPr>
        <w:t>因應</w:t>
      </w: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？（4 分）</w:t>
      </w:r>
    </w:p>
    <w:p w14:paraId="06E27E71" w14:textId="322B2A20" w:rsidR="000953C6" w:rsidRPr="003E55DC" w:rsidRDefault="000953C6" w:rsidP="003E55DC">
      <w:pPr>
        <w:widowControl/>
        <w:spacing w:before="144" w:after="144" w:line="240" w:lineRule="auto"/>
        <w:rPr>
          <w:rFonts w:ascii="Cambria" w:eastAsia="PingFang TC" w:hAnsi="Cambria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1)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重新評估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2)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匯總未更正項目，向治理單位報告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3)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 xml:space="preserve">取得管理層書面聲明 </w:t>
      </w:r>
      <w:r>
        <w:rPr>
          <w:rFonts w:ascii="PingFang TC" w:eastAsia="PingFang TC" w:hAnsi="PingFang TC" w:cs="新細明體"/>
          <w:color w:val="1F2937"/>
          <w:kern w:val="0"/>
          <w14:ligatures w14:val="none"/>
        </w:rPr>
        <w:t xml:space="preserve">4) </w:t>
      </w:r>
      <w:r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重新評估</w:t>
      </w:r>
      <w:r>
        <w:rPr>
          <w:rFonts w:ascii="Apple Color Emoji" w:eastAsia="PingFang TC" w:hAnsi="Apple Color Emoji" w:cs="Apple Color Emoji" w:hint="eastAsia"/>
          <w:color w:val="1F2937"/>
          <w:kern w:val="0"/>
          <w14:ligatures w14:val="none"/>
        </w:rPr>
        <w:t>重大性</w:t>
      </w:r>
      <w:r>
        <w:rPr>
          <w:rFonts w:ascii="Apple Color Emoji" w:eastAsia="PingFang TC" w:hAnsi="Apple Color Emoji" w:cs="Apple Color Emoji" w:hint="eastAsia"/>
          <w:color w:val="1F2937"/>
          <w:kern w:val="0"/>
          <w14:ligatures w14:val="none"/>
        </w:rPr>
        <w:t xml:space="preserve"> </w:t>
      </w:r>
      <w:r>
        <w:rPr>
          <w:rFonts w:ascii="Apple Color Emoji" w:eastAsia="PingFang TC" w:hAnsi="Apple Color Emoji" w:cs="Apple Color Emoji"/>
          <w:color w:val="1F2937"/>
          <w:kern w:val="0"/>
          <w14:ligatures w14:val="none"/>
        </w:rPr>
        <w:t>5</w:t>
      </w:r>
      <w:r>
        <w:rPr>
          <w:rFonts w:ascii="Cambria" w:eastAsia="PingFang TC" w:hAnsi="Cambria" w:cs="Apple Color Emoji"/>
          <w:color w:val="1F2937"/>
          <w:kern w:val="0"/>
          <w14:ligatures w14:val="none"/>
        </w:rPr>
        <w:t xml:space="preserve">) </w:t>
      </w:r>
      <w:r>
        <w:rPr>
          <w:rFonts w:ascii="Cambria" w:eastAsia="PingFang TC" w:hAnsi="Cambria" w:cs="Apple Color Emoji" w:hint="eastAsia"/>
          <w:color w:val="1F2937"/>
          <w:kern w:val="0"/>
          <w14:ligatures w14:val="none"/>
        </w:rPr>
        <w:t>決定查核意見，確認前期影響</w:t>
      </w:r>
    </w:p>
    <w:p w14:paraId="2B94E42A" w14:textId="77777777" w:rsidR="003E55DC" w:rsidRPr="003E55DC" w:rsidRDefault="003E55DC" w:rsidP="003E55DC">
      <w:pPr>
        <w:widowControl/>
        <w:pBdr>
          <w:left w:val="single" w:sz="36" w:space="9" w:color="2563EB"/>
        </w:pBdr>
        <w:spacing w:before="384" w:after="144" w:line="240" w:lineRule="auto"/>
        <w:outlineLvl w:val="1"/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</w:pPr>
      <w:r w:rsidRPr="003E55DC">
        <w:rPr>
          <w:rFonts w:ascii="PingFang TC" w:eastAsia="PingFang TC" w:hAnsi="PingFang TC" w:cs="新細明體" w:hint="eastAsia"/>
          <w:b/>
          <w:bCs/>
          <w:color w:val="0F172A"/>
          <w:kern w:val="0"/>
          <w:sz w:val="32"/>
          <w:szCs w:val="32"/>
          <w14:ligatures w14:val="none"/>
        </w:rPr>
        <w:t>乙、測驗題（每題 2 分，共 50 分；25 題）</w:t>
      </w:r>
    </w:p>
    <w:p w14:paraId="0A01F461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會計師發現甲上市公司存貨高估金額重大，且存貨遍及多據點、影響廣泛，管理階層拒絕更正。應出具何種意見？ 　(A) 保留 (B) 否定 (C) 無法表示 (D) 無保留加強調事項</w:t>
      </w:r>
    </w:p>
    <w:p w14:paraId="252B2614" w14:textId="1ADB431D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0808EDE8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下列何者「非」審計準則 315 號之固有風險因子？ 　(A) 複雜性 (B) 主觀性 (C) 控制環境之有效性 (D) 易受管理階層偏頗或舞弊影響</w:t>
      </w:r>
    </w:p>
    <w:p w14:paraId="6FFDA9B6" w14:textId="716494EA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599B8764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下列何者「非」準則推定為顯著風險之事項？ 　(A) 管理階層踰越控制之舞弊 (B) 收入認列舞弊 (C) 重大關係人非常規交易 (D) 例行性薪資計提</w:t>
      </w:r>
    </w:p>
    <w:p w14:paraId="504AED06" w14:textId="6573D771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3EA5E451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關於執行重大性，下列何者正確？ 　(A) 等於整體重大性 (B) 高於整體重大性 (C) 低於整體重大性，以降低彙總超過整體重大性之風險 (D) 僅用於特定科目</w:t>
      </w:r>
    </w:p>
    <w:p w14:paraId="7CF6F318" w14:textId="28D8CC71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7D34BADC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A 會計師之配偶持有受查客戶（上市公司）重大股權。對獨立性之影響？ 　(A) 不影響 (B) 影響，自我利益 (C) 影響，辯護 (D) 影響，熟悉度</w:t>
      </w:r>
    </w:p>
    <w:p w14:paraId="3300ED78" w14:textId="45A2F062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6AF1760B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關於合理確信與有限確信，下列何者錯誤？ 　(A) 合理確信採積極肯定式結論 (B) 有限確信採消極式結論 (C) 有限確信之確信水準高於合理確信 (D) 確信程度分合理與有限兩種</w:t>
      </w:r>
    </w:p>
    <w:p w14:paraId="0FC17630" w14:textId="0BDFC10B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4C4A6208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採用查核人員專家之工作，下列何者錯誤？ 　(A) 不減輕會計師查核責任 (B) 應評估專家之專業能力與客觀性 (C) 應以專家收費是否合理為主要評估因素 (D) 原則不得於查核報告中提及</w:t>
      </w:r>
    </w:p>
    <w:p w14:paraId="15210156" w14:textId="2E3D051A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5C9FA53F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對內部控制五要素之了解，下列何者「最」影響個別項目聲明層級之 RMM？ 　(A) 控制環境 (B) 風險評估流程 (C) 控制作業 (D) 監督流程</w:t>
      </w:r>
    </w:p>
    <w:p w14:paraId="01B6B6FB" w14:textId="59966D4F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739341A4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依 265 號，查核人員辨認出內部控制顯著缺失，應如何溝通？ 　(A) 口頭即可 (B) 應以書面及時與治理單位溝通 (C) 僅通知管理階層 (D) 無須溝通</w:t>
      </w:r>
    </w:p>
    <w:p w14:paraId="58C7D989" w14:textId="4415FD65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734A3606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下列何者會使屬性抽樣之樣本量「增加」？ 　(A) 提高可接受過度信賴風險 (B) 提高可容忍偏差率 (C) 提高預期母體偏差率 (D) 母體數量增加</w:t>
      </w:r>
    </w:p>
    <w:p w14:paraId="10757BEF" w14:textId="06203BC5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0107715B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集團主辦會計師擬於報告中提及組成個體查核人員，下列何者正確？ 　(A) 無須通知 (B) 提及後即免除集團主辦會計師整體責任 (C) 指明其名須取得同意且其報告一併列報 (D) 一律不得提及</w:t>
      </w:r>
    </w:p>
    <w:p w14:paraId="5F846AF9" w14:textId="7608CB04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15945633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應收帳款積極式函證未獲回函，下列何者「非」適當替代程序？ 　(A) 查期後收款 (B) 檢查送貨單 (C) 檢查接近期末銷貨 (D) 逕將未回函認列為不實表達</w:t>
      </w:r>
    </w:p>
    <w:p w14:paraId="0F5187B9" w14:textId="45D06C38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76BBA776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關於期後事項，下列何者正確？ 　(A) 報告日後會計師有主動執行查核程序之義務 (B) 報告日後、財報發布前獲悉重大事實，應與管理階層討論是否修改 (C) 財報發布後獲悉之事實一律不處理 (D) 期後事項僅指需調整者</w:t>
      </w:r>
    </w:p>
    <w:p w14:paraId="5D5A6F01" w14:textId="71615AFE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18144368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繼續經營有重大不確定性且已於財報適當揭露，應出具？ 　(A) 保留 (B) 否定 (C) 無保留並加「與繼續經營有關之重大不確定性」段 (D) 無保留並加強調事項段</w:t>
      </w:r>
    </w:p>
    <w:p w14:paraId="1A134955" w14:textId="70F110B3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5C6AAD4B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依品質管理準則 2 號，上市櫃案件之案件品質複核應於何時完成？ 　(A) 報告日後 (B) 查核報告日當日或之前 (C) 財報發布後 (D) 股東會承認後</w:t>
      </w:r>
    </w:p>
    <w:p w14:paraId="78735A7D" w14:textId="7C635854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0386FF26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因應「管理階層踰越控制」之風險，下列何者「非」應執行之程序？ 　(A) 測試日記簿分錄之適當性 (B) 複核會計估計有無偏頗 (C) 了解非常規重大交易之商業理由 (D) 對所有應收帳款積極式函證</w:t>
      </w:r>
    </w:p>
    <w:p w14:paraId="6ADAED23" w14:textId="6BC857D7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6CF713AB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關於收入認列之舞弊風險，下列何者正確？ 　(A) 一律不得推定為舞弊風險 (B) 推定為顯著風險，且不得反證推翻 (C) 推定為顯著風險，惟得反證推翻 (D) 僅挪用資產才推定</w:t>
      </w:r>
    </w:p>
    <w:p w14:paraId="2018A992" w14:textId="6D2E1AEE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5DBA702B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關於查核對法令遵循之考量，下列何者正確？ 　(A) 對所有法令均須取得遵循之足夠證據 (B) 對「直接影響財報金額及揭露」之法令，須取得遵循之足夠及適切證據 (C) 對不具直接影響之法令無任何責任 (D) 發現未遵循一律須對外公告</w:t>
      </w:r>
    </w:p>
    <w:p w14:paraId="5C4C64C0" w14:textId="79C1F59C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546E14C9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下列何者「非」風險評估程序所用之方法？ 　(A) 查詢 (B) 分析性程序 (C) 觀察及檢查 (D) 外部函證</w:t>
      </w:r>
    </w:p>
    <w:p w14:paraId="7209748D" w14:textId="6FC94AE4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1E2043D4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關於重新執行與重新計算，下列何者正確？ 　(A) 兩者相同 (B) 重新計算＝驗算數學正確性；重新執行＝獨立執行受查者原已執行之控制/程序 (C) 重新執行僅驗算數字 (D) 重新計算須重做整個控制</w:t>
      </w:r>
    </w:p>
    <w:p w14:paraId="1284BA8D" w14:textId="08F57D68" w:rsidR="000953C6" w:rsidRPr="003E55DC" w:rsidRDefault="000953C6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56D6E991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關於關係人交易之 RMM，下列何者錯誤？ 　(A) 可能為財報舞弊或掩飾挪用之工具 (B) 可能未依公平交易條件 (C) 通常較易自資訊系統有效辨認 (D) 可能透過複雜結構進行</w:t>
      </w:r>
    </w:p>
    <w:p w14:paraId="2F38AB4A" w14:textId="5C070876" w:rsidR="000953C6" w:rsidRPr="003E55DC" w:rsidRDefault="00214EF9" w:rsidP="000953C6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0DCB3971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lastRenderedPageBreak/>
        <w:t>關於書面聲明（580），下列何者正確？ 　(A) 可作為查核證據之替代品 (B) 日期應為報告日後 (C) 日期應儘量接近、但不得晚於查核報告日 (D) 管理階層拒絕提供不影響意見</w:t>
      </w:r>
    </w:p>
    <w:p w14:paraId="6B0FDC91" w14:textId="5A8D8ED3" w:rsidR="00214EF9" w:rsidRPr="003E55DC" w:rsidRDefault="00214EF9" w:rsidP="00214EF9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c</w:t>
      </w:r>
    </w:p>
    <w:p w14:paraId="48676EC1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關於重大性質性因素，下列何者正確？ 　(A) 金額不重大之管理階層舞弊得不視為重大 (B) 管理階層舞弊不論金額大小一律視為重大 (C) 質性因素不影響重大性 (D) 重大性僅取決於金額</w:t>
      </w:r>
    </w:p>
    <w:p w14:paraId="23D4E9A2" w14:textId="3A13B4E8" w:rsidR="00214EF9" w:rsidRPr="003E55DC" w:rsidRDefault="00214EF9" w:rsidP="00214EF9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4310BFA0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對存有顯著風險之會計估計，除一般證實程序外應額外評估，下列何者「非」？ 　(A) 管理階層如何考量替代假設 (B) 重大假設是否合理 (C) 管理階層執行特定作為之意圖與能力 (D) 該估計委外之收費是否合理</w:t>
      </w:r>
    </w:p>
    <w:p w14:paraId="7EC0CA56" w14:textId="451F32A3" w:rsidR="00214EF9" w:rsidRPr="003E55DC" w:rsidRDefault="00214EF9" w:rsidP="00214EF9">
      <w:pPr>
        <w:widowControl/>
        <w:spacing w:before="144" w:after="144" w:line="240" w:lineRule="auto"/>
        <w:ind w:left="720"/>
        <w:rPr>
          <w:rFonts w:ascii="PingFang TC" w:eastAsia="PingFang TC" w:hAnsi="PingFang TC" w:cs="新細明體" w:hint="eastAsia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d</w:t>
      </w:r>
    </w:p>
    <w:p w14:paraId="74942AF9" w14:textId="77777777" w:rsidR="003E55DC" w:rsidRDefault="003E55DC" w:rsidP="003E55DC">
      <w:pPr>
        <w:widowControl/>
        <w:numPr>
          <w:ilvl w:val="0"/>
          <w:numId w:val="2"/>
        </w:numPr>
        <w:spacing w:before="144" w:after="144" w:line="240" w:lineRule="auto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 w:rsidRPr="003E55DC">
        <w:rPr>
          <w:rFonts w:ascii="PingFang TC" w:eastAsia="PingFang TC" w:hAnsi="PingFang TC" w:cs="新細明體" w:hint="eastAsia"/>
          <w:color w:val="1F2937"/>
          <w:kern w:val="0"/>
          <w14:ligatures w14:val="none"/>
        </w:rPr>
        <w:t>會計師出具無法表示意見時，下列何者正確？ 　(A) 仍須列報關鍵查核事項 (B) 除法令另有規定外，不得包括關鍵查核事項段 (C) 仍須對內部控制表示意見 (D) 查核意見段文字維持「財務報表業經查核」</w:t>
      </w:r>
    </w:p>
    <w:p w14:paraId="495311C9" w14:textId="511300A2" w:rsidR="00214EF9" w:rsidRPr="003E55DC" w:rsidRDefault="00214EF9" w:rsidP="00214EF9">
      <w:pPr>
        <w:widowControl/>
        <w:spacing w:before="144" w:after="144" w:line="240" w:lineRule="auto"/>
        <w:ind w:left="720"/>
        <w:rPr>
          <w:rFonts w:ascii="PingFang TC" w:eastAsia="PingFang TC" w:hAnsi="PingFang TC" w:cs="新細明體"/>
          <w:color w:val="1F2937"/>
          <w:kern w:val="0"/>
          <w14:ligatures w14:val="none"/>
        </w:rPr>
      </w:pPr>
      <w:r>
        <w:rPr>
          <w:rFonts w:ascii="PingFang TC" w:eastAsia="PingFang TC" w:hAnsi="PingFang TC" w:cs="新細明體"/>
          <w:color w:val="1F2937"/>
          <w:kern w:val="0"/>
          <w14:ligatures w14:val="none"/>
        </w:rPr>
        <w:t>B</w:t>
      </w:r>
    </w:p>
    <w:p w14:paraId="13D976C5" w14:textId="77777777" w:rsidR="003E55DC" w:rsidRPr="003E55DC" w:rsidRDefault="003E55DC"/>
    <w:sectPr w:rsidR="003E55DC" w:rsidRPr="003E55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151"/>
    <w:multiLevelType w:val="hybridMultilevel"/>
    <w:tmpl w:val="F2286B12"/>
    <w:lvl w:ilvl="0" w:tplc="2908711E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4B66C74"/>
    <w:multiLevelType w:val="multilevel"/>
    <w:tmpl w:val="D41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B1379"/>
    <w:multiLevelType w:val="multilevel"/>
    <w:tmpl w:val="8E46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901826">
    <w:abstractNumId w:val="1"/>
  </w:num>
  <w:num w:numId="2" w16cid:durableId="1201629526">
    <w:abstractNumId w:val="2"/>
  </w:num>
  <w:num w:numId="3" w16cid:durableId="136020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DC"/>
    <w:rsid w:val="000953C6"/>
    <w:rsid w:val="00214EF9"/>
    <w:rsid w:val="003E55DC"/>
    <w:rsid w:val="006C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5FD2D"/>
  <w15:chartTrackingRefBased/>
  <w15:docId w15:val="{187A93D3-E4D2-1F41-8E6F-2CACADB0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5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5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5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5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5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5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5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5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55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E5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55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5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55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55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55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55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5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5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5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5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55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5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5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55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5D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E55D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3E55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 Cando</dc:creator>
  <cp:keywords/>
  <dc:description/>
  <cp:lastModifiedBy>Yeh Cando</cp:lastModifiedBy>
  <cp:revision>1</cp:revision>
  <dcterms:created xsi:type="dcterms:W3CDTF">2026-06-13T14:21:00Z</dcterms:created>
  <dcterms:modified xsi:type="dcterms:W3CDTF">2026-06-13T14:44:00Z</dcterms:modified>
</cp:coreProperties>
</file>