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Analisis EDA (Exploratory Data Analysis)</w:t>
      </w:r>
    </w:p>
    <w:p>
      <w:r>
        <w:t>Dataset: EURUSD H4 (tab-delimited)</w:t>
      </w:r>
    </w:p>
    <w:p>
      <w:pPr>
        <w:pStyle w:val="Heading2"/>
      </w:pPr>
      <w:r>
        <w:t>1. Tujuan EDA</w:t>
      </w:r>
    </w:p>
    <w:p>
      <w:r>
        <w:t>EDA dilakukan untuk memahami karakteristik data time series sebelum forecasting, mengidentifikasi isu kualitas data, serta menyiapkan rencana preprocessing yang tepat.</w:t>
      </w:r>
    </w:p>
    <w:p>
      <w:pPr>
        <w:pStyle w:val="Heading2"/>
      </w:pPr>
      <w:r>
        <w:t>2. Deskripsi Dataset</w:t>
      </w:r>
    </w:p>
    <w:tbl>
      <w:tblPr>
        <w:tblStyle w:val="LightList-Accent1"/>
        <w:tblW w:type="auto" w:w="0"/>
        <w:tblLook w:firstColumn="1" w:firstRow="1" w:lastColumn="0" w:lastRow="0" w:noHBand="0" w:noVBand="1" w:val="04A0"/>
      </w:tblPr>
      <w:tblGrid>
        <w:gridCol w:w="4320"/>
        <w:gridCol w:w="4320"/>
      </w:tblGrid>
      <w:tr>
        <w:tc>
          <w:tcPr>
            <w:tcW w:type="dxa" w:w="4320"/>
          </w:tcPr>
          <w:p>
            <w:r>
              <w:t>Jumlah baris</w:t>
            </w:r>
          </w:p>
        </w:tc>
        <w:tc>
          <w:tcPr>
            <w:tcW w:type="dxa" w:w="4320"/>
          </w:tcPr>
          <w:p>
            <w:r>
              <w:t>12128</w:t>
            </w:r>
          </w:p>
        </w:tc>
      </w:tr>
      <w:tr>
        <w:tc>
          <w:tcPr>
            <w:tcW w:type="dxa" w:w="4320"/>
          </w:tcPr>
          <w:p>
            <w:r>
              <w:t>Kolom</w:t>
            </w:r>
          </w:p>
        </w:tc>
        <w:tc>
          <w:tcPr>
            <w:tcW w:type="dxa" w:w="4320"/>
          </w:tcPr>
          <w:p>
            <w:r>
              <w:t>datetime, Open, High, Low, Close</w:t>
            </w:r>
          </w:p>
        </w:tc>
      </w:tr>
      <w:tr>
        <w:tc>
          <w:tcPr>
            <w:tcW w:type="dxa" w:w="4320"/>
          </w:tcPr>
          <w:p>
            <w:r>
              <w:t>Rentang waktu</w:t>
            </w:r>
          </w:p>
        </w:tc>
        <w:tc>
          <w:tcPr>
            <w:tcW w:type="dxa" w:w="4320"/>
          </w:tcPr>
          <w:p>
            <w:r>
              <w:t>2018-01-02 00:00:00 sampai 2025-10-16 00:00:00</w:t>
            </w:r>
          </w:p>
        </w:tc>
      </w:tr>
      <w:tr>
        <w:tc>
          <w:tcPr>
            <w:tcW w:type="dxa" w:w="4320"/>
          </w:tcPr>
          <w:p>
            <w:r>
              <w:t>Frekuensi data</w:t>
            </w:r>
          </w:p>
        </w:tc>
        <w:tc>
          <w:tcPr>
            <w:tcW w:type="dxa" w:w="4320"/>
          </w:tcPr>
          <w:p>
            <w:r>
              <w:t>4 jam (H4)</w:t>
            </w:r>
          </w:p>
        </w:tc>
      </w:tr>
      <w:tr>
        <w:tc>
          <w:tcPr>
            <w:tcW w:type="dxa" w:w="4320"/>
          </w:tcPr>
          <w:p>
            <w:r>
              <w:t>Duplikasi timestamp</w:t>
            </w:r>
          </w:p>
        </w:tc>
        <w:tc>
          <w:tcPr>
            <w:tcW w:type="dxa" w:w="4320"/>
          </w:tcPr>
          <w:p>
            <w:r>
              <w:t>0</w:t>
            </w:r>
          </w:p>
        </w:tc>
      </w:tr>
      <w:tr>
        <w:tc>
          <w:tcPr>
            <w:tcW w:type="dxa" w:w="4320"/>
          </w:tcPr>
          <w:p>
            <w:r>
              <w:t>Gap/interval tidak beraturan</w:t>
            </w:r>
          </w:p>
        </w:tc>
        <w:tc>
          <w:tcPr>
            <w:tcW w:type="dxa" w:w="4320"/>
          </w:tcPr>
          <w:p>
            <w:r>
              <w:t>412</w:t>
            </w:r>
          </w:p>
        </w:tc>
      </w:tr>
    </w:tbl>
    <w:p>
      <w:pPr>
        <w:pStyle w:val="Heading2"/>
      </w:pPr>
      <w:r>
        <w:t>3. Kualitas Data</w:t>
      </w:r>
    </w:p>
    <w:p>
      <w:r>
        <w:t>a) Missing values per kolom:</w:t>
      </w:r>
    </w:p>
    <w:tbl>
      <w:tblPr>
        <w:tblStyle w:val="LightList-Accent1"/>
        <w:tblW w:type="auto" w:w="0"/>
        <w:tblLook w:firstColumn="1" w:firstRow="1" w:lastColumn="0" w:lastRow="0" w:noHBand="0" w:noVBand="1" w:val="04A0"/>
      </w:tblPr>
      <w:tblGrid>
        <w:gridCol w:w="4320"/>
        <w:gridCol w:w="4320"/>
      </w:tblGrid>
      <w:tr>
        <w:tc>
          <w:tcPr>
            <w:tcW w:type="dxa" w:w="4320"/>
          </w:tcPr>
          <w:p>
            <w:r>
              <w:t>Kolom</w:t>
            </w:r>
          </w:p>
        </w:tc>
        <w:tc>
          <w:tcPr>
            <w:tcW w:type="dxa" w:w="4320"/>
          </w:tcPr>
          <w:p>
            <w:r>
              <w:t>Jumlah missing</w:t>
            </w:r>
          </w:p>
        </w:tc>
      </w:tr>
      <w:tr>
        <w:tc>
          <w:tcPr>
            <w:tcW w:type="dxa" w:w="4320"/>
          </w:tcPr>
          <w:p>
            <w:r>
              <w:t>datetime</w:t>
            </w:r>
          </w:p>
        </w:tc>
        <w:tc>
          <w:tcPr>
            <w:tcW w:type="dxa" w:w="4320"/>
          </w:tcPr>
          <w:p>
            <w:r>
              <w:t>0</w:t>
            </w:r>
          </w:p>
        </w:tc>
      </w:tr>
      <w:tr>
        <w:tc>
          <w:tcPr>
            <w:tcW w:type="dxa" w:w="4320"/>
          </w:tcPr>
          <w:p>
            <w:r>
              <w:t>Open</w:t>
            </w:r>
          </w:p>
        </w:tc>
        <w:tc>
          <w:tcPr>
            <w:tcW w:type="dxa" w:w="4320"/>
          </w:tcPr>
          <w:p>
            <w:r>
              <w:t>0</w:t>
            </w:r>
          </w:p>
        </w:tc>
      </w:tr>
      <w:tr>
        <w:tc>
          <w:tcPr>
            <w:tcW w:type="dxa" w:w="4320"/>
          </w:tcPr>
          <w:p>
            <w:r>
              <w:t>High</w:t>
            </w:r>
          </w:p>
        </w:tc>
        <w:tc>
          <w:tcPr>
            <w:tcW w:type="dxa" w:w="4320"/>
          </w:tcPr>
          <w:p>
            <w:r>
              <w:t>0</w:t>
            </w:r>
          </w:p>
        </w:tc>
      </w:tr>
      <w:tr>
        <w:tc>
          <w:tcPr>
            <w:tcW w:type="dxa" w:w="4320"/>
          </w:tcPr>
          <w:p>
            <w:r>
              <w:t>Low</w:t>
            </w:r>
          </w:p>
        </w:tc>
        <w:tc>
          <w:tcPr>
            <w:tcW w:type="dxa" w:w="4320"/>
          </w:tcPr>
          <w:p>
            <w:r>
              <w:t>0</w:t>
            </w:r>
          </w:p>
        </w:tc>
      </w:tr>
      <w:tr>
        <w:tc>
          <w:tcPr>
            <w:tcW w:type="dxa" w:w="4320"/>
          </w:tcPr>
          <w:p>
            <w:r>
              <w:t>Close</w:t>
            </w:r>
          </w:p>
        </w:tc>
        <w:tc>
          <w:tcPr>
            <w:tcW w:type="dxa" w:w="4320"/>
          </w:tcPr>
          <w:p>
            <w:r>
              <w:t>0</w:t>
            </w:r>
          </w:p>
        </w:tc>
      </w:tr>
      <w:tr>
        <w:tc>
          <w:tcPr>
            <w:tcW w:type="dxa" w:w="4320"/>
          </w:tcPr>
          <w:p>
            <w:r>
              <w:t>range</w:t>
            </w:r>
          </w:p>
        </w:tc>
        <w:tc>
          <w:tcPr>
            <w:tcW w:type="dxa" w:w="4320"/>
          </w:tcPr>
          <w:p>
            <w:r>
              <w:t>0</w:t>
            </w:r>
          </w:p>
        </w:tc>
      </w:tr>
      <w:tr>
        <w:tc>
          <w:tcPr>
            <w:tcW w:type="dxa" w:w="4320"/>
          </w:tcPr>
          <w:p>
            <w:r>
              <w:t>body</w:t>
            </w:r>
          </w:p>
        </w:tc>
        <w:tc>
          <w:tcPr>
            <w:tcW w:type="dxa" w:w="4320"/>
          </w:tcPr>
          <w:p>
            <w:r>
              <w:t>0</w:t>
            </w:r>
          </w:p>
        </w:tc>
      </w:tr>
      <w:tr>
        <w:tc>
          <w:tcPr>
            <w:tcW w:type="dxa" w:w="4320"/>
          </w:tcPr>
          <w:p>
            <w:r>
              <w:t>upper_shadow</w:t>
            </w:r>
          </w:p>
        </w:tc>
        <w:tc>
          <w:tcPr>
            <w:tcW w:type="dxa" w:w="4320"/>
          </w:tcPr>
          <w:p>
            <w:r>
              <w:t>0</w:t>
            </w:r>
          </w:p>
        </w:tc>
      </w:tr>
      <w:tr>
        <w:tc>
          <w:tcPr>
            <w:tcW w:type="dxa" w:w="4320"/>
          </w:tcPr>
          <w:p>
            <w:r>
              <w:t>lower_shadow</w:t>
            </w:r>
          </w:p>
        </w:tc>
        <w:tc>
          <w:tcPr>
            <w:tcW w:type="dxa" w:w="4320"/>
          </w:tcPr>
          <w:p>
            <w:r>
              <w:t>0</w:t>
            </w:r>
          </w:p>
        </w:tc>
      </w:tr>
      <w:tr>
        <w:tc>
          <w:tcPr>
            <w:tcW w:type="dxa" w:w="4320"/>
          </w:tcPr>
          <w:p>
            <w:r>
              <w:t>close_return</w:t>
            </w:r>
          </w:p>
        </w:tc>
        <w:tc>
          <w:tcPr>
            <w:tcW w:type="dxa" w:w="4320"/>
          </w:tcPr>
          <w:p>
            <w:r>
              <w:t>1</w:t>
            </w:r>
          </w:p>
        </w:tc>
      </w:tr>
      <w:tr>
        <w:tc>
          <w:tcPr>
            <w:tcW w:type="dxa" w:w="4320"/>
          </w:tcPr>
          <w:p>
            <w:r>
              <w:t>log_return</w:t>
            </w:r>
          </w:p>
        </w:tc>
        <w:tc>
          <w:tcPr>
            <w:tcW w:type="dxa" w:w="4320"/>
          </w:tcPr>
          <w:p>
            <w:r>
              <w:t>1</w:t>
            </w:r>
          </w:p>
        </w:tc>
      </w:tr>
    </w:tbl>
    <w:p>
      <w:r>
        <w:t>b) Konsistensi OHLC:</w:t>
      </w:r>
    </w:p>
    <w:p>
      <w:r>
        <w:t>- High &lt; max(Open, Close, Low) violations: 0</w:t>
      </w:r>
    </w:p>
    <w:p>
      <w:r>
        <w:t>- Low &gt; min(Open, Close, High) violations: 0</w:t>
      </w:r>
    </w:p>
    <w:p>
      <w:pPr>
        <w:pStyle w:val="Heading2"/>
      </w:pPr>
      <w:r>
        <w:t>4. Statistik Deskriptif</w:t>
      </w:r>
    </w:p>
    <w:p>
      <w:r>
        <w:t>Ringkasan statistik untuk OHLC dan fitur turunan:</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Variabel</w:t>
            </w:r>
          </w:p>
        </w:tc>
        <w:tc>
          <w:tcPr>
            <w:tcW w:type="dxa" w:w="1440"/>
          </w:tcPr>
          <w:p>
            <w:r>
              <w:t>Mean</w:t>
            </w:r>
          </w:p>
        </w:tc>
        <w:tc>
          <w:tcPr>
            <w:tcW w:type="dxa" w:w="1440"/>
          </w:tcPr>
          <w:p>
            <w:r>
              <w:t>Std</w:t>
            </w:r>
          </w:p>
        </w:tc>
        <w:tc>
          <w:tcPr>
            <w:tcW w:type="dxa" w:w="1440"/>
          </w:tcPr>
          <w:p>
            <w:r>
              <w:t>Min</w:t>
            </w:r>
          </w:p>
        </w:tc>
        <w:tc>
          <w:tcPr>
            <w:tcW w:type="dxa" w:w="1440"/>
          </w:tcPr>
          <w:p>
            <w:r>
              <w:t>Median</w:t>
            </w:r>
          </w:p>
        </w:tc>
        <w:tc>
          <w:tcPr>
            <w:tcW w:type="dxa" w:w="1440"/>
          </w:tcPr>
          <w:p>
            <w:r>
              <w:t>Max</w:t>
            </w:r>
          </w:p>
        </w:tc>
      </w:tr>
      <w:tr>
        <w:tc>
          <w:tcPr>
            <w:tcW w:type="dxa" w:w="1440"/>
          </w:tcPr>
          <w:p>
            <w:r>
              <w:t>Open</w:t>
            </w:r>
          </w:p>
        </w:tc>
        <w:tc>
          <w:tcPr>
            <w:tcW w:type="dxa" w:w="1440"/>
          </w:tcPr>
          <w:p>
            <w:r>
              <w:t>1.120422</w:t>
            </w:r>
          </w:p>
        </w:tc>
        <w:tc>
          <w:tcPr>
            <w:tcW w:type="dxa" w:w="1440"/>
          </w:tcPr>
          <w:p>
            <w:r>
              <w:t>0.056616</w:t>
            </w:r>
          </w:p>
        </w:tc>
        <w:tc>
          <w:tcPr>
            <w:tcW w:type="dxa" w:w="1440"/>
          </w:tcPr>
          <w:p>
            <w:r>
              <w:t>0.955070</w:t>
            </w:r>
          </w:p>
        </w:tc>
        <w:tc>
          <w:tcPr>
            <w:tcW w:type="dxa" w:w="1440"/>
          </w:tcPr>
          <w:p>
            <w:r>
              <w:t>1.116335</w:t>
            </w:r>
          </w:p>
        </w:tc>
        <w:tc>
          <w:tcPr>
            <w:tcW w:type="dxa" w:w="1440"/>
          </w:tcPr>
          <w:p>
            <w:r>
              <w:t>1.254830</w:t>
            </w:r>
          </w:p>
        </w:tc>
      </w:tr>
      <w:tr>
        <w:tc>
          <w:tcPr>
            <w:tcW w:type="dxa" w:w="1440"/>
          </w:tcPr>
          <w:p>
            <w:r>
              <w:t>High</w:t>
            </w:r>
          </w:p>
        </w:tc>
        <w:tc>
          <w:tcPr>
            <w:tcW w:type="dxa" w:w="1440"/>
          </w:tcPr>
          <w:p>
            <w:r>
              <w:t>1.121908</w:t>
            </w:r>
          </w:p>
        </w:tc>
        <w:tc>
          <w:tcPr>
            <w:tcW w:type="dxa" w:w="1440"/>
          </w:tcPr>
          <w:p>
            <w:r>
              <w:t>0.056519</w:t>
            </w:r>
          </w:p>
        </w:tc>
        <w:tc>
          <w:tcPr>
            <w:tcW w:type="dxa" w:w="1440"/>
          </w:tcPr>
          <w:p>
            <w:r>
              <w:t>0.957630</w:t>
            </w:r>
          </w:p>
        </w:tc>
        <w:tc>
          <w:tcPr>
            <w:tcW w:type="dxa" w:w="1440"/>
          </w:tcPr>
          <w:p>
            <w:r>
              <w:t>1.117620</w:t>
            </w:r>
          </w:p>
        </w:tc>
        <w:tc>
          <w:tcPr>
            <w:tcW w:type="dxa" w:w="1440"/>
          </w:tcPr>
          <w:p>
            <w:r>
              <w:t>1.255530</w:t>
            </w:r>
          </w:p>
        </w:tc>
      </w:tr>
      <w:tr>
        <w:tc>
          <w:tcPr>
            <w:tcW w:type="dxa" w:w="1440"/>
          </w:tcPr>
          <w:p>
            <w:r>
              <w:t>Low</w:t>
            </w:r>
          </w:p>
        </w:tc>
        <w:tc>
          <w:tcPr>
            <w:tcW w:type="dxa" w:w="1440"/>
          </w:tcPr>
          <w:p>
            <w:r>
              <w:t>1.118987</w:t>
            </w:r>
          </w:p>
        </w:tc>
        <w:tc>
          <w:tcPr>
            <w:tcW w:type="dxa" w:w="1440"/>
          </w:tcPr>
          <w:p>
            <w:r>
              <w:t>0.056685</w:t>
            </w:r>
          </w:p>
        </w:tc>
        <w:tc>
          <w:tcPr>
            <w:tcW w:type="dxa" w:w="1440"/>
          </w:tcPr>
          <w:p>
            <w:r>
              <w:t>0.953570</w:t>
            </w:r>
          </w:p>
        </w:tc>
        <w:tc>
          <w:tcPr>
            <w:tcW w:type="dxa" w:w="1440"/>
          </w:tcPr>
          <w:p>
            <w:r>
              <w:t>1.115225</w:t>
            </w:r>
          </w:p>
        </w:tc>
        <w:tc>
          <w:tcPr>
            <w:tcW w:type="dxa" w:w="1440"/>
          </w:tcPr>
          <w:p>
            <w:r>
              <w:t>1.252260</w:t>
            </w:r>
          </w:p>
        </w:tc>
      </w:tr>
      <w:tr>
        <w:tc>
          <w:tcPr>
            <w:tcW w:type="dxa" w:w="1440"/>
          </w:tcPr>
          <w:p>
            <w:r>
              <w:t>Close</w:t>
            </w:r>
          </w:p>
        </w:tc>
        <w:tc>
          <w:tcPr>
            <w:tcW w:type="dxa" w:w="1440"/>
          </w:tcPr>
          <w:p>
            <w:r>
              <w:t>1.120428</w:t>
            </w:r>
          </w:p>
        </w:tc>
        <w:tc>
          <w:tcPr>
            <w:tcW w:type="dxa" w:w="1440"/>
          </w:tcPr>
          <w:p>
            <w:r>
              <w:t>0.056606</w:t>
            </w:r>
          </w:p>
        </w:tc>
        <w:tc>
          <w:tcPr>
            <w:tcW w:type="dxa" w:w="1440"/>
          </w:tcPr>
          <w:p>
            <w:r>
              <w:t>0.955050</w:t>
            </w:r>
          </w:p>
        </w:tc>
        <w:tc>
          <w:tcPr>
            <w:tcW w:type="dxa" w:w="1440"/>
          </w:tcPr>
          <w:p>
            <w:r>
              <w:t>1.116325</w:t>
            </w:r>
          </w:p>
        </w:tc>
        <w:tc>
          <w:tcPr>
            <w:tcW w:type="dxa" w:w="1440"/>
          </w:tcPr>
          <w:p>
            <w:r>
              <w:t>1.254840</w:t>
            </w:r>
          </w:p>
        </w:tc>
      </w:tr>
      <w:tr>
        <w:tc>
          <w:tcPr>
            <w:tcW w:type="dxa" w:w="1440"/>
          </w:tcPr>
          <w:p>
            <w:r>
              <w:t>range</w:t>
            </w:r>
          </w:p>
        </w:tc>
        <w:tc>
          <w:tcPr>
            <w:tcW w:type="dxa" w:w="1440"/>
          </w:tcPr>
          <w:p>
            <w:r>
              <w:t>0.002921</w:t>
            </w:r>
          </w:p>
        </w:tc>
        <w:tc>
          <w:tcPr>
            <w:tcW w:type="dxa" w:w="1440"/>
          </w:tcPr>
          <w:p>
            <w:r>
              <w:t>0.001987</w:t>
            </w:r>
          </w:p>
        </w:tc>
        <w:tc>
          <w:tcPr>
            <w:tcW w:type="dxa" w:w="1440"/>
          </w:tcPr>
          <w:p>
            <w:r>
              <w:t>0.000210</w:t>
            </w:r>
          </w:p>
        </w:tc>
        <w:tc>
          <w:tcPr>
            <w:tcW w:type="dxa" w:w="1440"/>
          </w:tcPr>
          <w:p>
            <w:r>
              <w:t>0.002410</w:t>
            </w:r>
          </w:p>
        </w:tc>
        <w:tc>
          <w:tcPr>
            <w:tcW w:type="dxa" w:w="1440"/>
          </w:tcPr>
          <w:p>
            <w:r>
              <w:t>0.022720</w:t>
            </w:r>
          </w:p>
        </w:tc>
      </w:tr>
      <w:tr>
        <w:tc>
          <w:tcPr>
            <w:tcW w:type="dxa" w:w="1440"/>
          </w:tcPr>
          <w:p>
            <w:r>
              <w:t>body</w:t>
            </w:r>
          </w:p>
        </w:tc>
        <w:tc>
          <w:tcPr>
            <w:tcW w:type="dxa" w:w="1440"/>
          </w:tcPr>
          <w:p>
            <w:r>
              <w:t>0.001447</w:t>
            </w:r>
          </w:p>
        </w:tc>
        <w:tc>
          <w:tcPr>
            <w:tcW w:type="dxa" w:w="1440"/>
          </w:tcPr>
          <w:p>
            <w:r>
              <w:t>0.001525</w:t>
            </w:r>
          </w:p>
        </w:tc>
        <w:tc>
          <w:tcPr>
            <w:tcW w:type="dxa" w:w="1440"/>
          </w:tcPr>
          <w:p>
            <w:r>
              <w:t>0.000000</w:t>
            </w:r>
          </w:p>
        </w:tc>
        <w:tc>
          <w:tcPr>
            <w:tcW w:type="dxa" w:w="1440"/>
          </w:tcPr>
          <w:p>
            <w:r>
              <w:t>0.000970</w:t>
            </w:r>
          </w:p>
        </w:tc>
        <w:tc>
          <w:tcPr>
            <w:tcW w:type="dxa" w:w="1440"/>
          </w:tcPr>
          <w:p>
            <w:r>
              <w:t>0.016140</w:t>
            </w:r>
          </w:p>
        </w:tc>
      </w:tr>
      <w:tr>
        <w:tc>
          <w:tcPr>
            <w:tcW w:type="dxa" w:w="1440"/>
          </w:tcPr>
          <w:p>
            <w:r>
              <w:t>upper_shadow</w:t>
            </w:r>
          </w:p>
        </w:tc>
        <w:tc>
          <w:tcPr>
            <w:tcW w:type="dxa" w:w="1440"/>
          </w:tcPr>
          <w:p>
            <w:r>
              <w:t>0.000760</w:t>
            </w:r>
          </w:p>
        </w:tc>
        <w:tc>
          <w:tcPr>
            <w:tcW w:type="dxa" w:w="1440"/>
          </w:tcPr>
          <w:p>
            <w:r>
              <w:t>0.000765</w:t>
            </w:r>
          </w:p>
        </w:tc>
        <w:tc>
          <w:tcPr>
            <w:tcW w:type="dxa" w:w="1440"/>
          </w:tcPr>
          <w:p>
            <w:r>
              <w:t>0.000000</w:t>
            </w:r>
          </w:p>
        </w:tc>
        <w:tc>
          <w:tcPr>
            <w:tcW w:type="dxa" w:w="1440"/>
          </w:tcPr>
          <w:p>
            <w:r>
              <w:t>0.000550</w:t>
            </w:r>
          </w:p>
        </w:tc>
        <w:tc>
          <w:tcPr>
            <w:tcW w:type="dxa" w:w="1440"/>
          </w:tcPr>
          <w:p>
            <w:r>
              <w:t>0.009600</w:t>
            </w:r>
          </w:p>
        </w:tc>
      </w:tr>
      <w:tr>
        <w:tc>
          <w:tcPr>
            <w:tcW w:type="dxa" w:w="1440"/>
          </w:tcPr>
          <w:p>
            <w:r>
              <w:t>lower_shadow</w:t>
            </w:r>
          </w:p>
        </w:tc>
        <w:tc>
          <w:tcPr>
            <w:tcW w:type="dxa" w:w="1440"/>
          </w:tcPr>
          <w:p>
            <w:r>
              <w:t>0.000715</w:t>
            </w:r>
          </w:p>
        </w:tc>
        <w:tc>
          <w:tcPr>
            <w:tcW w:type="dxa" w:w="1440"/>
          </w:tcPr>
          <w:p>
            <w:r>
              <w:t>0.000750</w:t>
            </w:r>
          </w:p>
        </w:tc>
        <w:tc>
          <w:tcPr>
            <w:tcW w:type="dxa" w:w="1440"/>
          </w:tcPr>
          <w:p>
            <w:r>
              <w:t>0.000000</w:t>
            </w:r>
          </w:p>
        </w:tc>
        <w:tc>
          <w:tcPr>
            <w:tcW w:type="dxa" w:w="1440"/>
          </w:tcPr>
          <w:p>
            <w:r>
              <w:t>0.000490</w:t>
            </w:r>
          </w:p>
        </w:tc>
        <w:tc>
          <w:tcPr>
            <w:tcW w:type="dxa" w:w="1440"/>
          </w:tcPr>
          <w:p>
            <w:r>
              <w:t>0.013040</w:t>
            </w:r>
          </w:p>
        </w:tc>
      </w:tr>
      <w:tr>
        <w:tc>
          <w:tcPr>
            <w:tcW w:type="dxa" w:w="1440"/>
          </w:tcPr>
          <w:p>
            <w:r>
              <w:t>close_return</w:t>
            </w:r>
          </w:p>
        </w:tc>
        <w:tc>
          <w:tcPr>
            <w:tcW w:type="dxa" w:w="1440"/>
          </w:tcPr>
          <w:p>
            <w:r>
              <w:t>-0.000001</w:t>
            </w:r>
          </w:p>
        </w:tc>
        <w:tc>
          <w:tcPr>
            <w:tcW w:type="dxa" w:w="1440"/>
          </w:tcPr>
          <w:p>
            <w:r>
              <w:t>0.001912</w:t>
            </w:r>
          </w:p>
        </w:tc>
        <w:tc>
          <w:tcPr>
            <w:tcW w:type="dxa" w:w="1440"/>
          </w:tcPr>
          <w:p>
            <w:r>
              <w:t>-0.012493</w:t>
            </w:r>
          </w:p>
        </w:tc>
        <w:tc>
          <w:tcPr>
            <w:tcW w:type="dxa" w:w="1440"/>
          </w:tcPr>
          <w:p>
            <w:r>
              <w:t>0.000018</w:t>
            </w:r>
          </w:p>
        </w:tc>
        <w:tc>
          <w:tcPr>
            <w:tcW w:type="dxa" w:w="1440"/>
          </w:tcPr>
          <w:p>
            <w:r>
              <w:t>0.016213</w:t>
            </w:r>
          </w:p>
        </w:tc>
      </w:tr>
    </w:tbl>
    <w:p>
      <w:pPr>
        <w:pStyle w:val="Heading2"/>
      </w:pPr>
      <w:r>
        <w:t>5. Uji Stasioneritas (ADF &amp; KPSS)</w:t>
      </w:r>
    </w:p>
    <w:p>
      <w:r>
        <w:t>Pengujian stasioneritas dilakukan menggunakan Augmented Dickey-Fuller (ADF) dan KPSS pada level harga (Open, High, Low, Close) serta log return. ADF memiliki hipotesis nol non-stasioner, sedangkan KPSS memiliki hipotesis nol stasioner.</w:t>
      </w:r>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Variabel</w:t>
            </w:r>
          </w:p>
        </w:tc>
        <w:tc>
          <w:tcPr>
            <w:tcW w:type="dxa" w:w="1440"/>
          </w:tcPr>
          <w:p>
            <w:r>
              <w:t>Test</w:t>
            </w:r>
          </w:p>
        </w:tc>
        <w:tc>
          <w:tcPr>
            <w:tcW w:type="dxa" w:w="1440"/>
          </w:tcPr>
          <w:p>
            <w:r>
              <w:t>Statistic</w:t>
            </w:r>
          </w:p>
        </w:tc>
        <w:tc>
          <w:tcPr>
            <w:tcW w:type="dxa" w:w="1440"/>
          </w:tcPr>
          <w:p>
            <w:r>
              <w:t>p-value</w:t>
            </w:r>
          </w:p>
        </w:tc>
        <w:tc>
          <w:tcPr>
            <w:tcW w:type="dxa" w:w="1440"/>
          </w:tcPr>
          <w:p>
            <w:r>
              <w:t>Lags</w:t>
            </w:r>
          </w:p>
        </w:tc>
        <w:tc>
          <w:tcPr>
            <w:tcW w:type="dxa" w:w="1440"/>
          </w:tcPr>
          <w:p>
            <w:r>
              <w:t>Kesimpulan</w:t>
            </w:r>
          </w:p>
        </w:tc>
      </w:tr>
      <w:tr>
        <w:tc>
          <w:tcPr>
            <w:tcW w:type="dxa" w:w="1440"/>
          </w:tcPr>
          <w:p>
            <w:r>
              <w:t>Open</w:t>
            </w:r>
          </w:p>
        </w:tc>
        <w:tc>
          <w:tcPr>
            <w:tcW w:type="dxa" w:w="1440"/>
          </w:tcPr>
          <w:p>
            <w:r>
              <w:t>ADF</w:t>
            </w:r>
          </w:p>
        </w:tc>
        <w:tc>
          <w:tcPr>
            <w:tcW w:type="dxa" w:w="1440"/>
          </w:tcPr>
          <w:p>
            <w:r>
              <w:t>-2.1924</w:t>
            </w:r>
          </w:p>
        </w:tc>
        <w:tc>
          <w:tcPr>
            <w:tcW w:type="dxa" w:w="1440"/>
          </w:tcPr>
          <w:p>
            <w:r>
              <w:t>0.209008</w:t>
            </w:r>
          </w:p>
        </w:tc>
        <w:tc>
          <w:tcPr>
            <w:tcW w:type="dxa" w:w="1440"/>
          </w:tcPr>
          <w:p>
            <w:r>
              <w:t>1</w:t>
            </w:r>
          </w:p>
        </w:tc>
        <w:tc>
          <w:tcPr>
            <w:tcW w:type="dxa" w:w="1440"/>
          </w:tcPr>
          <w:p>
            <w:r>
              <w:t>Non-stationary</w:t>
            </w:r>
          </w:p>
        </w:tc>
      </w:tr>
      <w:tr>
        <w:tc>
          <w:tcPr>
            <w:tcW w:type="dxa" w:w="1440"/>
          </w:tcPr>
          <w:p>
            <w:r>
              <w:t>Open</w:t>
            </w:r>
          </w:p>
        </w:tc>
        <w:tc>
          <w:tcPr>
            <w:tcW w:type="dxa" w:w="1440"/>
          </w:tcPr>
          <w:p>
            <w:r>
              <w:t>KPSS</w:t>
            </w:r>
          </w:p>
        </w:tc>
        <w:tc>
          <w:tcPr>
            <w:tcW w:type="dxa" w:w="1440"/>
          </w:tcPr>
          <w:p>
            <w:r>
              <w:t>5.1030</w:t>
            </w:r>
          </w:p>
        </w:tc>
        <w:tc>
          <w:tcPr>
            <w:tcW w:type="dxa" w:w="1440"/>
          </w:tcPr>
          <w:p>
            <w:r>
              <w:t>0.010000</w:t>
            </w:r>
          </w:p>
        </w:tc>
        <w:tc>
          <w:tcPr>
            <w:tcW w:type="dxa" w:w="1440"/>
          </w:tcPr>
          <w:p>
            <w:r>
              <w:t>68</w:t>
            </w:r>
          </w:p>
        </w:tc>
        <w:tc>
          <w:tcPr>
            <w:tcW w:type="dxa" w:w="1440"/>
          </w:tcPr>
          <w:p>
            <w:r>
              <w:t>Non-stationary</w:t>
            </w:r>
          </w:p>
        </w:tc>
      </w:tr>
      <w:tr>
        <w:tc>
          <w:tcPr>
            <w:tcW w:type="dxa" w:w="1440"/>
          </w:tcPr>
          <w:p>
            <w:r>
              <w:t>High</w:t>
            </w:r>
          </w:p>
        </w:tc>
        <w:tc>
          <w:tcPr>
            <w:tcW w:type="dxa" w:w="1440"/>
          </w:tcPr>
          <w:p>
            <w:r>
              <w:t>ADF</w:t>
            </w:r>
          </w:p>
        </w:tc>
        <w:tc>
          <w:tcPr>
            <w:tcW w:type="dxa" w:w="1440"/>
          </w:tcPr>
          <w:p>
            <w:r>
              <w:t>-2.0003</w:t>
            </w:r>
          </w:p>
        </w:tc>
        <w:tc>
          <w:tcPr>
            <w:tcW w:type="dxa" w:w="1440"/>
          </w:tcPr>
          <w:p>
            <w:r>
              <w:t>0.286447</w:t>
            </w:r>
          </w:p>
        </w:tc>
        <w:tc>
          <w:tcPr>
            <w:tcW w:type="dxa" w:w="1440"/>
          </w:tcPr>
          <w:p>
            <w:r>
              <w:t>39</w:t>
            </w:r>
          </w:p>
        </w:tc>
        <w:tc>
          <w:tcPr>
            <w:tcW w:type="dxa" w:w="1440"/>
          </w:tcPr>
          <w:p>
            <w:r>
              <w:t>Non-stationary</w:t>
            </w:r>
          </w:p>
        </w:tc>
      </w:tr>
      <w:tr>
        <w:tc>
          <w:tcPr>
            <w:tcW w:type="dxa" w:w="1440"/>
          </w:tcPr>
          <w:p>
            <w:r>
              <w:t>High</w:t>
            </w:r>
          </w:p>
        </w:tc>
        <w:tc>
          <w:tcPr>
            <w:tcW w:type="dxa" w:w="1440"/>
          </w:tcPr>
          <w:p>
            <w:r>
              <w:t>KPSS</w:t>
            </w:r>
          </w:p>
        </w:tc>
        <w:tc>
          <w:tcPr>
            <w:tcW w:type="dxa" w:w="1440"/>
          </w:tcPr>
          <w:p>
            <w:r>
              <w:t>5.1045</w:t>
            </w:r>
          </w:p>
        </w:tc>
        <w:tc>
          <w:tcPr>
            <w:tcW w:type="dxa" w:w="1440"/>
          </w:tcPr>
          <w:p>
            <w:r>
              <w:t>0.010000</w:t>
            </w:r>
          </w:p>
        </w:tc>
        <w:tc>
          <w:tcPr>
            <w:tcW w:type="dxa" w:w="1440"/>
          </w:tcPr>
          <w:p>
            <w:r>
              <w:t>68</w:t>
            </w:r>
          </w:p>
        </w:tc>
        <w:tc>
          <w:tcPr>
            <w:tcW w:type="dxa" w:w="1440"/>
          </w:tcPr>
          <w:p>
            <w:r>
              <w:t>Non-stationary</w:t>
            </w:r>
          </w:p>
        </w:tc>
      </w:tr>
      <w:tr>
        <w:tc>
          <w:tcPr>
            <w:tcW w:type="dxa" w:w="1440"/>
          </w:tcPr>
          <w:p>
            <w:r>
              <w:t>Low</w:t>
            </w:r>
          </w:p>
        </w:tc>
        <w:tc>
          <w:tcPr>
            <w:tcW w:type="dxa" w:w="1440"/>
          </w:tcPr>
          <w:p>
            <w:r>
              <w:t>ADF</w:t>
            </w:r>
          </w:p>
        </w:tc>
        <w:tc>
          <w:tcPr>
            <w:tcW w:type="dxa" w:w="1440"/>
          </w:tcPr>
          <w:p>
            <w:r>
              <w:t>-1.9512</w:t>
            </w:r>
          </w:p>
        </w:tc>
        <w:tc>
          <w:tcPr>
            <w:tcW w:type="dxa" w:w="1440"/>
          </w:tcPr>
          <w:p>
            <w:r>
              <w:t>0.308392</w:t>
            </w:r>
          </w:p>
        </w:tc>
        <w:tc>
          <w:tcPr>
            <w:tcW w:type="dxa" w:w="1440"/>
          </w:tcPr>
          <w:p>
            <w:r>
              <w:t>39</w:t>
            </w:r>
          </w:p>
        </w:tc>
        <w:tc>
          <w:tcPr>
            <w:tcW w:type="dxa" w:w="1440"/>
          </w:tcPr>
          <w:p>
            <w:r>
              <w:t>Non-stationary</w:t>
            </w:r>
          </w:p>
        </w:tc>
      </w:tr>
      <w:tr>
        <w:tc>
          <w:tcPr>
            <w:tcW w:type="dxa" w:w="1440"/>
          </w:tcPr>
          <w:p>
            <w:r>
              <w:t>Low</w:t>
            </w:r>
          </w:p>
        </w:tc>
        <w:tc>
          <w:tcPr>
            <w:tcW w:type="dxa" w:w="1440"/>
          </w:tcPr>
          <w:p>
            <w:r>
              <w:t>KPSS</w:t>
            </w:r>
          </w:p>
        </w:tc>
        <w:tc>
          <w:tcPr>
            <w:tcW w:type="dxa" w:w="1440"/>
          </w:tcPr>
          <w:p>
            <w:r>
              <w:t>5.0980</w:t>
            </w:r>
          </w:p>
        </w:tc>
        <w:tc>
          <w:tcPr>
            <w:tcW w:type="dxa" w:w="1440"/>
          </w:tcPr>
          <w:p>
            <w:r>
              <w:t>0.010000</w:t>
            </w:r>
          </w:p>
        </w:tc>
        <w:tc>
          <w:tcPr>
            <w:tcW w:type="dxa" w:w="1440"/>
          </w:tcPr>
          <w:p>
            <w:r>
              <w:t>68</w:t>
            </w:r>
          </w:p>
        </w:tc>
        <w:tc>
          <w:tcPr>
            <w:tcW w:type="dxa" w:w="1440"/>
          </w:tcPr>
          <w:p>
            <w:r>
              <w:t>Non-stationary</w:t>
            </w:r>
          </w:p>
        </w:tc>
      </w:tr>
      <w:tr>
        <w:tc>
          <w:tcPr>
            <w:tcW w:type="dxa" w:w="1440"/>
          </w:tcPr>
          <w:p>
            <w:r>
              <w:t>Close</w:t>
            </w:r>
          </w:p>
        </w:tc>
        <w:tc>
          <w:tcPr>
            <w:tcW w:type="dxa" w:w="1440"/>
          </w:tcPr>
          <w:p>
            <w:r>
              <w:t>ADF</w:t>
            </w:r>
          </w:p>
        </w:tc>
        <w:tc>
          <w:tcPr>
            <w:tcW w:type="dxa" w:w="1440"/>
          </w:tcPr>
          <w:p>
            <w:r>
              <w:t>-2.1824</w:t>
            </w:r>
          </w:p>
        </w:tc>
        <w:tc>
          <w:tcPr>
            <w:tcW w:type="dxa" w:w="1440"/>
          </w:tcPr>
          <w:p>
            <w:r>
              <w:t>0.212690</w:t>
            </w:r>
          </w:p>
        </w:tc>
        <w:tc>
          <w:tcPr>
            <w:tcW w:type="dxa" w:w="1440"/>
          </w:tcPr>
          <w:p>
            <w:r>
              <w:t>3</w:t>
            </w:r>
          </w:p>
        </w:tc>
        <w:tc>
          <w:tcPr>
            <w:tcW w:type="dxa" w:w="1440"/>
          </w:tcPr>
          <w:p>
            <w:r>
              <w:t>Non-stationary</w:t>
            </w:r>
          </w:p>
        </w:tc>
      </w:tr>
      <w:tr>
        <w:tc>
          <w:tcPr>
            <w:tcW w:type="dxa" w:w="1440"/>
          </w:tcPr>
          <w:p>
            <w:r>
              <w:t>Close</w:t>
            </w:r>
          </w:p>
        </w:tc>
        <w:tc>
          <w:tcPr>
            <w:tcW w:type="dxa" w:w="1440"/>
          </w:tcPr>
          <w:p>
            <w:r>
              <w:t>KPSS</w:t>
            </w:r>
          </w:p>
        </w:tc>
        <w:tc>
          <w:tcPr>
            <w:tcW w:type="dxa" w:w="1440"/>
          </w:tcPr>
          <w:p>
            <w:r>
              <w:t>5.0968</w:t>
            </w:r>
          </w:p>
        </w:tc>
        <w:tc>
          <w:tcPr>
            <w:tcW w:type="dxa" w:w="1440"/>
          </w:tcPr>
          <w:p>
            <w:r>
              <w:t>0.010000</w:t>
            </w:r>
          </w:p>
        </w:tc>
        <w:tc>
          <w:tcPr>
            <w:tcW w:type="dxa" w:w="1440"/>
          </w:tcPr>
          <w:p>
            <w:r>
              <w:t>68</w:t>
            </w:r>
          </w:p>
        </w:tc>
        <w:tc>
          <w:tcPr>
            <w:tcW w:type="dxa" w:w="1440"/>
          </w:tcPr>
          <w:p>
            <w:r>
              <w:t>Non-stationary</w:t>
            </w:r>
          </w:p>
        </w:tc>
      </w:tr>
      <w:tr>
        <w:tc>
          <w:tcPr>
            <w:tcW w:type="dxa" w:w="1440"/>
          </w:tcPr>
          <w:p>
            <w:r>
              <w:t>Log Return</w:t>
            </w:r>
          </w:p>
        </w:tc>
        <w:tc>
          <w:tcPr>
            <w:tcW w:type="dxa" w:w="1440"/>
          </w:tcPr>
          <w:p>
            <w:r>
              <w:t>ADF</w:t>
            </w:r>
          </w:p>
        </w:tc>
        <w:tc>
          <w:tcPr>
            <w:tcW w:type="dxa" w:w="1440"/>
          </w:tcPr>
          <w:p>
            <w:r>
              <w:t>-65.4033</w:t>
            </w:r>
          </w:p>
        </w:tc>
        <w:tc>
          <w:tcPr>
            <w:tcW w:type="dxa" w:w="1440"/>
          </w:tcPr>
          <w:p>
            <w:r>
              <w:t>0.000000</w:t>
            </w:r>
          </w:p>
        </w:tc>
        <w:tc>
          <w:tcPr>
            <w:tcW w:type="dxa" w:w="1440"/>
          </w:tcPr>
          <w:p>
            <w:r>
              <w:t>2</w:t>
            </w:r>
          </w:p>
        </w:tc>
        <w:tc>
          <w:tcPr>
            <w:tcW w:type="dxa" w:w="1440"/>
          </w:tcPr>
          <w:p>
            <w:r>
              <w:t>Stationary</w:t>
            </w:r>
          </w:p>
        </w:tc>
      </w:tr>
      <w:tr>
        <w:tc>
          <w:tcPr>
            <w:tcW w:type="dxa" w:w="1440"/>
          </w:tcPr>
          <w:p>
            <w:r>
              <w:t>Log Return</w:t>
            </w:r>
          </w:p>
        </w:tc>
        <w:tc>
          <w:tcPr>
            <w:tcW w:type="dxa" w:w="1440"/>
          </w:tcPr>
          <w:p>
            <w:r>
              <w:t>KPSS</w:t>
            </w:r>
          </w:p>
        </w:tc>
        <w:tc>
          <w:tcPr>
            <w:tcW w:type="dxa" w:w="1440"/>
          </w:tcPr>
          <w:p>
            <w:r>
              <w:t>0.1271</w:t>
            </w:r>
          </w:p>
        </w:tc>
        <w:tc>
          <w:tcPr>
            <w:tcW w:type="dxa" w:w="1440"/>
          </w:tcPr>
          <w:p>
            <w:r>
              <w:t>0.100000</w:t>
            </w:r>
          </w:p>
        </w:tc>
        <w:tc>
          <w:tcPr>
            <w:tcW w:type="dxa" w:w="1440"/>
          </w:tcPr>
          <w:p>
            <w:r>
              <w:t>12</w:t>
            </w:r>
          </w:p>
        </w:tc>
        <w:tc>
          <w:tcPr>
            <w:tcW w:type="dxa" w:w="1440"/>
          </w:tcPr>
          <w:p>
            <w:r>
              <w:t>Stationary</w:t>
            </w:r>
          </w:p>
        </w:tc>
      </w:tr>
    </w:tbl>
    <w:p>
      <w:r>
        <w:t>Interpretasi umum: Jika p-value ADF &lt; 0.05 maka seri stasioner. Jika p-value KPSS &lt; 0.05 maka seri tidak stasioner. Kombinasi hasil biasanya menunjukkan bahwa level harga non-stasioner dan log return cenderung stasioner.</w:t>
      </w:r>
    </w:p>
    <w:p>
      <w:pPr>
        <w:pStyle w:val="Heading2"/>
      </w:pPr>
      <w:r>
        <w:t>6. Korelasi</w:t>
      </w:r>
    </w:p>
    <w:p>
      <w:r>
        <w:t>Korelasi antar variabel OHLC menunjukkan hubungan yang sangat kuat.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Open</w:t>
            </w:r>
          </w:p>
        </w:tc>
        <w:tc>
          <w:tcPr>
            <w:tcW w:type="dxa" w:w="1728"/>
          </w:tcPr>
          <w:p>
            <w:r>
              <w:t>High</w:t>
            </w:r>
          </w:p>
        </w:tc>
        <w:tc>
          <w:tcPr>
            <w:tcW w:type="dxa" w:w="1728"/>
          </w:tcPr>
          <w:p>
            <w:r>
              <w:t>Low</w:t>
            </w:r>
          </w:p>
        </w:tc>
        <w:tc>
          <w:tcPr>
            <w:tcW w:type="dxa" w:w="1728"/>
          </w:tcPr>
          <w:p>
            <w:r>
              <w:t>Close</w:t>
            </w:r>
          </w:p>
        </w:tc>
      </w:tr>
      <w:tr>
        <w:tc>
          <w:tcPr>
            <w:tcW w:type="dxa" w:w="1728"/>
          </w:tcPr>
          <w:p>
            <w:r>
              <w:t>Open</w:t>
            </w:r>
          </w:p>
        </w:tc>
        <w:tc>
          <w:tcPr>
            <w:tcW w:type="dxa" w:w="1728"/>
          </w:tcPr>
          <w:p>
            <w:r>
              <w:t>1.0000</w:t>
            </w:r>
          </w:p>
        </w:tc>
        <w:tc>
          <w:tcPr>
            <w:tcW w:type="dxa" w:w="1728"/>
          </w:tcPr>
          <w:p>
            <w:r>
              <w:t>0.9996</w:t>
            </w:r>
          </w:p>
        </w:tc>
        <w:tc>
          <w:tcPr>
            <w:tcW w:type="dxa" w:w="1728"/>
          </w:tcPr>
          <w:p>
            <w:r>
              <w:t>0.9996</w:t>
            </w:r>
          </w:p>
        </w:tc>
        <w:tc>
          <w:tcPr>
            <w:tcW w:type="dxa" w:w="1728"/>
          </w:tcPr>
          <w:p>
            <w:r>
              <w:t>0.9993</w:t>
            </w:r>
          </w:p>
        </w:tc>
      </w:tr>
      <w:tr>
        <w:tc>
          <w:tcPr>
            <w:tcW w:type="dxa" w:w="1728"/>
          </w:tcPr>
          <w:p>
            <w:r>
              <w:t>High</w:t>
            </w:r>
          </w:p>
        </w:tc>
        <w:tc>
          <w:tcPr>
            <w:tcW w:type="dxa" w:w="1728"/>
          </w:tcPr>
          <w:p>
            <w:r>
              <w:t>0.9996</w:t>
            </w:r>
          </w:p>
        </w:tc>
        <w:tc>
          <w:tcPr>
            <w:tcW w:type="dxa" w:w="1728"/>
          </w:tcPr>
          <w:p>
            <w:r>
              <w:t>1.0000</w:t>
            </w:r>
          </w:p>
        </w:tc>
        <w:tc>
          <w:tcPr>
            <w:tcW w:type="dxa" w:w="1728"/>
          </w:tcPr>
          <w:p>
            <w:r>
              <w:t>0.9994</w:t>
            </w:r>
          </w:p>
        </w:tc>
        <w:tc>
          <w:tcPr>
            <w:tcW w:type="dxa" w:w="1728"/>
          </w:tcPr>
          <w:p>
            <w:r>
              <w:t>0.9996</w:t>
            </w:r>
          </w:p>
        </w:tc>
      </w:tr>
      <w:tr>
        <w:tc>
          <w:tcPr>
            <w:tcW w:type="dxa" w:w="1728"/>
          </w:tcPr>
          <w:p>
            <w:r>
              <w:t>Low</w:t>
            </w:r>
          </w:p>
        </w:tc>
        <w:tc>
          <w:tcPr>
            <w:tcW w:type="dxa" w:w="1728"/>
          </w:tcPr>
          <w:p>
            <w:r>
              <w:t>0.9996</w:t>
            </w:r>
          </w:p>
        </w:tc>
        <w:tc>
          <w:tcPr>
            <w:tcW w:type="dxa" w:w="1728"/>
          </w:tcPr>
          <w:p>
            <w:r>
              <w:t>0.9994</w:t>
            </w:r>
          </w:p>
        </w:tc>
        <w:tc>
          <w:tcPr>
            <w:tcW w:type="dxa" w:w="1728"/>
          </w:tcPr>
          <w:p>
            <w:r>
              <w:t>1.0000</w:t>
            </w:r>
          </w:p>
        </w:tc>
        <w:tc>
          <w:tcPr>
            <w:tcW w:type="dxa" w:w="1728"/>
          </w:tcPr>
          <w:p>
            <w:r>
              <w:t>0.9997</w:t>
            </w:r>
          </w:p>
        </w:tc>
      </w:tr>
      <w:tr>
        <w:tc>
          <w:tcPr>
            <w:tcW w:type="dxa" w:w="1728"/>
          </w:tcPr>
          <w:p>
            <w:r>
              <w:t>Close</w:t>
            </w:r>
          </w:p>
        </w:tc>
        <w:tc>
          <w:tcPr>
            <w:tcW w:type="dxa" w:w="1728"/>
          </w:tcPr>
          <w:p>
            <w:r>
              <w:t>0.9993</w:t>
            </w:r>
          </w:p>
        </w:tc>
        <w:tc>
          <w:tcPr>
            <w:tcW w:type="dxa" w:w="1728"/>
          </w:tcPr>
          <w:p>
            <w:r>
              <w:t>0.9996</w:t>
            </w:r>
          </w:p>
        </w:tc>
        <w:tc>
          <w:tcPr>
            <w:tcW w:type="dxa" w:w="1728"/>
          </w:tcPr>
          <w:p>
            <w:r>
              <w:t>0.9997</w:t>
            </w:r>
          </w:p>
        </w:tc>
        <w:tc>
          <w:tcPr>
            <w:tcW w:type="dxa" w:w="1728"/>
          </w:tcPr>
          <w:p>
            <w:r>
              <w:t>1.0000</w:t>
            </w:r>
          </w:p>
        </w:tc>
      </w:tr>
    </w:tbl>
    <w:p>
      <w:pPr>
        <w:pStyle w:val="Heading2"/>
      </w:pPr>
      <w:r>
        <w:t>7. Visualisasi</w:t>
      </w:r>
    </w:p>
    <w:p>
      <w:r>
        <w:t>Gambar berikut memberikan gambaran pola dasar dan distribusi data.</w:t>
      </w:r>
    </w:p>
    <w:p>
      <w:r>
        <w:drawing>
          <wp:inline xmlns:a="http://schemas.openxmlformats.org/drawingml/2006/main" xmlns:pic="http://schemas.openxmlformats.org/drawingml/2006/picture">
            <wp:extent cx="5029200" cy="2011680"/>
            <wp:docPr id="1" name="Picture 1"/>
            <wp:cNvGraphicFramePr>
              <a:graphicFrameLocks noChangeAspect="1"/>
            </wp:cNvGraphicFramePr>
            <a:graphic>
              <a:graphicData uri="http://schemas.openxmlformats.org/drawingml/2006/picture">
                <pic:pic>
                  <pic:nvPicPr>
                    <pic:cNvPr id="0" name="close_series.png"/>
                    <pic:cNvPicPr/>
                  </pic:nvPicPr>
                  <pic:blipFill>
                    <a:blip r:embed="rId9"/>
                    <a:stretch>
                      <a:fillRect/>
                    </a:stretch>
                  </pic:blipFill>
                  <pic:spPr>
                    <a:xfrm>
                      <a:off x="0" y="0"/>
                      <a:ext cx="5029200" cy="2011680"/>
                    </a:xfrm>
                    <a:prstGeom prst="rect"/>
                  </pic:spPr>
                </pic:pic>
              </a:graphicData>
            </a:graphic>
          </wp:inline>
        </w:drawing>
      </w:r>
    </w:p>
    <w:p>
      <w:pPr>
        <w:jc w:val="center"/>
      </w:pPr>
      <w:r>
        <w:t>Gambar 1. Time series Close (H4).</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return_hist.png"/>
                    <pic:cNvPicPr/>
                  </pic:nvPicPr>
                  <pic:blipFill>
                    <a:blip r:embed="rId10"/>
                    <a:stretch>
                      <a:fillRect/>
                    </a:stretch>
                  </pic:blipFill>
                  <pic:spPr>
                    <a:xfrm>
                      <a:off x="0" y="0"/>
                      <a:ext cx="5029200" cy="3352800"/>
                    </a:xfrm>
                    <a:prstGeom prst="rect"/>
                  </pic:spPr>
                </pic:pic>
              </a:graphicData>
            </a:graphic>
          </wp:inline>
        </w:drawing>
      </w:r>
    </w:p>
    <w:p>
      <w:pPr>
        <w:jc w:val="center"/>
      </w:pPr>
      <w:r>
        <w:t>Gambar 2. Distribusi return Close-to-Close.</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candle_components.png"/>
                    <pic:cNvPicPr/>
                  </pic:nvPicPr>
                  <pic:blipFill>
                    <a:blip r:embed="rId11"/>
                    <a:stretch>
                      <a:fillRect/>
                    </a:stretch>
                  </pic:blipFill>
                  <pic:spPr>
                    <a:xfrm>
                      <a:off x="0" y="0"/>
                      <a:ext cx="5029200" cy="3352800"/>
                    </a:xfrm>
                    <a:prstGeom prst="rect"/>
                  </pic:spPr>
                </pic:pic>
              </a:graphicData>
            </a:graphic>
          </wp:inline>
        </w:drawing>
      </w:r>
    </w:p>
    <w:p>
      <w:pPr>
        <w:jc w:val="center"/>
      </w:pPr>
      <w:r>
        <w:t>Gambar 3. Distribusi range, body, dan shadow.</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ohlc_corr.png"/>
                    <pic:cNvPicPr/>
                  </pic:nvPicPr>
                  <pic:blipFill>
                    <a:blip r:embed="rId12"/>
                    <a:stretch>
                      <a:fillRect/>
                    </a:stretch>
                  </pic:blipFill>
                  <pic:spPr>
                    <a:xfrm>
                      <a:off x="0" y="0"/>
                      <a:ext cx="5029200" cy="5029200"/>
                    </a:xfrm>
                    <a:prstGeom prst="rect"/>
                  </pic:spPr>
                </pic:pic>
              </a:graphicData>
            </a:graphic>
          </wp:inline>
        </w:drawing>
      </w:r>
    </w:p>
    <w:p>
      <w:pPr>
        <w:jc w:val="center"/>
      </w:pPr>
      <w:r>
        <w:t>Gambar 4. Heatmap korelasi OHLC.</w:t>
      </w:r>
    </w:p>
    <w:p>
      <w:pPr>
        <w:pStyle w:val="Heading2"/>
      </w:pPr>
      <w:r>
        <w:t>8. Implikasi untuk Forecasting</w:t>
      </w:r>
    </w:p>
    <w:p>
      <w:r>
        <w:t>Korelasi OHLC yang sangat tinggi mengindikasikan redundansi informasi, namun komponen High/Low tetap penting untuk prediksi candle lengkap. Adanya gap waktu perlu ditangani (misalnya, menghapus segmen yang tidak lengkap, atau menandai gap untuk menghindari bias dalam model). Distribusi return yang relatif simetris dengan ekor tebal menunjukkan volatilitas yang berubah-ubah.</w:t>
      </w:r>
    </w:p>
    <w:p>
      <w:pPr>
        <w:pStyle w:val="Heading2"/>
      </w:pPr>
      <w:r>
        <w:t>9. Rencana Preprocessing</w:t>
      </w:r>
    </w:p>
    <w:p>
      <w:r>
        <w:t>- Pastikan data terurut waktu dan bebas duplikasi.</w:t>
      </w:r>
    </w:p>
    <w:p>
      <w:r>
        <w:t>- Tangani gap dengan pemotongan segmen, atau imputasi jika diperlukan.</w:t>
      </w:r>
    </w:p>
    <w:p>
      <w:r>
        <w:t>- Lakukan standarisasi (z-score) berdasarkan data train saja.</w:t>
      </w:r>
    </w:p>
    <w:p>
      <w:r>
        <w:t>- Gunakan sliding window untuk membentuk pasangan input-target.</w:t>
      </w:r>
    </w:p>
    <w:p>
      <w:pPr>
        <w:pStyle w:val="Heading2"/>
      </w:pPr>
      <w:r>
        <w:t>10. Kesimpulan Singkat</w:t>
      </w:r>
    </w:p>
    <w:p>
      <w:r>
        <w:t>Dataset EURUSD H4 memiliki kualitas data yang baik tanpa missing dan tanpa pelanggaran OHLC. Namun terdapat gap interval yang perlu dikaji sebelum pemodelan. Uji stasioneritas menunjukkan bahwa level harga (Open/High/Low/Close) cenderung non-stasioner sementara log return lebih mendekati stasioner, sehingga transformasi return atau differencing layak dipertimbangkan.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